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F71F4" w14:textId="7DC5636A" w:rsidR="00715D73" w:rsidRDefault="00CD033F" w:rsidP="00CD033F">
      <w:pPr>
        <w:pStyle w:val="Rubro"/>
        <w:spacing w:line="280" w:lineRule="auto"/>
        <w:ind w:left="0"/>
        <w:rPr>
          <w:sz w:val="24"/>
          <w:szCs w:val="24"/>
        </w:rPr>
      </w:pPr>
      <w:r>
        <w:rPr>
          <w:sz w:val="24"/>
          <w:szCs w:val="24"/>
        </w:rPr>
        <w:t>ACUERDO QUE, A PROPUESTA DE LA SECRETARÍA EJECUTIVA, EMITE LA JUNTA ESTATAL EJECUTIVA DEL INSTITUTO ELECTORAL Y DE PARTICIPACIÓN CIUDADANA DE TABASCO, POR EL QUE SE MODIFICAN DE FORMA PROVISIONAL LOS MONTOS PARA GASTOS DE CAMINO RELACIONADOS CON EL PROGRAMA PARA LA UBICACIÓN, SELECCIÓN, CONTRATACIÓN, ADECUACIÓN Y EQUIPAMIENTO DE LOS INMUEBLES QUE SERVIRÁN DE SEDES PARA EL FUNCIONAMIENTO DE LAS JUNTAS Y CONSEJOS ELECTORALES DISTRITALES QUE SE INSTALEN CON MOTIVO DEL PROCESO ELECTORAL LOCAL ORDINARIO 2023 – 2024</w:t>
      </w:r>
    </w:p>
    <w:p w14:paraId="7DDD9E18" w14:textId="37D6C700" w:rsidR="00715D73" w:rsidRDefault="00715D73" w:rsidP="00CD033F">
      <w:pPr>
        <w:spacing w:before="0" w:after="0" w:line="281" w:lineRule="auto"/>
        <w:rPr>
          <w:rFonts w:ascii="Century Gothic" w:hAnsi="Century Gothic"/>
          <w:b/>
          <w:bCs/>
          <w:sz w:val="23"/>
          <w:szCs w:val="23"/>
        </w:rPr>
      </w:pPr>
    </w:p>
    <w:p w14:paraId="459D1A80" w14:textId="77777777" w:rsidR="00CD033F" w:rsidRDefault="00CD033F" w:rsidP="00CD033F">
      <w:pPr>
        <w:spacing w:before="0" w:after="0" w:line="281" w:lineRule="auto"/>
        <w:rPr>
          <w:rFonts w:ascii="Century Gothic" w:hAnsi="Century Gothic"/>
          <w:b/>
          <w:bCs/>
          <w:sz w:val="23"/>
          <w:szCs w:val="23"/>
        </w:rPr>
      </w:pPr>
    </w:p>
    <w:p w14:paraId="3F13429B" w14:textId="55BE7495" w:rsidR="00B224FF" w:rsidRDefault="00B224FF" w:rsidP="00CD033F">
      <w:pPr>
        <w:spacing w:before="0" w:after="0" w:line="281" w:lineRule="auto"/>
        <w:rPr>
          <w:rFonts w:ascii="Century Gothic" w:hAnsi="Century Gothic"/>
          <w:sz w:val="23"/>
          <w:szCs w:val="23"/>
        </w:rPr>
      </w:pPr>
      <w:r w:rsidRPr="00B224FF">
        <w:rPr>
          <w:rFonts w:ascii="Century Gothic" w:hAnsi="Century Gothic"/>
          <w:b/>
          <w:bCs/>
          <w:sz w:val="23"/>
          <w:szCs w:val="23"/>
        </w:rPr>
        <w:t>Glosario.</w:t>
      </w:r>
      <w:r w:rsidRPr="00B224FF">
        <w:rPr>
          <w:rFonts w:ascii="Century Gothic" w:hAnsi="Century Gothic"/>
          <w:sz w:val="23"/>
          <w:szCs w:val="23"/>
        </w:rPr>
        <w:t xml:space="preserve"> Para efectos del presente acuerdo, se entenderá por:</w:t>
      </w:r>
    </w:p>
    <w:p w14:paraId="068B4A1B" w14:textId="77777777" w:rsidR="00CD033F" w:rsidRPr="00B224FF" w:rsidRDefault="00CD033F" w:rsidP="00CD033F">
      <w:pPr>
        <w:spacing w:before="0" w:after="0" w:line="281" w:lineRule="auto"/>
        <w:rPr>
          <w:rFonts w:ascii="Century Gothic" w:hAnsi="Century Gothic"/>
          <w:sz w:val="23"/>
          <w:szCs w:val="23"/>
        </w:rPr>
      </w:pPr>
    </w:p>
    <w:tbl>
      <w:tblPr>
        <w:tblStyle w:val="Tablaconcuadrcula"/>
        <w:tblW w:w="0" w:type="auto"/>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B224FF" w:rsidRPr="00B224FF" w14:paraId="0A8F4E0C" w14:textId="77777777" w:rsidTr="00922423">
        <w:trPr>
          <w:jc w:val="center"/>
        </w:trPr>
        <w:tc>
          <w:tcPr>
            <w:tcW w:w="2664" w:type="dxa"/>
            <w:vAlign w:val="center"/>
          </w:tcPr>
          <w:p w14:paraId="60EEFB6A" w14:textId="77777777" w:rsidR="00B224FF" w:rsidRPr="00B224FF" w:rsidRDefault="00B224FF" w:rsidP="00CD033F">
            <w:pPr>
              <w:spacing w:before="0" w:after="0" w:line="281" w:lineRule="auto"/>
              <w:jc w:val="right"/>
              <w:rPr>
                <w:rFonts w:ascii="Century Gothic" w:hAnsi="Century Gothic"/>
                <w:b/>
                <w:szCs w:val="23"/>
              </w:rPr>
            </w:pPr>
            <w:r w:rsidRPr="00B224FF">
              <w:rPr>
                <w:rFonts w:ascii="Century Gothic" w:hAnsi="Century Gothic"/>
                <w:b/>
                <w:szCs w:val="23"/>
              </w:rPr>
              <w:t>Consejo Estatal:</w:t>
            </w:r>
          </w:p>
        </w:tc>
        <w:tc>
          <w:tcPr>
            <w:tcW w:w="3998" w:type="dxa"/>
            <w:vAlign w:val="center"/>
          </w:tcPr>
          <w:p w14:paraId="4B2FF9CF" w14:textId="77777777" w:rsidR="00B224FF" w:rsidRPr="00B224FF" w:rsidRDefault="00B224FF" w:rsidP="00CD033F">
            <w:pPr>
              <w:spacing w:before="0" w:after="0" w:line="281" w:lineRule="auto"/>
              <w:ind w:left="113" w:right="113"/>
              <w:rPr>
                <w:rFonts w:ascii="Century Gothic" w:hAnsi="Century Gothic"/>
                <w:szCs w:val="23"/>
              </w:rPr>
            </w:pPr>
            <w:r w:rsidRPr="00B224FF">
              <w:rPr>
                <w:rFonts w:ascii="Century Gothic" w:hAnsi="Century Gothic"/>
                <w:szCs w:val="23"/>
              </w:rPr>
              <w:t>Consejo Estatal del Instituto Electoral y de Participación Ciudadana de Tabasco.</w:t>
            </w:r>
          </w:p>
        </w:tc>
      </w:tr>
      <w:tr w:rsidR="00B224FF" w:rsidRPr="00B224FF" w14:paraId="39069F93" w14:textId="77777777" w:rsidTr="00922423">
        <w:trPr>
          <w:jc w:val="center"/>
        </w:trPr>
        <w:tc>
          <w:tcPr>
            <w:tcW w:w="2664" w:type="dxa"/>
            <w:vAlign w:val="center"/>
          </w:tcPr>
          <w:p w14:paraId="36B1DFA7" w14:textId="77777777" w:rsidR="00B224FF" w:rsidRPr="00B224FF" w:rsidRDefault="00B224FF" w:rsidP="002B3335">
            <w:pPr>
              <w:spacing w:before="60" w:after="60" w:line="281" w:lineRule="auto"/>
              <w:jc w:val="right"/>
              <w:rPr>
                <w:rFonts w:ascii="Century Gothic" w:hAnsi="Century Gothic"/>
                <w:b/>
                <w:szCs w:val="23"/>
              </w:rPr>
            </w:pPr>
            <w:r w:rsidRPr="00B224FF">
              <w:rPr>
                <w:rFonts w:ascii="Century Gothic" w:hAnsi="Century Gothic"/>
                <w:b/>
                <w:szCs w:val="23"/>
              </w:rPr>
              <w:t>Constitución Federal:</w:t>
            </w:r>
          </w:p>
        </w:tc>
        <w:tc>
          <w:tcPr>
            <w:tcW w:w="3998" w:type="dxa"/>
            <w:vAlign w:val="center"/>
          </w:tcPr>
          <w:p w14:paraId="60DDD378" w14:textId="77777777" w:rsidR="00B224FF" w:rsidRPr="00B224FF" w:rsidRDefault="00B224FF" w:rsidP="002B3335">
            <w:pPr>
              <w:spacing w:before="60" w:after="60" w:line="281" w:lineRule="auto"/>
              <w:ind w:left="113" w:right="113"/>
              <w:rPr>
                <w:rFonts w:ascii="Century Gothic" w:hAnsi="Century Gothic"/>
                <w:szCs w:val="23"/>
              </w:rPr>
            </w:pPr>
            <w:r w:rsidRPr="00B224FF">
              <w:rPr>
                <w:rFonts w:ascii="Century Gothic" w:hAnsi="Century Gothic"/>
                <w:szCs w:val="23"/>
              </w:rPr>
              <w:t>Constitución Política de los Estados Unidos Mexicanos.</w:t>
            </w:r>
          </w:p>
        </w:tc>
      </w:tr>
      <w:tr w:rsidR="00B224FF" w:rsidRPr="00B224FF" w14:paraId="52D050DD" w14:textId="77777777" w:rsidTr="00922423">
        <w:trPr>
          <w:jc w:val="center"/>
        </w:trPr>
        <w:tc>
          <w:tcPr>
            <w:tcW w:w="2664" w:type="dxa"/>
            <w:vAlign w:val="center"/>
          </w:tcPr>
          <w:p w14:paraId="4E24A357" w14:textId="77777777" w:rsidR="00B224FF" w:rsidRPr="00B224FF" w:rsidRDefault="00B224FF" w:rsidP="002B3335">
            <w:pPr>
              <w:spacing w:before="60" w:after="60" w:line="281" w:lineRule="auto"/>
              <w:jc w:val="right"/>
              <w:rPr>
                <w:rFonts w:ascii="Century Gothic" w:hAnsi="Century Gothic"/>
                <w:b/>
                <w:szCs w:val="23"/>
              </w:rPr>
            </w:pPr>
            <w:r w:rsidRPr="00B224FF">
              <w:rPr>
                <w:rFonts w:ascii="Century Gothic" w:hAnsi="Century Gothic"/>
                <w:b/>
                <w:szCs w:val="23"/>
              </w:rPr>
              <w:t>Constitución Local:</w:t>
            </w:r>
          </w:p>
        </w:tc>
        <w:tc>
          <w:tcPr>
            <w:tcW w:w="3998" w:type="dxa"/>
            <w:vAlign w:val="center"/>
          </w:tcPr>
          <w:p w14:paraId="6E9B31BF" w14:textId="77777777" w:rsidR="00B224FF" w:rsidRPr="00B224FF" w:rsidRDefault="00B224FF" w:rsidP="002B3335">
            <w:pPr>
              <w:spacing w:before="60" w:after="60" w:line="281" w:lineRule="auto"/>
              <w:ind w:left="113" w:right="113"/>
              <w:rPr>
                <w:rFonts w:ascii="Century Gothic" w:hAnsi="Century Gothic"/>
                <w:szCs w:val="23"/>
              </w:rPr>
            </w:pPr>
            <w:r w:rsidRPr="00B224FF">
              <w:rPr>
                <w:rFonts w:ascii="Century Gothic" w:hAnsi="Century Gothic"/>
                <w:szCs w:val="23"/>
              </w:rPr>
              <w:t>Constitución Política del Estado Libre y Soberano de Tabasco.</w:t>
            </w:r>
          </w:p>
        </w:tc>
      </w:tr>
      <w:tr w:rsidR="00B224FF" w:rsidRPr="00B224FF" w14:paraId="0784D16C" w14:textId="77777777" w:rsidTr="00922423">
        <w:trPr>
          <w:jc w:val="center"/>
        </w:trPr>
        <w:tc>
          <w:tcPr>
            <w:tcW w:w="2664" w:type="dxa"/>
            <w:vAlign w:val="center"/>
          </w:tcPr>
          <w:p w14:paraId="1CBB1E75" w14:textId="77777777" w:rsidR="00B224FF" w:rsidRPr="00B224FF" w:rsidRDefault="00B224FF" w:rsidP="002B3335">
            <w:pPr>
              <w:spacing w:before="60" w:after="60" w:line="281" w:lineRule="auto"/>
              <w:jc w:val="right"/>
              <w:rPr>
                <w:rFonts w:ascii="Century Gothic" w:hAnsi="Century Gothic"/>
                <w:b/>
                <w:szCs w:val="23"/>
              </w:rPr>
            </w:pPr>
            <w:r w:rsidRPr="00B224FF">
              <w:rPr>
                <w:rFonts w:ascii="Century Gothic" w:hAnsi="Century Gothic"/>
                <w:b/>
                <w:szCs w:val="23"/>
              </w:rPr>
              <w:t>Instituto Electoral:</w:t>
            </w:r>
          </w:p>
        </w:tc>
        <w:tc>
          <w:tcPr>
            <w:tcW w:w="3998" w:type="dxa"/>
            <w:vAlign w:val="center"/>
          </w:tcPr>
          <w:p w14:paraId="518C1EC2" w14:textId="77777777" w:rsidR="00B224FF" w:rsidRPr="00B224FF" w:rsidRDefault="00B224FF" w:rsidP="002B3335">
            <w:pPr>
              <w:spacing w:before="60" w:after="60" w:line="281" w:lineRule="auto"/>
              <w:ind w:left="113" w:right="113"/>
              <w:rPr>
                <w:rFonts w:ascii="Century Gothic" w:hAnsi="Century Gothic"/>
                <w:szCs w:val="23"/>
              </w:rPr>
            </w:pPr>
            <w:r w:rsidRPr="00B224FF">
              <w:rPr>
                <w:rFonts w:ascii="Century Gothic" w:hAnsi="Century Gothic"/>
                <w:szCs w:val="23"/>
              </w:rPr>
              <w:t>Instituto Electoral y de Participación Ciudadana de Tabasco.</w:t>
            </w:r>
          </w:p>
        </w:tc>
      </w:tr>
      <w:tr w:rsidR="00B224FF" w:rsidRPr="00B224FF" w14:paraId="3D43DCC0" w14:textId="77777777" w:rsidTr="00922423">
        <w:trPr>
          <w:jc w:val="center"/>
        </w:trPr>
        <w:tc>
          <w:tcPr>
            <w:tcW w:w="2664" w:type="dxa"/>
            <w:vAlign w:val="center"/>
          </w:tcPr>
          <w:p w14:paraId="0D62C0A7" w14:textId="77777777" w:rsidR="00B224FF" w:rsidRPr="00B224FF" w:rsidRDefault="00B224FF" w:rsidP="002B3335">
            <w:pPr>
              <w:spacing w:before="60" w:after="60" w:line="281" w:lineRule="auto"/>
              <w:jc w:val="right"/>
              <w:rPr>
                <w:rFonts w:ascii="Century Gothic" w:hAnsi="Century Gothic"/>
                <w:b/>
                <w:szCs w:val="23"/>
              </w:rPr>
            </w:pPr>
            <w:r w:rsidRPr="00B224FF">
              <w:rPr>
                <w:rFonts w:ascii="Century Gothic" w:hAnsi="Century Gothic"/>
                <w:b/>
                <w:szCs w:val="23"/>
              </w:rPr>
              <w:t>Junta Ejecutiva:</w:t>
            </w:r>
          </w:p>
        </w:tc>
        <w:tc>
          <w:tcPr>
            <w:tcW w:w="3998" w:type="dxa"/>
            <w:vAlign w:val="center"/>
          </w:tcPr>
          <w:p w14:paraId="208584C9" w14:textId="77777777" w:rsidR="00B224FF" w:rsidRPr="00B224FF" w:rsidRDefault="00B224FF" w:rsidP="002B3335">
            <w:pPr>
              <w:spacing w:before="60" w:after="60" w:line="281" w:lineRule="auto"/>
              <w:ind w:left="113" w:right="113"/>
              <w:rPr>
                <w:rFonts w:ascii="Century Gothic" w:hAnsi="Century Gothic"/>
                <w:szCs w:val="23"/>
              </w:rPr>
            </w:pPr>
            <w:r w:rsidRPr="00B224FF">
              <w:rPr>
                <w:rFonts w:ascii="Century Gothic" w:hAnsi="Century Gothic"/>
                <w:szCs w:val="23"/>
              </w:rPr>
              <w:t>Junta Estatal Ejecutiva del Instituto Electoral y de Participación Ciudadana de Tabasco.</w:t>
            </w:r>
          </w:p>
        </w:tc>
      </w:tr>
      <w:tr w:rsidR="00B224FF" w:rsidRPr="00B224FF" w14:paraId="5DC96073" w14:textId="77777777" w:rsidTr="00922423">
        <w:trPr>
          <w:jc w:val="center"/>
        </w:trPr>
        <w:tc>
          <w:tcPr>
            <w:tcW w:w="2664" w:type="dxa"/>
            <w:vAlign w:val="center"/>
          </w:tcPr>
          <w:p w14:paraId="6F788165" w14:textId="77777777" w:rsidR="00B224FF" w:rsidRPr="00B224FF" w:rsidRDefault="00B224FF" w:rsidP="002B3335">
            <w:pPr>
              <w:spacing w:before="60" w:after="60" w:line="281" w:lineRule="auto"/>
              <w:jc w:val="right"/>
              <w:rPr>
                <w:rFonts w:ascii="Century Gothic" w:hAnsi="Century Gothic"/>
                <w:b/>
                <w:szCs w:val="23"/>
              </w:rPr>
            </w:pPr>
            <w:r w:rsidRPr="00B224FF">
              <w:rPr>
                <w:rFonts w:ascii="Century Gothic" w:hAnsi="Century Gothic"/>
                <w:b/>
                <w:szCs w:val="23"/>
              </w:rPr>
              <w:t>Ley Electoral:</w:t>
            </w:r>
          </w:p>
        </w:tc>
        <w:tc>
          <w:tcPr>
            <w:tcW w:w="3998" w:type="dxa"/>
            <w:vAlign w:val="center"/>
          </w:tcPr>
          <w:p w14:paraId="7D09031D" w14:textId="77777777" w:rsidR="00B224FF" w:rsidRPr="00B224FF" w:rsidRDefault="00B224FF" w:rsidP="002B3335">
            <w:pPr>
              <w:spacing w:before="60" w:after="60" w:line="281" w:lineRule="auto"/>
              <w:ind w:left="113" w:right="113"/>
              <w:rPr>
                <w:rFonts w:ascii="Century Gothic" w:hAnsi="Century Gothic"/>
                <w:szCs w:val="23"/>
              </w:rPr>
            </w:pPr>
            <w:r w:rsidRPr="00B224FF">
              <w:rPr>
                <w:rFonts w:ascii="Century Gothic" w:hAnsi="Century Gothic"/>
                <w:szCs w:val="23"/>
              </w:rPr>
              <w:t>Ley Electoral y de Partidos Políticos del Estado de Tabasco.</w:t>
            </w:r>
          </w:p>
        </w:tc>
      </w:tr>
    </w:tbl>
    <w:p w14:paraId="118611CB" w14:textId="77777777" w:rsidR="00B224FF" w:rsidRPr="00B224FF" w:rsidRDefault="00B224FF" w:rsidP="002B3335">
      <w:pPr>
        <w:spacing w:line="281" w:lineRule="auto"/>
        <w:rPr>
          <w:rFonts w:ascii="Century Gothic" w:hAnsi="Century Gothic"/>
        </w:rPr>
      </w:pPr>
      <w:r w:rsidRPr="00B224FF">
        <w:rPr>
          <w:rFonts w:ascii="Century Gothic" w:hAnsi="Century Gothic"/>
        </w:rPr>
        <w:br w:type="page"/>
      </w:r>
    </w:p>
    <w:p w14:paraId="5F654F71" w14:textId="77777777" w:rsidR="00B224FF" w:rsidRPr="0051464C" w:rsidRDefault="00B224FF" w:rsidP="002B3335">
      <w:pPr>
        <w:pStyle w:val="Ttulo1"/>
        <w:spacing w:line="281" w:lineRule="auto"/>
        <w:rPr>
          <w:rFonts w:ascii="Century Gothic" w:hAnsi="Century Gothic"/>
          <w:sz w:val="24"/>
          <w:szCs w:val="24"/>
        </w:rPr>
      </w:pPr>
      <w:r w:rsidRPr="0051464C">
        <w:rPr>
          <w:rFonts w:ascii="Century Gothic" w:hAnsi="Century Gothic"/>
          <w:sz w:val="24"/>
          <w:szCs w:val="24"/>
        </w:rPr>
        <w:lastRenderedPageBreak/>
        <w:t>Antecedentes</w:t>
      </w:r>
    </w:p>
    <w:p w14:paraId="4CA592D1"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Aprobación del Manual de Normas</w:t>
      </w:r>
    </w:p>
    <w:p w14:paraId="06FE43EE"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El 26 de julio de 2017 se publicó en el Periódico Oficial del Estado, el Manual de Normas Presupuestarias y Administrativas para el Control del Ejercicio Presupuestal aprobado por la Junta Ejecutiva.</w:t>
      </w:r>
    </w:p>
    <w:p w14:paraId="6380B96E"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Presupuesto del Instituto Electoral correspondiente al ejercicio 2023</w:t>
      </w:r>
    </w:p>
    <w:p w14:paraId="5C56A519"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De conformidad con el Presupuesto antes mencionado, el H. Congreso del Estado, para el ejercicio 2023 asignó al Instituto Electoral recursos por la cantidad de $200’852,999.00 (doscientos millones ochocientos cincuenta y dos mil novecientos noventa y nueve pesos 00/100), cantidad que incluye el gasto previsto para el financiamiento público de los partidos políticos con derecho a éste.</w:t>
      </w:r>
    </w:p>
    <w:p w14:paraId="03089EC1"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Aprobación para la búsqueda de sedes</w:t>
      </w:r>
    </w:p>
    <w:p w14:paraId="7CBF1073" w14:textId="4CA40D9D"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El 31 de agosto de la presente anualidad, el Consejo Estatal, mediante acuerdo CE/2023/</w:t>
      </w:r>
      <w:r w:rsidR="00597040" w:rsidRPr="0051464C">
        <w:rPr>
          <w:rFonts w:ascii="Century Gothic" w:hAnsi="Century Gothic"/>
          <w:sz w:val="23"/>
          <w:szCs w:val="23"/>
        </w:rPr>
        <w:t>015</w:t>
      </w:r>
      <w:r w:rsidRPr="0051464C">
        <w:rPr>
          <w:rFonts w:ascii="Century Gothic" w:hAnsi="Century Gothic"/>
          <w:sz w:val="23"/>
          <w:szCs w:val="23"/>
        </w:rPr>
        <w:t xml:space="preserve"> aprobó el Manual para la ubicación, selección, contratación, adecuación y equipamiento de los inmuebles que servirán de sedes para el funcionamiento de las Juntas y Consejos Electorales Distritales que se instalen con motivo del Proceso Electoral Local Ordinario 2023 – 2024.</w:t>
      </w:r>
    </w:p>
    <w:p w14:paraId="48E710C7"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Solicitud de recursos para gastos de camino</w:t>
      </w:r>
    </w:p>
    <w:p w14:paraId="637B7C94"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El 1 de septiembre de 2023, la Secretaría Ejecutiva en cumplimiento a lo ordenado por el Consejo Estatal, requirió a la Dirección Ejecutiva de Administración el pago de gastos de camino a los equipos de trabajo que desarrollarán el procedimiento para la ubicación, selección, contratación, adecuación y equipamiento de los inmuebles, así como los insumos necesarios para su cumplimiento y ejecución.</w:t>
      </w:r>
    </w:p>
    <w:p w14:paraId="13673540" w14:textId="77777777" w:rsidR="00B224FF" w:rsidRPr="0051464C" w:rsidRDefault="00B224FF" w:rsidP="002B3335">
      <w:pPr>
        <w:pStyle w:val="Ttulo1"/>
        <w:spacing w:line="281" w:lineRule="auto"/>
        <w:rPr>
          <w:rFonts w:ascii="Century Gothic" w:hAnsi="Century Gothic"/>
          <w:w w:val="150"/>
          <w:sz w:val="24"/>
          <w:szCs w:val="24"/>
        </w:rPr>
      </w:pPr>
      <w:r w:rsidRPr="0051464C">
        <w:rPr>
          <w:rFonts w:ascii="Century Gothic" w:hAnsi="Century Gothic"/>
          <w:sz w:val="24"/>
          <w:szCs w:val="24"/>
        </w:rPr>
        <w:lastRenderedPageBreak/>
        <w:t>Considerando</w:t>
      </w:r>
    </w:p>
    <w:p w14:paraId="797298E9"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Fines del Instituto Electoral</w:t>
      </w:r>
    </w:p>
    <w:p w14:paraId="3C61197B"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Que, los artículos 9, apartado C, fracción I, de la Constitución Local; 3 numeral 3, 100 y 102, de la Ley Electoral, establecen que, el Instituto Electoral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14:paraId="741B60D1"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95E29A9"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Órganos Centrales del Instituto Electoral</w:t>
      </w:r>
    </w:p>
    <w:p w14:paraId="0C711C6D"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Que, el artículo 105, de la Ley Electoral, señala que, son órganos centrales del Instituto Electoral los siguientes: I. Consejo Estatal; II. Presidencia del Consejo </w:t>
      </w:r>
      <w:r w:rsidRPr="0051464C">
        <w:rPr>
          <w:rFonts w:ascii="Century Gothic" w:hAnsi="Century Gothic"/>
          <w:sz w:val="23"/>
          <w:szCs w:val="23"/>
        </w:rPr>
        <w:lastRenderedPageBreak/>
        <w:t>Estatal; III. Junta Ejecutiva; IV. Secretaría Ejecutiva, y V. Órgano Técnico de Fiscalización.</w:t>
      </w:r>
    </w:p>
    <w:p w14:paraId="6A5C47E1"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Órgano Superior de Dirección del Instituto Electoral</w:t>
      </w:r>
    </w:p>
    <w:p w14:paraId="713E6B1C" w14:textId="77777777" w:rsidR="00B224FF" w:rsidRPr="0051464C" w:rsidRDefault="00B224FF" w:rsidP="00E44BD6">
      <w:pPr>
        <w:pStyle w:val="Prrafodelista"/>
        <w:spacing w:line="281" w:lineRule="auto"/>
        <w:ind w:left="0"/>
        <w:contextualSpacing w:val="0"/>
        <w:rPr>
          <w:rFonts w:ascii="Century Gothic" w:hAnsi="Century Gothic"/>
          <w:sz w:val="23"/>
          <w:szCs w:val="23"/>
        </w:rPr>
      </w:pPr>
      <w:r w:rsidRPr="0051464C">
        <w:rPr>
          <w:rFonts w:ascii="Century Gothic" w:hAnsi="Century Gothic"/>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2A0125A"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Integración de la Junta Ejecutiva</w:t>
      </w:r>
    </w:p>
    <w:p w14:paraId="51ECBFDD" w14:textId="77777777" w:rsidR="00B224FF" w:rsidRPr="0051464C" w:rsidRDefault="00B224FF" w:rsidP="00E44BD6">
      <w:pPr>
        <w:pStyle w:val="Prrafodelista"/>
        <w:spacing w:line="281" w:lineRule="auto"/>
        <w:ind w:left="0"/>
        <w:contextualSpacing w:val="0"/>
        <w:rPr>
          <w:rFonts w:ascii="Century Gothic" w:hAnsi="Century Gothic"/>
          <w:sz w:val="23"/>
          <w:szCs w:val="23"/>
        </w:rPr>
      </w:pPr>
      <w:r w:rsidRPr="0051464C">
        <w:rPr>
          <w:rFonts w:ascii="Century Gothic" w:hAnsi="Century Gothic"/>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028971D5" w14:textId="77777777" w:rsidR="00B224FF" w:rsidRPr="0051464C" w:rsidRDefault="00B224FF" w:rsidP="00E44BD6">
      <w:pPr>
        <w:pStyle w:val="Prrafodelista"/>
        <w:spacing w:line="281" w:lineRule="auto"/>
        <w:ind w:left="0"/>
        <w:contextualSpacing w:val="0"/>
        <w:rPr>
          <w:rFonts w:ascii="Century Gothic" w:hAnsi="Century Gothic"/>
          <w:sz w:val="23"/>
          <w:szCs w:val="23"/>
        </w:rPr>
      </w:pPr>
      <w:r w:rsidRPr="0051464C">
        <w:rPr>
          <w:rFonts w:ascii="Century Gothic" w:hAnsi="Century Gothic"/>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14:paraId="6DE0BC1D"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Atribuciones de la Junta Ejecutiva</w:t>
      </w:r>
    </w:p>
    <w:p w14:paraId="619D862B" w14:textId="77777777" w:rsidR="00B224FF" w:rsidRPr="0051464C" w:rsidRDefault="00B224FF" w:rsidP="00E44BD6">
      <w:pPr>
        <w:pStyle w:val="Prrafodelista"/>
        <w:spacing w:line="281" w:lineRule="auto"/>
        <w:ind w:left="0"/>
        <w:contextualSpacing w:val="0"/>
        <w:rPr>
          <w:rFonts w:ascii="Century Gothic" w:hAnsi="Century Gothic"/>
          <w:sz w:val="23"/>
          <w:szCs w:val="23"/>
        </w:rPr>
      </w:pPr>
      <w:r w:rsidRPr="0051464C">
        <w:rPr>
          <w:rFonts w:ascii="Century Gothic" w:hAnsi="Century Gothic"/>
          <w:sz w:val="23"/>
          <w:szCs w:val="23"/>
        </w:rPr>
        <w:t>Que, el numeral 1, del artículo 119, de la Ley Electoral, señala que, la Junta Ejecutiva se reunirá por lo menos una vez al mes y ejercerá las atribuciones siguientes:</w:t>
      </w:r>
    </w:p>
    <w:p w14:paraId="73310419"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“I. Proponer al Consejo Estatal las políticas generales y los programas del Instituto Estatal;</w:t>
      </w:r>
    </w:p>
    <w:p w14:paraId="3A77232D"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II. Fijar los procedimientos administrativos, conforme a las políticas y programas generales del Instituto Estatal;</w:t>
      </w:r>
    </w:p>
    <w:p w14:paraId="078D4500"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lastRenderedPageBreak/>
        <w:t>III. Revisar el cumplimiento de los trabajos relativos a los productos electorales que habrá de aportar el Registro Federal de Electores para el Proceso Local, conforme al convenio y documentos técnicos celebrados con el Instituto Nacional Electoral;</w:t>
      </w:r>
    </w:p>
    <w:p w14:paraId="519CC7B2"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IV. Vigilar el cumplimiento de las normas aplicables a los Partidos Políticos, las agrupaciones políticas y candidatos;</w:t>
      </w:r>
    </w:p>
    <w:p w14:paraId="06A5E86F"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V. Supervisar el cumplimiento de los programas y actividades de las Direcciones del Instituto Estatal;</w:t>
      </w:r>
    </w:p>
    <w:p w14:paraId="25D2ABF7"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VI. Nombrar a los miembros de las Juntas Electorales Distritales, a propuesta de su Presidenta o Presidente, y supervisar el cumplimiento de sus actividades; así como aprobar, conforme al presupuesto autorizado, la estructura de las vocalías de acuerdo con las necesidades del proceso electoral;</w:t>
      </w:r>
    </w:p>
    <w:p w14:paraId="1E1BDAB4"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VII. Nombrar, en su caso, a la o el funcionario que acudirá a las sesiones de la Comisión Local de Vigilancia del Registro Federal de Electores, con facultades de enlace con el Instituto Nacional Electoral, de conformidad con el convenio respectivo que se suscriba;</w:t>
      </w:r>
    </w:p>
    <w:p w14:paraId="2DA1F92B"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VIII. Conocer de los informes de la Contraloría General respecto de los expedientes relativos a las faltas administrativas y, en su caso, sobre imposición de sanciones a las personas servidoras públicas del Instituto Estatal;</w:t>
      </w:r>
    </w:p>
    <w:p w14:paraId="39E0AEED"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IX. Formular los estudios y, en su caso, los proyectos de convenio que deban suscribirse entre el Instituto Estatal con el Instituto Nacional Electoral;</w:t>
      </w:r>
    </w:p>
    <w:p w14:paraId="7BA39ECC"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X. Presentar a consideración del Consejo Estatal el proyecto de dictamen de pérdida de registro de algún Partido Político Local o agrupación política local, que se encuentren en cualquiera de los supuestos establecidos en esta Ley;</w:t>
      </w:r>
    </w:p>
    <w:p w14:paraId="4F0FFD1B"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XI. Resolver, en el ámbito de su competencia, los medios de impugnación en contra de los actos o resoluciones de la Secretaría Ejecutiva y de las Juntas Distritales del Instituto Estatal, en los términos establecidos en la ley de la materia;</w:t>
      </w:r>
    </w:p>
    <w:p w14:paraId="336DDE89"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XII. Integrar los expedientes relativos a las faltas administrativas en materia electoral y, en su caso, proponer las sanciones, en los términos que establece esta Ley, y</w:t>
      </w:r>
    </w:p>
    <w:p w14:paraId="18FEEC90" w14:textId="77777777" w:rsidR="00B224FF" w:rsidRPr="00B224FF" w:rsidRDefault="00B224FF" w:rsidP="00E44BD6">
      <w:pPr>
        <w:pStyle w:val="Cita"/>
        <w:spacing w:line="281" w:lineRule="auto"/>
        <w:ind w:left="0" w:right="0"/>
        <w:rPr>
          <w:rFonts w:ascii="Century Gothic" w:hAnsi="Century Gothic"/>
        </w:rPr>
      </w:pPr>
      <w:r w:rsidRPr="00B224FF">
        <w:rPr>
          <w:rFonts w:ascii="Century Gothic" w:hAnsi="Century Gothic"/>
        </w:rPr>
        <w:t>XIII. Las demás que le encomiende esta Ley, el Consejo Estatal y el Consejero Presidente”.</w:t>
      </w:r>
    </w:p>
    <w:p w14:paraId="06C60C09"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Además, en términos del artículo 4, numerales 2 y 3 del Reglamento de Sesiones de la Junta Estatal Ejecutiva del Instituto Electoral y de Participación Ciudadana de Tabasco, la Junta Estatal, es el órgano encargado de velar por </w:t>
      </w:r>
      <w:r w:rsidRPr="0051464C">
        <w:rPr>
          <w:rFonts w:ascii="Century Gothic" w:hAnsi="Century Gothic"/>
          <w:sz w:val="23"/>
          <w:szCs w:val="23"/>
        </w:rPr>
        <w:lastRenderedPageBreak/>
        <w:t>el buen desempeño y el funcionamiento administrativo del Instituto, así como de supervisar la administración de los recursos financieros, humanos y materiales de este, teniendo las atribuciones asignadas y establecidas en la Ley Electoral, aquellas que le establezcan los acuerdos y las demás disposiciones que emita el Consejo Estatal.</w:t>
      </w:r>
    </w:p>
    <w:p w14:paraId="76C85FD3"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Administración del Instituto Electoral</w:t>
      </w:r>
    </w:p>
    <w:p w14:paraId="00112874"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Que, el artículo 117, numeral 1 de la Ley Electoral, establece que, entre otras, la Secretaría Ejecutiva, tiene la atribución de coordinar la Junta General, conducir la administración y supervisar el desarrollo adecuado de las actividades de los órganos ejecutivos y técnicos del Instituto Electoral.</w:t>
      </w:r>
    </w:p>
    <w:p w14:paraId="2D4994ED"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Conforme a lo anterior, corresponde a la Secretaría Ejecutiva, proveer a los órganos del Instituto Electoral de los elementos primordiales para el cumplimiento de sus funciones, en términos de lo que refiere el artículo 117, numeral 2, fracción XVIII de la Ley Electoral.</w:t>
      </w:r>
    </w:p>
    <w:p w14:paraId="7AE31712"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Administración de los recursos financieros y materiales del Instituto Electoral</w:t>
      </w:r>
    </w:p>
    <w:p w14:paraId="74F9063F"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Que, conforme a lo dispuesto por el artículo 122, numeral 1, fracción I, de la Ley Electoral, corresponde a la Dirección Ejecutiva de Administración aplicar las políticas, normas y procedimientos para la administración de los recursos financieros y materiales del Instituto Estatal, previo acuerdo de la Junta Estatal Ejecutiva.</w:t>
      </w:r>
    </w:p>
    <w:p w14:paraId="107190B5"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Control presupuestal para viáticos y gastos de camino</w:t>
      </w:r>
    </w:p>
    <w:p w14:paraId="6FC91FEE"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Que, de acuerdo con el Manual de Normas Presupuestarias y Administrativas para el Control del Ejercicio Presupuestal, los </w:t>
      </w:r>
      <w:r w:rsidRPr="0051464C">
        <w:rPr>
          <w:rFonts w:ascii="Century Gothic" w:hAnsi="Century Gothic"/>
          <w:b/>
          <w:bCs/>
          <w:sz w:val="23"/>
          <w:szCs w:val="23"/>
        </w:rPr>
        <w:t>viáticos</w:t>
      </w:r>
      <w:r w:rsidRPr="0051464C">
        <w:rPr>
          <w:rFonts w:ascii="Century Gothic" w:hAnsi="Century Gothic"/>
          <w:sz w:val="23"/>
          <w:szCs w:val="23"/>
        </w:rPr>
        <w:t xml:space="preserve"> son los recursos que se asignan a los servidores públicos del Instituto, para el desempeño de una comisión en lugares distintos al de su adscripción cuyo período de ejecución </w:t>
      </w:r>
      <w:r w:rsidRPr="0051464C">
        <w:rPr>
          <w:rFonts w:ascii="Century Gothic" w:hAnsi="Century Gothic"/>
          <w:sz w:val="23"/>
          <w:szCs w:val="23"/>
        </w:rPr>
        <w:lastRenderedPageBreak/>
        <w:t>sea mayor a 24 horas, que servirán para cubrir el pago de hospedaje, transporte, alimentación y gastos menores inherentes al viaje, dentro o fuera del Estado.</w:t>
      </w:r>
    </w:p>
    <w:p w14:paraId="11DAE5CD"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Por su parte, los </w:t>
      </w:r>
      <w:r w:rsidRPr="0051464C">
        <w:rPr>
          <w:rFonts w:ascii="Century Gothic" w:hAnsi="Century Gothic"/>
          <w:b/>
          <w:bCs/>
          <w:sz w:val="23"/>
          <w:szCs w:val="23"/>
        </w:rPr>
        <w:t>gastos de camino</w:t>
      </w:r>
      <w:r w:rsidRPr="0051464C">
        <w:rPr>
          <w:rFonts w:ascii="Century Gothic" w:hAnsi="Century Gothic"/>
          <w:sz w:val="23"/>
          <w:szCs w:val="23"/>
        </w:rPr>
        <w:t xml:space="preserve"> son los recursos que se otorgan al personal del Instituto para el desempeño de una comisión en lugares distintos al de su adscripción, cuyo período de ejecución sea menor a 24 horas y rebasen el horario normal de trabajo. Este cubrirá los gastos menores inherentes al viaje en el desempeño de la comisión. </w:t>
      </w:r>
    </w:p>
    <w:p w14:paraId="15AE9229"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Requisitos para la asignación de viáticos y gastos de camino</w:t>
      </w:r>
    </w:p>
    <w:p w14:paraId="6529FA92"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Que, de conformidad con el Manual de Normas Presupuestarias y Administrativas para el Control del Ejercicio Presupuestal, los viáticos y los gastos de camino se otorgarán por día de comisión con base en el tabulador establecido en el propio Manual; asimismo, para su pago se deberá acompañar el oficio donde conste la comisión a realizar. </w:t>
      </w:r>
    </w:p>
    <w:p w14:paraId="167E9E6A"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Además, al término de la comisión las y los servidores públicos de mando medio y operativo, deberán anexar una relatoría de su encomienda, debiendo contener lugar de la comisión y actividad realizada, en su caso, la evidencia fotográfica.</w:t>
      </w:r>
    </w:p>
    <w:p w14:paraId="12900727"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En todo caso, el personal comisionado deberá comprobar el ejercicio de los recursos asignados en el tiempo y forma establecidos en el Manual.</w:t>
      </w:r>
    </w:p>
    <w:p w14:paraId="3A6F10F3"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Comprobación de gastos de camino y viáticos por categoría</w:t>
      </w:r>
    </w:p>
    <w:p w14:paraId="51EA1371"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Que, en términos del Manual de Normas Presupuestarias y Administrativas para el Control del Ejercicio Presupuestal, los gastos de camino (duración menor de 24 horas) que se generen dentro de la entidad, por el personal operativo del Instituto, se comprobarán a través de los formatos y recibos oficiales foliados, además de un informe de las actividades realizadas en la encomienda. En </w:t>
      </w:r>
      <w:r w:rsidRPr="0051464C">
        <w:rPr>
          <w:rFonts w:ascii="Century Gothic" w:hAnsi="Century Gothic"/>
          <w:sz w:val="23"/>
          <w:szCs w:val="23"/>
        </w:rPr>
        <w:lastRenderedPageBreak/>
        <w:t>procesos electorales se solicitará de los órganos distritales el sello respectivo en el mismo. Se deberá transcribir las actividades que realicen en el reverso del oficio de comisión.</w:t>
      </w:r>
    </w:p>
    <w:p w14:paraId="1BF8B5BD"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Los viáticos (mayores de 24 horas) deberán comprobarse con factura de hospedaje, transporte y alimentos, así como los gastos menores inherentes al viaje (transbordo) que incluyan las distintas fechas que comprenda la comisión.</w:t>
      </w:r>
    </w:p>
    <w:p w14:paraId="2F60C56A"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Si por necesidad del servicio, se realizan comisiones fuera del país, los viáticos que se generen deberán autorizarse por el Secretario Ejecutivo, previo informe a la Junta Ejecutiva. </w:t>
      </w:r>
    </w:p>
    <w:p w14:paraId="2E823E5D"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La comprobación de viáticos y gastos de camino se realizarán conforme al formato establecido y lo indicado en el Manual de Normas Presupuestarias y Administrativas para el Control del Ejercicio Presupuestal.</w:t>
      </w:r>
    </w:p>
    <w:p w14:paraId="559F3ADE"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Búsqueda y selección de inmuebles</w:t>
      </w:r>
    </w:p>
    <w:p w14:paraId="58A2429E"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Que, en virtud del procedimiento para la ubicación, selección, contratación, adecuación y equipamiento de los inmuebles que servirán de sedes para el funcionamiento de las Juntas y Consejos Electorales Distritales que se instalen con motivo del Proceso Electoral Local Ordinario 2023 – 2024, aprobado por el Consejo Estatal, se determinó la instalación de 5 grupos de trabajo.</w:t>
      </w:r>
    </w:p>
    <w:p w14:paraId="63E29DC9"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Los grupos de trabajo serán los responsables operativos de la búsqueda y ubicación de las propuestas de inmuebles en cada una de las cabeceras distritales. </w:t>
      </w:r>
    </w:p>
    <w:p w14:paraId="07CC0190"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Cada grupo de trabajo estará formado por 3 personas: 1 de la Dirección Ejecutiva de Organización Electoral y Educación Cívica, 1 de la Dirección Ejecutiva de Administración y 1 de la Unidad de Tecnologías de la Información y Comunicación, teniendo la responsabilidad de proponer al menos dos inmuebles por distrito.</w:t>
      </w:r>
    </w:p>
    <w:p w14:paraId="3864A71D"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lastRenderedPageBreak/>
        <w:t>El periodo de recorridos y búsqueda de inmuebles será de 15 días como máximo y comenzará inmediatamente después de la aprobación del Manual.</w:t>
      </w:r>
    </w:p>
    <w:p w14:paraId="086BC70D" w14:textId="77777777" w:rsidR="00B224FF" w:rsidRPr="0051464C" w:rsidRDefault="00B224FF" w:rsidP="002B3335">
      <w:pPr>
        <w:pStyle w:val="Ttulo2"/>
        <w:spacing w:line="281" w:lineRule="auto"/>
        <w:rPr>
          <w:rFonts w:ascii="Century Gothic" w:hAnsi="Century Gothic"/>
          <w:sz w:val="23"/>
          <w:szCs w:val="23"/>
        </w:rPr>
      </w:pPr>
      <w:r w:rsidRPr="0051464C">
        <w:rPr>
          <w:rFonts w:ascii="Century Gothic" w:hAnsi="Century Gothic"/>
          <w:sz w:val="23"/>
          <w:szCs w:val="23"/>
        </w:rPr>
        <w:t>Modificación provisional al pago de gastos de camino</w:t>
      </w:r>
    </w:p>
    <w:p w14:paraId="29BFE416"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Que, para el desarrollo de las actividades que el Manual para la ubicación, selección, contratación, adecuación y equipamiento de los inmuebles que servirán de sedes para el funcionamiento de las Juntas y Consejos Electorales Distritales, establece a los Grupos de Trabajo, resulta indispensable el otorgamiento de los gastos de camino al personal del Instituto que conformarán tales grupos.</w:t>
      </w:r>
    </w:p>
    <w:p w14:paraId="419DF9D5"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A partir de lo anterior, esta Junta Ejecutiva considera un incremento provisional y razonable a los gastos de camino para el desarrollo de las actividades señaladas. Al respecto, los montos establecidos en el tabulador por tal concepto entraron en vigor a partir de abril de 2017, lo que implica que, desde su aprobación y vigencia, han permanecido intocados por más de seis años; período en el cual, la inflación general a partir del mes y año señalados, hasta la emisión del presente acuerdo, representa una inflación acumulada de 35.84% de acuerdo con el Instituto Nacional de Estadística y Geografía (INEGI)</w:t>
      </w:r>
      <w:r w:rsidRPr="0051464C">
        <w:rPr>
          <w:rStyle w:val="Refdenotaalpie"/>
          <w:rFonts w:ascii="Century Gothic" w:hAnsi="Century Gothic"/>
          <w:sz w:val="23"/>
          <w:szCs w:val="23"/>
        </w:rPr>
        <w:footnoteReference w:id="1"/>
      </w:r>
      <w:r w:rsidRPr="0051464C">
        <w:rPr>
          <w:rFonts w:ascii="Century Gothic" w:hAnsi="Century Gothic"/>
          <w:sz w:val="23"/>
          <w:szCs w:val="23"/>
        </w:rPr>
        <w:t>.</w:t>
      </w:r>
    </w:p>
    <w:p w14:paraId="6486320D" w14:textId="6C32BBA0" w:rsidR="00B224FF" w:rsidRDefault="00B224FF" w:rsidP="002B3335">
      <w:pPr>
        <w:spacing w:line="281" w:lineRule="auto"/>
        <w:rPr>
          <w:rFonts w:ascii="Century Gothic" w:hAnsi="Century Gothic"/>
          <w:sz w:val="23"/>
          <w:szCs w:val="23"/>
        </w:rPr>
      </w:pPr>
      <w:r w:rsidRPr="0051464C">
        <w:rPr>
          <w:rFonts w:ascii="Century Gothic" w:hAnsi="Century Gothic"/>
          <w:sz w:val="23"/>
          <w:szCs w:val="23"/>
        </w:rPr>
        <w:t>Es por lo que, con el propósito de que el personal de este Instituto cuente con las condiciones mínimas adecuadas para la ubicación de los inmuebles necesarios para el desarrollo del Proceso Electoral Local Ordinario 2023 – 2024, se establece un incremento a los gastos de camino, conforme a</w:t>
      </w:r>
      <w:r w:rsidR="008F7A66" w:rsidRPr="0051464C">
        <w:rPr>
          <w:rFonts w:ascii="Century Gothic" w:hAnsi="Century Gothic"/>
          <w:sz w:val="23"/>
          <w:szCs w:val="23"/>
        </w:rPr>
        <w:t xml:space="preserve">l </w:t>
      </w:r>
      <w:r w:rsidR="007937AA" w:rsidRPr="0051464C">
        <w:rPr>
          <w:rFonts w:ascii="Century Gothic" w:hAnsi="Century Gothic"/>
          <w:sz w:val="23"/>
          <w:szCs w:val="23"/>
        </w:rPr>
        <w:t xml:space="preserve">Manual aprobado </w:t>
      </w:r>
      <w:r w:rsidR="008F7A66" w:rsidRPr="0051464C">
        <w:rPr>
          <w:rFonts w:ascii="Century Gothic" w:hAnsi="Century Gothic"/>
          <w:sz w:val="23"/>
          <w:szCs w:val="23"/>
        </w:rPr>
        <w:t xml:space="preserve">y </w:t>
      </w:r>
      <w:r w:rsidR="007937AA" w:rsidRPr="0051464C">
        <w:rPr>
          <w:rFonts w:ascii="Century Gothic" w:hAnsi="Century Gothic"/>
          <w:sz w:val="23"/>
          <w:szCs w:val="23"/>
        </w:rPr>
        <w:t>al</w:t>
      </w:r>
      <w:r w:rsidR="008F7A66" w:rsidRPr="0051464C">
        <w:rPr>
          <w:rFonts w:ascii="Century Gothic" w:hAnsi="Century Gothic"/>
          <w:sz w:val="23"/>
          <w:szCs w:val="23"/>
        </w:rPr>
        <w:t xml:space="preserve"> programa de recorridos de </w:t>
      </w:r>
      <w:r w:rsidR="007937AA" w:rsidRPr="0051464C">
        <w:rPr>
          <w:rFonts w:ascii="Century Gothic" w:hAnsi="Century Gothic"/>
          <w:sz w:val="23"/>
          <w:szCs w:val="23"/>
        </w:rPr>
        <w:t xml:space="preserve">ubicación de </w:t>
      </w:r>
      <w:r w:rsidR="008F7A66" w:rsidRPr="0051464C">
        <w:rPr>
          <w:rFonts w:ascii="Century Gothic" w:hAnsi="Century Gothic"/>
          <w:sz w:val="23"/>
          <w:szCs w:val="23"/>
        </w:rPr>
        <w:t>inmuebles</w:t>
      </w:r>
      <w:r w:rsidR="004F61D5">
        <w:rPr>
          <w:rFonts w:ascii="Century Gothic" w:hAnsi="Century Gothic"/>
          <w:sz w:val="23"/>
          <w:szCs w:val="23"/>
        </w:rPr>
        <w:t>;</w:t>
      </w:r>
      <w:r w:rsidR="009C2518" w:rsidRPr="0051464C">
        <w:rPr>
          <w:rFonts w:ascii="Century Gothic" w:hAnsi="Century Gothic"/>
          <w:sz w:val="23"/>
          <w:szCs w:val="23"/>
        </w:rPr>
        <w:t xml:space="preserve"> </w:t>
      </w:r>
      <w:r w:rsidR="004F61D5">
        <w:rPr>
          <w:rFonts w:ascii="Century Gothic" w:hAnsi="Century Gothic"/>
          <w:sz w:val="23"/>
          <w:szCs w:val="23"/>
        </w:rPr>
        <w:t xml:space="preserve">así mismo en la ruta 5 se otorgaran viáticos que se cubrirán conforme al Manual de normas presupuestarias y administrativas,  para el control del ejercicio presupuestal, quedando el tabulador de la </w:t>
      </w:r>
      <w:r w:rsidR="007937AA" w:rsidRPr="0051464C">
        <w:rPr>
          <w:rFonts w:ascii="Century Gothic" w:hAnsi="Century Gothic"/>
          <w:sz w:val="23"/>
          <w:szCs w:val="23"/>
        </w:rPr>
        <w:t xml:space="preserve">siguiente </w:t>
      </w:r>
      <w:r w:rsidR="004F61D5">
        <w:rPr>
          <w:rFonts w:ascii="Century Gothic" w:hAnsi="Century Gothic"/>
          <w:sz w:val="23"/>
          <w:szCs w:val="23"/>
        </w:rPr>
        <w:t xml:space="preserve"> manera</w:t>
      </w:r>
      <w:r w:rsidR="007937AA" w:rsidRPr="0051464C">
        <w:rPr>
          <w:rFonts w:ascii="Century Gothic" w:hAnsi="Century Gothic"/>
          <w:sz w:val="23"/>
          <w:szCs w:val="23"/>
        </w:rPr>
        <w:t>:</w:t>
      </w:r>
    </w:p>
    <w:p w14:paraId="7154E8F3" w14:textId="77777777" w:rsidR="002A60EF" w:rsidRDefault="002A60EF" w:rsidP="002B3335">
      <w:pPr>
        <w:spacing w:line="281" w:lineRule="auto"/>
        <w:rPr>
          <w:rFonts w:ascii="Century Gothic" w:hAnsi="Century Gothic"/>
          <w:sz w:val="23"/>
          <w:szCs w:val="23"/>
        </w:rPr>
      </w:pPr>
      <w:bookmarkStart w:id="0" w:name="_GoBack"/>
      <w:bookmarkEnd w:id="0"/>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129"/>
        <w:gridCol w:w="2269"/>
      </w:tblGrid>
      <w:tr w:rsidR="008F7A66" w:rsidRPr="00AC2D7D" w14:paraId="5EF1F897" w14:textId="5EBD71F8" w:rsidTr="00044EF1">
        <w:trPr>
          <w:jc w:val="center"/>
        </w:trPr>
        <w:tc>
          <w:tcPr>
            <w:tcW w:w="1129" w:type="dxa"/>
            <w:shd w:val="clear" w:color="auto" w:fill="993366"/>
            <w:vAlign w:val="center"/>
          </w:tcPr>
          <w:p w14:paraId="4147C844" w14:textId="065ED265" w:rsidR="008F7A66" w:rsidRPr="00AC2D7D" w:rsidRDefault="00255139" w:rsidP="00255139">
            <w:pPr>
              <w:spacing w:before="40" w:after="40" w:line="281" w:lineRule="auto"/>
              <w:jc w:val="center"/>
              <w:rPr>
                <w:rFonts w:ascii="Century Gothic" w:hAnsi="Century Gothic"/>
                <w:b/>
                <w:bCs/>
                <w:color w:val="FFFFFF" w:themeColor="background1"/>
                <w:sz w:val="18"/>
                <w:szCs w:val="18"/>
              </w:rPr>
            </w:pPr>
            <w:r>
              <w:rPr>
                <w:rFonts w:ascii="Century Gothic" w:hAnsi="Century Gothic"/>
                <w:b/>
                <w:bCs/>
                <w:color w:val="FFFFFF" w:themeColor="background1"/>
                <w:sz w:val="18"/>
                <w:szCs w:val="18"/>
              </w:rPr>
              <w:lastRenderedPageBreak/>
              <w:t>Ruta</w:t>
            </w:r>
          </w:p>
        </w:tc>
        <w:tc>
          <w:tcPr>
            <w:tcW w:w="2269" w:type="dxa"/>
            <w:shd w:val="clear" w:color="auto" w:fill="993366"/>
            <w:vAlign w:val="center"/>
          </w:tcPr>
          <w:p w14:paraId="24CA1BF3" w14:textId="05247BB5" w:rsidR="008F7A66" w:rsidRPr="00AC2D7D" w:rsidRDefault="004F61D5" w:rsidP="004D4463">
            <w:pPr>
              <w:spacing w:before="40" w:after="40" w:line="281" w:lineRule="auto"/>
              <w:jc w:val="center"/>
              <w:rPr>
                <w:rFonts w:ascii="Century Gothic" w:hAnsi="Century Gothic"/>
                <w:b/>
                <w:bCs/>
                <w:color w:val="FFFFFF" w:themeColor="background1"/>
                <w:sz w:val="18"/>
                <w:szCs w:val="18"/>
              </w:rPr>
            </w:pPr>
            <w:r w:rsidRPr="00AC2D7D">
              <w:rPr>
                <w:rFonts w:ascii="Century Gothic" w:hAnsi="Century Gothic"/>
                <w:b/>
                <w:bCs/>
                <w:color w:val="FFFFFF" w:themeColor="background1"/>
                <w:sz w:val="18"/>
                <w:szCs w:val="18"/>
              </w:rPr>
              <w:t xml:space="preserve">Monto </w:t>
            </w:r>
            <w:r w:rsidR="008F7A66" w:rsidRPr="00AC2D7D">
              <w:rPr>
                <w:rFonts w:ascii="Century Gothic" w:hAnsi="Century Gothic"/>
                <w:b/>
                <w:bCs/>
                <w:color w:val="FFFFFF" w:themeColor="background1"/>
                <w:sz w:val="18"/>
                <w:szCs w:val="18"/>
              </w:rPr>
              <w:t>Gastos de Camino</w:t>
            </w:r>
            <w:r>
              <w:rPr>
                <w:rFonts w:ascii="Century Gothic" w:hAnsi="Century Gothic"/>
                <w:b/>
                <w:bCs/>
                <w:color w:val="FFFFFF" w:themeColor="background1"/>
                <w:sz w:val="18"/>
                <w:szCs w:val="18"/>
              </w:rPr>
              <w:t xml:space="preserve"> </w:t>
            </w:r>
          </w:p>
        </w:tc>
      </w:tr>
      <w:tr w:rsidR="008F7A66" w:rsidRPr="00AC2D7D" w14:paraId="71C4D0C4" w14:textId="789EFF7B" w:rsidTr="00044EF1">
        <w:trPr>
          <w:jc w:val="center"/>
        </w:trPr>
        <w:tc>
          <w:tcPr>
            <w:tcW w:w="1129" w:type="dxa"/>
            <w:vAlign w:val="center"/>
          </w:tcPr>
          <w:p w14:paraId="5411E669" w14:textId="6C882A7E" w:rsidR="008F7A66" w:rsidRPr="006C71C8"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1</w:t>
            </w:r>
          </w:p>
        </w:tc>
        <w:tc>
          <w:tcPr>
            <w:tcW w:w="2269" w:type="dxa"/>
            <w:vAlign w:val="center"/>
          </w:tcPr>
          <w:p w14:paraId="06BC1975" w14:textId="49C557AD" w:rsidR="008F7A66"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$120.00</w:t>
            </w:r>
          </w:p>
        </w:tc>
      </w:tr>
      <w:tr w:rsidR="008F7A66" w:rsidRPr="00AC2D7D" w14:paraId="0ABB7EDF" w14:textId="79295612" w:rsidTr="00044EF1">
        <w:trPr>
          <w:jc w:val="center"/>
        </w:trPr>
        <w:tc>
          <w:tcPr>
            <w:tcW w:w="1129" w:type="dxa"/>
            <w:vAlign w:val="center"/>
          </w:tcPr>
          <w:p w14:paraId="08402D2F" w14:textId="50C62B99" w:rsidR="008F7A66" w:rsidRPr="006C71C8"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2</w:t>
            </w:r>
          </w:p>
        </w:tc>
        <w:tc>
          <w:tcPr>
            <w:tcW w:w="2269" w:type="dxa"/>
            <w:vAlign w:val="center"/>
          </w:tcPr>
          <w:p w14:paraId="41D7F610" w14:textId="64623C9C" w:rsidR="008F7A66"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$300.00</w:t>
            </w:r>
          </w:p>
        </w:tc>
      </w:tr>
      <w:tr w:rsidR="008F7A66" w:rsidRPr="00AC2D7D" w14:paraId="5A36BE55" w14:textId="150791AA" w:rsidTr="00044EF1">
        <w:trPr>
          <w:jc w:val="center"/>
        </w:trPr>
        <w:tc>
          <w:tcPr>
            <w:tcW w:w="1129" w:type="dxa"/>
            <w:vAlign w:val="center"/>
          </w:tcPr>
          <w:p w14:paraId="4F4F002F" w14:textId="0ABECC33" w:rsidR="008F7A66" w:rsidRPr="006C71C8"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3</w:t>
            </w:r>
          </w:p>
        </w:tc>
        <w:tc>
          <w:tcPr>
            <w:tcW w:w="2269" w:type="dxa"/>
            <w:vAlign w:val="center"/>
          </w:tcPr>
          <w:p w14:paraId="5E6BF608" w14:textId="776AE5AF" w:rsidR="008F7A66" w:rsidRPr="006C71C8"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$250.00</w:t>
            </w:r>
          </w:p>
        </w:tc>
      </w:tr>
      <w:tr w:rsidR="008F7A66" w:rsidRPr="00AC2D7D" w14:paraId="68DCDFDC" w14:textId="6ECA717C" w:rsidTr="00044EF1">
        <w:trPr>
          <w:jc w:val="center"/>
        </w:trPr>
        <w:tc>
          <w:tcPr>
            <w:tcW w:w="1129" w:type="dxa"/>
            <w:vAlign w:val="center"/>
          </w:tcPr>
          <w:p w14:paraId="00BE0EDA" w14:textId="69A571B5" w:rsidR="008F7A66" w:rsidRPr="006C71C8"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4</w:t>
            </w:r>
          </w:p>
        </w:tc>
        <w:tc>
          <w:tcPr>
            <w:tcW w:w="2269" w:type="dxa"/>
            <w:vAlign w:val="center"/>
          </w:tcPr>
          <w:p w14:paraId="6770A76B" w14:textId="61290B58" w:rsidR="008F7A66" w:rsidRPr="006C71C8" w:rsidRDefault="008F7A66" w:rsidP="00255139">
            <w:pPr>
              <w:spacing w:before="40" w:after="40" w:line="281" w:lineRule="auto"/>
              <w:jc w:val="center"/>
              <w:rPr>
                <w:rFonts w:ascii="Century Gothic" w:hAnsi="Century Gothic"/>
                <w:b/>
                <w:bCs/>
                <w:sz w:val="20"/>
                <w:szCs w:val="20"/>
              </w:rPr>
            </w:pPr>
            <w:r>
              <w:rPr>
                <w:rFonts w:ascii="Century Gothic" w:hAnsi="Century Gothic"/>
                <w:b/>
                <w:bCs/>
                <w:sz w:val="20"/>
                <w:szCs w:val="20"/>
              </w:rPr>
              <w:t>$250.00</w:t>
            </w:r>
          </w:p>
        </w:tc>
      </w:tr>
    </w:tbl>
    <w:p w14:paraId="5D3CDDA5" w14:textId="5CBEC20D"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 xml:space="preserve">Cabe señalar que, el incremento es provisional y estará vigente </w:t>
      </w:r>
      <w:r w:rsidR="00044EF1">
        <w:rPr>
          <w:rFonts w:ascii="Century Gothic" w:hAnsi="Century Gothic"/>
          <w:sz w:val="23"/>
          <w:szCs w:val="23"/>
        </w:rPr>
        <w:t xml:space="preserve">a partir de la aprobación del presente acuerdo y </w:t>
      </w:r>
      <w:r w:rsidRPr="0051464C">
        <w:rPr>
          <w:rFonts w:ascii="Century Gothic" w:hAnsi="Century Gothic"/>
          <w:sz w:val="23"/>
          <w:szCs w:val="23"/>
        </w:rPr>
        <w:t xml:space="preserve">durante el tiempo </w:t>
      </w:r>
      <w:r w:rsidR="00044EF1">
        <w:rPr>
          <w:rFonts w:ascii="Century Gothic" w:hAnsi="Century Gothic"/>
          <w:sz w:val="23"/>
          <w:szCs w:val="23"/>
        </w:rPr>
        <w:t xml:space="preserve">establecido en el Manual </w:t>
      </w:r>
      <w:r w:rsidRPr="0051464C">
        <w:rPr>
          <w:rFonts w:ascii="Century Gothic" w:hAnsi="Century Gothic"/>
          <w:sz w:val="23"/>
          <w:szCs w:val="23"/>
        </w:rPr>
        <w:t xml:space="preserve">para </w:t>
      </w:r>
      <w:r w:rsidR="00044EF1">
        <w:rPr>
          <w:rFonts w:ascii="Century Gothic" w:hAnsi="Century Gothic"/>
          <w:sz w:val="23"/>
          <w:szCs w:val="23"/>
        </w:rPr>
        <w:t xml:space="preserve">que </w:t>
      </w:r>
      <w:r w:rsidRPr="0051464C">
        <w:rPr>
          <w:rFonts w:ascii="Century Gothic" w:hAnsi="Century Gothic"/>
          <w:sz w:val="23"/>
          <w:szCs w:val="23"/>
        </w:rPr>
        <w:t>el personal que opere o desarrollo el procedimiento de selección y ubicación de inmuebles. No obstante, el personal deberá comprobar el ejercicio de los recursos en términos de la normatividad vigente.</w:t>
      </w:r>
      <w:r w:rsidR="00A92550">
        <w:rPr>
          <w:rFonts w:ascii="Century Gothic" w:hAnsi="Century Gothic"/>
          <w:sz w:val="23"/>
          <w:szCs w:val="23"/>
        </w:rPr>
        <w:t xml:space="preserve"> </w:t>
      </w:r>
    </w:p>
    <w:p w14:paraId="030FF06A" w14:textId="274D3B81"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Finalmente, el incremento determinado no constituye una carga adicional al presupuesto autorizado para el presente ejercicio, pues está previsto para el desarrollo del proceso electoral y atiende a los principios de eficiencia y austeridad en el gasto público.</w:t>
      </w:r>
    </w:p>
    <w:p w14:paraId="30C89ED5" w14:textId="786BC288" w:rsidR="002304C8" w:rsidRPr="0051464C" w:rsidRDefault="002304C8" w:rsidP="002B3335">
      <w:pPr>
        <w:spacing w:line="281" w:lineRule="auto"/>
        <w:rPr>
          <w:rFonts w:ascii="Century Gothic" w:hAnsi="Century Gothic"/>
          <w:sz w:val="23"/>
          <w:szCs w:val="23"/>
        </w:rPr>
      </w:pPr>
      <w:r w:rsidRPr="0051464C">
        <w:rPr>
          <w:rFonts w:ascii="Century Gothic" w:hAnsi="Century Gothic"/>
          <w:sz w:val="23"/>
          <w:szCs w:val="23"/>
        </w:rPr>
        <w:t>Sobre la base de las consideraciones señaladas, esta Junta Ejecutiva emite el siguiente:</w:t>
      </w:r>
    </w:p>
    <w:p w14:paraId="083A8FF5" w14:textId="7442786B" w:rsidR="00B224FF" w:rsidRPr="0051464C" w:rsidRDefault="00534C21" w:rsidP="002B3335">
      <w:pPr>
        <w:pStyle w:val="Ttulo1"/>
        <w:spacing w:line="281" w:lineRule="auto"/>
        <w:rPr>
          <w:rFonts w:ascii="Century Gothic" w:hAnsi="Century Gothic"/>
          <w:sz w:val="24"/>
          <w:szCs w:val="24"/>
        </w:rPr>
      </w:pPr>
      <w:r w:rsidRPr="0051464C">
        <w:rPr>
          <w:rFonts w:ascii="Century Gothic" w:hAnsi="Century Gothic"/>
          <w:sz w:val="24"/>
          <w:szCs w:val="24"/>
        </w:rPr>
        <w:t>Acuerdo</w:t>
      </w:r>
    </w:p>
    <w:p w14:paraId="7E1225C9" w14:textId="24ABB895" w:rsidR="008065D4" w:rsidRPr="0051464C" w:rsidRDefault="00B224FF" w:rsidP="002B3335">
      <w:pPr>
        <w:spacing w:line="281" w:lineRule="auto"/>
        <w:rPr>
          <w:rFonts w:ascii="Century Gothic" w:hAnsi="Century Gothic"/>
          <w:sz w:val="23"/>
          <w:szCs w:val="23"/>
        </w:rPr>
      </w:pPr>
      <w:r w:rsidRPr="0051464C">
        <w:rPr>
          <w:rFonts w:ascii="Century Gothic" w:hAnsi="Century Gothic"/>
          <w:b/>
          <w:sz w:val="23"/>
          <w:szCs w:val="23"/>
        </w:rPr>
        <w:t>Primero.</w:t>
      </w:r>
      <w:r w:rsidRPr="0051464C">
        <w:rPr>
          <w:rFonts w:ascii="Century Gothic" w:hAnsi="Century Gothic"/>
          <w:sz w:val="23"/>
          <w:szCs w:val="23"/>
        </w:rPr>
        <w:t xml:space="preserve"> Se </w:t>
      </w:r>
      <w:r w:rsidR="008065D4" w:rsidRPr="0051464C">
        <w:rPr>
          <w:rFonts w:ascii="Century Gothic" w:hAnsi="Century Gothic"/>
          <w:sz w:val="23"/>
          <w:szCs w:val="23"/>
        </w:rPr>
        <w:t>modifican de forma provisional los montos para gastos de camino destinados para el desarrollo y operación del programa para la ubicación, selección, contratación, adecuación y equipamiento de los inmuebles que servirán de sedes para el funcionamiento de las Juntas y Consejos Electorales Distritales que se instalen con motivo del Proceso Electoral Local Ordinario 2023 – 2024 en los términos establecidos en el presente acuerdo.</w:t>
      </w:r>
    </w:p>
    <w:p w14:paraId="7BF95E65" w14:textId="06AD6273" w:rsidR="009F328C" w:rsidRPr="0051464C" w:rsidRDefault="00B224FF" w:rsidP="009F328C">
      <w:pPr>
        <w:spacing w:line="281" w:lineRule="auto"/>
        <w:rPr>
          <w:rFonts w:ascii="Century Gothic" w:hAnsi="Century Gothic"/>
          <w:sz w:val="23"/>
          <w:szCs w:val="23"/>
        </w:rPr>
      </w:pPr>
      <w:r w:rsidRPr="0051464C">
        <w:rPr>
          <w:rFonts w:ascii="Century Gothic" w:hAnsi="Century Gothic"/>
          <w:b/>
          <w:sz w:val="23"/>
          <w:szCs w:val="23"/>
        </w:rPr>
        <w:t>Segundo.</w:t>
      </w:r>
      <w:r w:rsidRPr="0051464C">
        <w:rPr>
          <w:rFonts w:ascii="Century Gothic" w:hAnsi="Century Gothic"/>
          <w:sz w:val="23"/>
          <w:szCs w:val="23"/>
        </w:rPr>
        <w:t xml:space="preserve"> Se instruye a la Dirección Ejecutiva de Administración realice los trámites administrativos correspondientes para </w:t>
      </w:r>
      <w:r w:rsidR="009F328C" w:rsidRPr="0051464C">
        <w:rPr>
          <w:rFonts w:ascii="Century Gothic" w:hAnsi="Century Gothic"/>
          <w:sz w:val="23"/>
          <w:szCs w:val="23"/>
        </w:rPr>
        <w:t xml:space="preserve">la asignación de los gastos de </w:t>
      </w:r>
      <w:r w:rsidR="009F328C" w:rsidRPr="0051464C">
        <w:rPr>
          <w:rFonts w:ascii="Century Gothic" w:hAnsi="Century Gothic"/>
          <w:sz w:val="23"/>
          <w:szCs w:val="23"/>
        </w:rPr>
        <w:lastRenderedPageBreak/>
        <w:t>camino al personal que integran los grupos de trabajo, conforme al Manual de Normas Presupuestarias y Administrativas para el Control del Ejercicio Presupuestal vigente.</w:t>
      </w:r>
    </w:p>
    <w:p w14:paraId="5F6BC4E4" w14:textId="0970F7AF" w:rsidR="002150D8" w:rsidRPr="002150D8" w:rsidRDefault="00B224FF" w:rsidP="002B3335">
      <w:pPr>
        <w:spacing w:line="281" w:lineRule="auto"/>
        <w:rPr>
          <w:rFonts w:ascii="Century Gothic" w:hAnsi="Century Gothic"/>
          <w:sz w:val="23"/>
          <w:szCs w:val="23"/>
        </w:rPr>
      </w:pPr>
      <w:r w:rsidRPr="0051464C">
        <w:rPr>
          <w:rFonts w:ascii="Century Gothic" w:hAnsi="Century Gothic"/>
          <w:b/>
          <w:sz w:val="23"/>
          <w:szCs w:val="23"/>
        </w:rPr>
        <w:t xml:space="preserve">Tercero. </w:t>
      </w:r>
      <w:r w:rsidR="002150D8" w:rsidRPr="002150D8">
        <w:rPr>
          <w:rFonts w:ascii="Century Gothic" w:hAnsi="Century Gothic"/>
          <w:sz w:val="23"/>
          <w:szCs w:val="23"/>
        </w:rPr>
        <w:t>El presente acuerdo entrará en vigor a partir de su aprobación.</w:t>
      </w:r>
    </w:p>
    <w:p w14:paraId="6BE2D96B" w14:textId="77777777" w:rsidR="00B224FF" w:rsidRPr="0051464C" w:rsidRDefault="00B224FF" w:rsidP="002B3335">
      <w:pPr>
        <w:spacing w:line="281" w:lineRule="auto"/>
        <w:rPr>
          <w:rFonts w:ascii="Century Gothic" w:hAnsi="Century Gothic"/>
          <w:sz w:val="23"/>
          <w:szCs w:val="23"/>
        </w:rPr>
      </w:pPr>
      <w:r w:rsidRPr="0051464C">
        <w:rPr>
          <w:rFonts w:ascii="Century Gothic" w:hAnsi="Century Gothic"/>
          <w:sz w:val="23"/>
          <w:szCs w:val="23"/>
        </w:rPr>
        <w:t>El presente acuerdo fue aprobado en sesión extraordinaria efectuada el 4 de septiembre del año dos mil veintitrés, por votación unánime de la y los integrantes de la Junta Estatal Ejecutiva del Instituto Electoral y de Participación Ciudadana de Tabasco: Lic. Javier García Rodríguez, Director Ejecutivo de Administración; Lic. Rigoberto de la O Gallegos, Encargado de Despacho de la Dirección Ejecutiva de Organización Electoral y Educación Cívica, Lic. Jorge Alberto Zavala Frías, Secretario Ejecutivo y Mtra. Elizabeth Nava Gutiérrez, Presidenta de la Junta Estatal Ejecutiva.</w:t>
      </w:r>
    </w:p>
    <w:p w14:paraId="78BBE09E" w14:textId="77777777" w:rsidR="00B224FF" w:rsidRPr="0051464C" w:rsidRDefault="00B224FF" w:rsidP="002B3335">
      <w:pPr>
        <w:spacing w:line="281" w:lineRule="auto"/>
        <w:rPr>
          <w:rFonts w:ascii="Century Gothic" w:hAnsi="Century Gothic"/>
          <w:sz w:val="23"/>
          <w:szCs w:val="23"/>
        </w:rPr>
      </w:pPr>
    </w:p>
    <w:p w14:paraId="5AA50C40" w14:textId="77777777" w:rsidR="00B224FF" w:rsidRPr="0051464C" w:rsidRDefault="00B224FF" w:rsidP="002B3335">
      <w:pPr>
        <w:spacing w:line="281" w:lineRule="auto"/>
        <w:rPr>
          <w:rFonts w:ascii="Century Gothic" w:hAnsi="Century Gothic"/>
          <w:sz w:val="23"/>
          <w:szCs w:val="23"/>
        </w:rPr>
      </w:pPr>
    </w:p>
    <w:p w14:paraId="436C5AA0" w14:textId="77777777" w:rsidR="00B224FF" w:rsidRPr="0051464C" w:rsidRDefault="00B224FF" w:rsidP="002B3335">
      <w:pPr>
        <w:spacing w:line="281" w:lineRule="auto"/>
        <w:rPr>
          <w:rFonts w:ascii="Century Gothic" w:hAnsi="Century Gothic"/>
          <w:sz w:val="23"/>
          <w:szCs w:val="23"/>
        </w:rPr>
      </w:pPr>
    </w:p>
    <w:p w14:paraId="2EDD95DA" w14:textId="77777777" w:rsidR="00B224FF" w:rsidRPr="0051464C" w:rsidRDefault="00B224FF" w:rsidP="002B3335">
      <w:pPr>
        <w:spacing w:line="281" w:lineRule="auto"/>
        <w:rPr>
          <w:rFonts w:ascii="Century Gothic" w:hAnsi="Century Gothic"/>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B224FF" w:rsidRPr="0051464C" w14:paraId="16CFEE1D" w14:textId="77777777" w:rsidTr="00922423">
        <w:tc>
          <w:tcPr>
            <w:tcW w:w="4395" w:type="dxa"/>
          </w:tcPr>
          <w:p w14:paraId="05CA8AFD" w14:textId="77777777" w:rsidR="00B224FF" w:rsidRPr="0051464C" w:rsidRDefault="00B224FF" w:rsidP="002B3335">
            <w:pPr>
              <w:widowControl w:val="0"/>
              <w:spacing w:before="0" w:after="0" w:line="281" w:lineRule="auto"/>
              <w:jc w:val="center"/>
              <w:rPr>
                <w:rFonts w:ascii="Century Gothic" w:hAnsi="Century Gothic"/>
                <w:b/>
                <w:spacing w:val="-10"/>
                <w:sz w:val="23"/>
                <w:szCs w:val="23"/>
              </w:rPr>
            </w:pPr>
            <w:r w:rsidRPr="0051464C">
              <w:rPr>
                <w:rFonts w:ascii="Century Gothic" w:hAnsi="Century Gothic"/>
                <w:b/>
                <w:spacing w:val="-10"/>
                <w:sz w:val="23"/>
                <w:szCs w:val="23"/>
              </w:rPr>
              <w:t>MTRA. ELIZABETH NAVA GUTIÉRREZ</w:t>
            </w:r>
          </w:p>
          <w:p w14:paraId="4642C7A1" w14:textId="77777777" w:rsidR="00B224FF" w:rsidRPr="0051464C" w:rsidRDefault="00B224FF" w:rsidP="002B3335">
            <w:pPr>
              <w:widowControl w:val="0"/>
              <w:spacing w:before="0" w:after="0" w:line="281" w:lineRule="auto"/>
              <w:jc w:val="center"/>
              <w:rPr>
                <w:rFonts w:ascii="Century Gothic" w:hAnsi="Century Gothic"/>
                <w:b/>
                <w:sz w:val="23"/>
                <w:szCs w:val="23"/>
              </w:rPr>
            </w:pPr>
            <w:r w:rsidRPr="0051464C">
              <w:rPr>
                <w:rFonts w:ascii="Century Gothic" w:hAnsi="Century Gothic"/>
                <w:b/>
                <w:spacing w:val="-10"/>
                <w:sz w:val="23"/>
                <w:szCs w:val="23"/>
              </w:rPr>
              <w:t>CONSEJERA PRESIDENTA</w:t>
            </w:r>
          </w:p>
        </w:tc>
        <w:tc>
          <w:tcPr>
            <w:tcW w:w="278" w:type="dxa"/>
          </w:tcPr>
          <w:p w14:paraId="0AF13C6A" w14:textId="77777777" w:rsidR="00B224FF" w:rsidRPr="0051464C" w:rsidRDefault="00B224FF" w:rsidP="002B3335">
            <w:pPr>
              <w:widowControl w:val="0"/>
              <w:spacing w:before="0" w:after="0" w:line="281" w:lineRule="auto"/>
              <w:rPr>
                <w:rFonts w:ascii="Century Gothic" w:hAnsi="Century Gothic"/>
                <w:b/>
                <w:sz w:val="23"/>
                <w:szCs w:val="23"/>
              </w:rPr>
            </w:pPr>
          </w:p>
        </w:tc>
        <w:tc>
          <w:tcPr>
            <w:tcW w:w="4400" w:type="dxa"/>
          </w:tcPr>
          <w:p w14:paraId="63A76893" w14:textId="77777777" w:rsidR="00B224FF" w:rsidRPr="0051464C" w:rsidRDefault="00B224FF" w:rsidP="002B3335">
            <w:pPr>
              <w:widowControl w:val="0"/>
              <w:spacing w:before="0" w:after="0" w:line="281" w:lineRule="auto"/>
              <w:jc w:val="center"/>
              <w:rPr>
                <w:rFonts w:ascii="Century Gothic" w:hAnsi="Century Gothic"/>
                <w:b/>
                <w:spacing w:val="-10"/>
                <w:sz w:val="23"/>
                <w:szCs w:val="23"/>
              </w:rPr>
            </w:pPr>
            <w:r w:rsidRPr="0051464C">
              <w:rPr>
                <w:rFonts w:ascii="Century Gothic" w:hAnsi="Century Gothic"/>
                <w:b/>
                <w:spacing w:val="-10"/>
                <w:sz w:val="23"/>
                <w:szCs w:val="23"/>
              </w:rPr>
              <w:t>LIC. JORGE ALBERTO ZAVALA FRÍAS</w:t>
            </w:r>
          </w:p>
          <w:p w14:paraId="2863C6D7" w14:textId="77777777" w:rsidR="00B224FF" w:rsidRPr="0051464C" w:rsidRDefault="00B224FF" w:rsidP="002B3335">
            <w:pPr>
              <w:widowControl w:val="0"/>
              <w:spacing w:before="0" w:after="0" w:line="281" w:lineRule="auto"/>
              <w:jc w:val="center"/>
              <w:rPr>
                <w:rFonts w:ascii="Century Gothic" w:hAnsi="Century Gothic"/>
                <w:b/>
                <w:sz w:val="23"/>
                <w:szCs w:val="23"/>
              </w:rPr>
            </w:pPr>
            <w:r w:rsidRPr="0051464C">
              <w:rPr>
                <w:rFonts w:ascii="Century Gothic" w:hAnsi="Century Gothic"/>
                <w:b/>
                <w:spacing w:val="-10"/>
                <w:sz w:val="23"/>
                <w:szCs w:val="23"/>
              </w:rPr>
              <w:t>SECRETARIO EJECUTIVO</w:t>
            </w:r>
          </w:p>
        </w:tc>
      </w:tr>
    </w:tbl>
    <w:p w14:paraId="15D39B25" w14:textId="77777777" w:rsidR="0004782D" w:rsidRPr="0051464C" w:rsidRDefault="0004782D" w:rsidP="002B3335">
      <w:pPr>
        <w:spacing w:line="281" w:lineRule="auto"/>
        <w:rPr>
          <w:rFonts w:ascii="Century Gothic" w:hAnsi="Century Gothic"/>
          <w:sz w:val="23"/>
          <w:szCs w:val="23"/>
        </w:rPr>
      </w:pPr>
    </w:p>
    <w:sectPr w:rsidR="0004782D" w:rsidRPr="0051464C" w:rsidSect="00A92550">
      <w:headerReference w:type="default" r:id="rId8"/>
      <w:footerReference w:type="default" r:id="rId9"/>
      <w:pgSz w:w="12240" w:h="15840" w:code="1"/>
      <w:pgMar w:top="2977" w:right="1750"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9D46" w14:textId="77777777" w:rsidR="00652913" w:rsidRDefault="00652913" w:rsidP="00681E3C">
      <w:pPr>
        <w:spacing w:before="0" w:after="0" w:line="240" w:lineRule="auto"/>
      </w:pPr>
      <w:r>
        <w:separator/>
      </w:r>
    </w:p>
  </w:endnote>
  <w:endnote w:type="continuationSeparator" w:id="0">
    <w:p w14:paraId="6886CDB5" w14:textId="77777777" w:rsidR="00652913" w:rsidRDefault="00652913"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308980781"/>
      <w:docPartObj>
        <w:docPartGallery w:val="Page Numbers (Bottom of Page)"/>
        <w:docPartUnique/>
      </w:docPartObj>
    </w:sdtPr>
    <w:sdtEndPr/>
    <w:sdtContent>
      <w:sdt>
        <w:sdtPr>
          <w:rPr>
            <w:color w:val="993366"/>
            <w:sz w:val="20"/>
            <w:szCs w:val="20"/>
          </w:rPr>
          <w:id w:val="-1767372496"/>
          <w:docPartObj>
            <w:docPartGallery w:val="Page Numbers (Top of Page)"/>
            <w:docPartUnique/>
          </w:docPartObj>
        </w:sdtPr>
        <w:sdtEndPr/>
        <w:sdtContent>
          <w:p w14:paraId="6BC7EC49" w14:textId="34346ECE"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2A60EF">
              <w:rPr>
                <w:b/>
                <w:bCs/>
                <w:noProof/>
                <w:color w:val="993366"/>
              </w:rPr>
              <w:t>11</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2A60EF">
              <w:rPr>
                <w:b/>
                <w:bCs/>
                <w:noProof/>
                <w:color w:val="993366"/>
              </w:rPr>
              <w:t>11</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238BF" w14:textId="77777777" w:rsidR="00652913" w:rsidRDefault="00652913" w:rsidP="00681E3C">
      <w:pPr>
        <w:spacing w:before="0" w:after="0" w:line="240" w:lineRule="auto"/>
      </w:pPr>
      <w:r>
        <w:separator/>
      </w:r>
    </w:p>
  </w:footnote>
  <w:footnote w:type="continuationSeparator" w:id="0">
    <w:p w14:paraId="41C8EC54" w14:textId="77777777" w:rsidR="00652913" w:rsidRDefault="00652913" w:rsidP="00681E3C">
      <w:pPr>
        <w:spacing w:before="0" w:after="0" w:line="240" w:lineRule="auto"/>
      </w:pPr>
      <w:r>
        <w:continuationSeparator/>
      </w:r>
    </w:p>
  </w:footnote>
  <w:footnote w:id="1">
    <w:p w14:paraId="7931B9E7" w14:textId="77777777" w:rsidR="00B224FF" w:rsidRPr="00E44BD6" w:rsidRDefault="00B224FF" w:rsidP="00E44BD6">
      <w:pPr>
        <w:pStyle w:val="Textonotapie"/>
        <w:ind w:left="0"/>
        <w:rPr>
          <w:sz w:val="16"/>
          <w:szCs w:val="16"/>
        </w:rPr>
      </w:pPr>
      <w:r w:rsidRPr="00E44BD6">
        <w:rPr>
          <w:rStyle w:val="Refdenotaalpie"/>
          <w:sz w:val="16"/>
          <w:szCs w:val="16"/>
        </w:rPr>
        <w:footnoteRef/>
      </w:r>
      <w:r w:rsidRPr="00E44BD6">
        <w:rPr>
          <w:sz w:val="16"/>
          <w:szCs w:val="16"/>
        </w:rPr>
        <w:t xml:space="preserve"> </w:t>
      </w:r>
      <w:r w:rsidRPr="00E44BD6">
        <w:rPr>
          <w:rFonts w:ascii="Century Gothic" w:hAnsi="Century Gothic"/>
          <w:sz w:val="16"/>
          <w:szCs w:val="16"/>
        </w:rPr>
        <w:t>https://www.inegi.org.mx/app/indicesdeprecios/CalculadoraInflacion.aspx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0DB7FA88" w:rsidR="007D607B" w:rsidRPr="00063338" w:rsidRDefault="00B224FF" w:rsidP="007D607B">
          <w:pPr>
            <w:pStyle w:val="Encabezado"/>
            <w:jc w:val="center"/>
          </w:pPr>
          <w:r>
            <w:rPr>
              <w:sz w:val="26"/>
              <w:szCs w:val="26"/>
            </w:rPr>
            <w:t>JUNTA</w:t>
          </w:r>
          <w:r w:rsidR="007D607B" w:rsidRPr="00063338">
            <w:rPr>
              <w:sz w:val="26"/>
              <w:szCs w:val="26"/>
            </w:rPr>
            <w:t xml:space="preserve"> ESTATAL</w:t>
          </w:r>
          <w:r>
            <w:rPr>
              <w:sz w:val="26"/>
              <w:szCs w:val="26"/>
            </w:rPr>
            <w:t xml:space="preserve"> EJECUTIVA</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1165739" w14:textId="1DDA79E4" w:rsidR="006C212A" w:rsidRDefault="006C212A" w:rsidP="006C212A">
    <w:pPr>
      <w:pStyle w:val="Rubro"/>
      <w:spacing w:before="240" w:line="281" w:lineRule="auto"/>
      <w:ind w:left="0"/>
      <w:jc w:val="right"/>
      <w:rPr>
        <w:sz w:val="24"/>
        <w:szCs w:val="24"/>
      </w:rPr>
    </w:pPr>
    <w:r w:rsidRPr="00B224FF">
      <w:rPr>
        <w:sz w:val="24"/>
        <w:szCs w:val="24"/>
      </w:rPr>
      <w:t>JEE/2023/</w:t>
    </w:r>
    <w:r w:rsidR="009C2518">
      <w:rPr>
        <w:sz w:val="24"/>
        <w:szCs w:val="24"/>
      </w:rPr>
      <w:t>010</w:t>
    </w:r>
  </w:p>
  <w:p w14:paraId="6182D64D" w14:textId="77777777" w:rsidR="002A60EF" w:rsidRPr="00B224FF" w:rsidRDefault="002A60EF" w:rsidP="006C212A">
    <w:pPr>
      <w:pStyle w:val="Rubro"/>
      <w:spacing w:before="240" w:line="281" w:lineRule="auto"/>
      <w:ind w:left="0"/>
      <w:jc w:val="right"/>
      <w:rPr>
        <w:sz w:val="24"/>
        <w:szCs w:val="24"/>
      </w:rPr>
    </w:pPr>
  </w:p>
  <w:p w14:paraId="2352EEEF" w14:textId="77777777" w:rsidR="007D607B" w:rsidRDefault="007D60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875690D2"/>
    <w:lvl w:ilvl="0">
      <w:start w:val="1"/>
      <w:numFmt w:val="decimal"/>
      <w:pStyle w:val="Ttulo1"/>
      <w:lvlText w:val="%1"/>
      <w:lvlJc w:val="left"/>
      <w:pPr>
        <w:ind w:left="432" w:hanging="432"/>
      </w:pPr>
      <w:rPr>
        <w:w w:val="100"/>
      </w:rPr>
    </w:lvl>
    <w:lvl w:ilvl="1">
      <w:start w:val="1"/>
      <w:numFmt w:val="decimal"/>
      <w:pStyle w:val="Ttulo2"/>
      <w:lvlText w:val="%1.%2"/>
      <w:lvlJc w:val="left"/>
      <w:pPr>
        <w:ind w:left="860" w:hanging="576"/>
      </w:pPr>
      <w:rPr>
        <w:sz w:val="23"/>
        <w:szCs w:val="23"/>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34731C6"/>
    <w:multiLevelType w:val="hybridMultilevel"/>
    <w:tmpl w:val="49F0E4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086305"/>
    <w:multiLevelType w:val="hybridMultilevel"/>
    <w:tmpl w:val="FDBCB09A"/>
    <w:lvl w:ilvl="0" w:tplc="080A0011">
      <w:start w:val="1"/>
      <w:numFmt w:val="decimal"/>
      <w:lvlText w:val="%1)"/>
      <w:lvlJc w:val="left"/>
      <w:pPr>
        <w:ind w:left="720" w:hanging="360"/>
      </w:pPr>
    </w:lvl>
    <w:lvl w:ilvl="1" w:tplc="DC286A80">
      <w:start w:val="1"/>
      <w:numFmt w:val="lowerRoman"/>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BD2F3C"/>
    <w:multiLevelType w:val="hybridMultilevel"/>
    <w:tmpl w:val="7DD258B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562169"/>
    <w:multiLevelType w:val="hybridMultilevel"/>
    <w:tmpl w:val="0304FEF6"/>
    <w:lvl w:ilvl="0" w:tplc="FB5E0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44EF1"/>
    <w:rsid w:val="0004782D"/>
    <w:rsid w:val="0005177B"/>
    <w:rsid w:val="00064BCB"/>
    <w:rsid w:val="00065082"/>
    <w:rsid w:val="00071F0D"/>
    <w:rsid w:val="000A0507"/>
    <w:rsid w:val="000A18F6"/>
    <w:rsid w:val="000B2A7D"/>
    <w:rsid w:val="000D7190"/>
    <w:rsid w:val="000E7B11"/>
    <w:rsid w:val="000F142F"/>
    <w:rsid w:val="00100E03"/>
    <w:rsid w:val="001012FB"/>
    <w:rsid w:val="00164F4D"/>
    <w:rsid w:val="00182427"/>
    <w:rsid w:val="001B2468"/>
    <w:rsid w:val="001D1F2C"/>
    <w:rsid w:val="001D4D71"/>
    <w:rsid w:val="001D7A74"/>
    <w:rsid w:val="001D7FFA"/>
    <w:rsid w:val="002013C1"/>
    <w:rsid w:val="00211D0D"/>
    <w:rsid w:val="002150D8"/>
    <w:rsid w:val="002243F1"/>
    <w:rsid w:val="002304C8"/>
    <w:rsid w:val="00253E57"/>
    <w:rsid w:val="00255139"/>
    <w:rsid w:val="00265776"/>
    <w:rsid w:val="002919A2"/>
    <w:rsid w:val="00293CAB"/>
    <w:rsid w:val="00293FB8"/>
    <w:rsid w:val="002A2B31"/>
    <w:rsid w:val="002A535D"/>
    <w:rsid w:val="002A60EF"/>
    <w:rsid w:val="002B3335"/>
    <w:rsid w:val="002E7982"/>
    <w:rsid w:val="002F302C"/>
    <w:rsid w:val="00306BF5"/>
    <w:rsid w:val="0031142D"/>
    <w:rsid w:val="003265AE"/>
    <w:rsid w:val="00346142"/>
    <w:rsid w:val="00352396"/>
    <w:rsid w:val="003569A1"/>
    <w:rsid w:val="003625D1"/>
    <w:rsid w:val="00385C98"/>
    <w:rsid w:val="003B3E4B"/>
    <w:rsid w:val="003B43C0"/>
    <w:rsid w:val="003B4764"/>
    <w:rsid w:val="003C22C9"/>
    <w:rsid w:val="003D062F"/>
    <w:rsid w:val="003D6695"/>
    <w:rsid w:val="003D79CD"/>
    <w:rsid w:val="003E73B9"/>
    <w:rsid w:val="003F0318"/>
    <w:rsid w:val="004016A6"/>
    <w:rsid w:val="0041411E"/>
    <w:rsid w:val="00424169"/>
    <w:rsid w:val="004506A2"/>
    <w:rsid w:val="00466758"/>
    <w:rsid w:val="00480FEA"/>
    <w:rsid w:val="0049274B"/>
    <w:rsid w:val="00497368"/>
    <w:rsid w:val="004A0B95"/>
    <w:rsid w:val="004D4463"/>
    <w:rsid w:val="004E338C"/>
    <w:rsid w:val="004E419F"/>
    <w:rsid w:val="004F3882"/>
    <w:rsid w:val="004F61D5"/>
    <w:rsid w:val="0051464C"/>
    <w:rsid w:val="00534C21"/>
    <w:rsid w:val="005526F5"/>
    <w:rsid w:val="00554CAF"/>
    <w:rsid w:val="00555E47"/>
    <w:rsid w:val="0055704C"/>
    <w:rsid w:val="00561B5B"/>
    <w:rsid w:val="00597040"/>
    <w:rsid w:val="005B5704"/>
    <w:rsid w:val="005B6596"/>
    <w:rsid w:val="00605CA8"/>
    <w:rsid w:val="0063718A"/>
    <w:rsid w:val="00645377"/>
    <w:rsid w:val="00652913"/>
    <w:rsid w:val="00666842"/>
    <w:rsid w:val="00672FEA"/>
    <w:rsid w:val="00675723"/>
    <w:rsid w:val="00681E3C"/>
    <w:rsid w:val="006A2078"/>
    <w:rsid w:val="006B141E"/>
    <w:rsid w:val="006B24BC"/>
    <w:rsid w:val="006C212A"/>
    <w:rsid w:val="006C341A"/>
    <w:rsid w:val="006C71C8"/>
    <w:rsid w:val="006C7F4E"/>
    <w:rsid w:val="006D0529"/>
    <w:rsid w:val="006E7BD2"/>
    <w:rsid w:val="007113D2"/>
    <w:rsid w:val="007127D1"/>
    <w:rsid w:val="00715D73"/>
    <w:rsid w:val="00730C60"/>
    <w:rsid w:val="0073465C"/>
    <w:rsid w:val="00740B50"/>
    <w:rsid w:val="00751B62"/>
    <w:rsid w:val="00761920"/>
    <w:rsid w:val="00766872"/>
    <w:rsid w:val="00776E3E"/>
    <w:rsid w:val="00791DDE"/>
    <w:rsid w:val="007930C7"/>
    <w:rsid w:val="007937AA"/>
    <w:rsid w:val="0079680F"/>
    <w:rsid w:val="007B125F"/>
    <w:rsid w:val="007C26B9"/>
    <w:rsid w:val="007D3AD9"/>
    <w:rsid w:val="007D607B"/>
    <w:rsid w:val="007E7B89"/>
    <w:rsid w:val="007F114F"/>
    <w:rsid w:val="007F5860"/>
    <w:rsid w:val="008065D4"/>
    <w:rsid w:val="0084107C"/>
    <w:rsid w:val="00842D9C"/>
    <w:rsid w:val="00857B9D"/>
    <w:rsid w:val="00865B28"/>
    <w:rsid w:val="00882212"/>
    <w:rsid w:val="008836C7"/>
    <w:rsid w:val="008B283F"/>
    <w:rsid w:val="008B7A59"/>
    <w:rsid w:val="008F0665"/>
    <w:rsid w:val="008F7A66"/>
    <w:rsid w:val="009400E9"/>
    <w:rsid w:val="00946DA1"/>
    <w:rsid w:val="00950A47"/>
    <w:rsid w:val="00977672"/>
    <w:rsid w:val="00981E4D"/>
    <w:rsid w:val="009B0DC2"/>
    <w:rsid w:val="009B4957"/>
    <w:rsid w:val="009B7B30"/>
    <w:rsid w:val="009C2518"/>
    <w:rsid w:val="009C29ED"/>
    <w:rsid w:val="009E76FD"/>
    <w:rsid w:val="009F328C"/>
    <w:rsid w:val="00A023E0"/>
    <w:rsid w:val="00A25D5A"/>
    <w:rsid w:val="00A31459"/>
    <w:rsid w:val="00A34E69"/>
    <w:rsid w:val="00A545FA"/>
    <w:rsid w:val="00A77072"/>
    <w:rsid w:val="00A92550"/>
    <w:rsid w:val="00A93785"/>
    <w:rsid w:val="00AB2F50"/>
    <w:rsid w:val="00AB7C96"/>
    <w:rsid w:val="00AC2D7D"/>
    <w:rsid w:val="00AD292C"/>
    <w:rsid w:val="00AD698A"/>
    <w:rsid w:val="00AE2D54"/>
    <w:rsid w:val="00B005BB"/>
    <w:rsid w:val="00B066E3"/>
    <w:rsid w:val="00B106A6"/>
    <w:rsid w:val="00B224FF"/>
    <w:rsid w:val="00B2442C"/>
    <w:rsid w:val="00B30613"/>
    <w:rsid w:val="00B4307C"/>
    <w:rsid w:val="00B51FD9"/>
    <w:rsid w:val="00B61801"/>
    <w:rsid w:val="00B80364"/>
    <w:rsid w:val="00B85DCF"/>
    <w:rsid w:val="00B9349B"/>
    <w:rsid w:val="00BA0D1B"/>
    <w:rsid w:val="00BB7BBA"/>
    <w:rsid w:val="00BE212A"/>
    <w:rsid w:val="00C00229"/>
    <w:rsid w:val="00C006D8"/>
    <w:rsid w:val="00C01498"/>
    <w:rsid w:val="00C16E33"/>
    <w:rsid w:val="00C209F5"/>
    <w:rsid w:val="00C24117"/>
    <w:rsid w:val="00C4775F"/>
    <w:rsid w:val="00C92A82"/>
    <w:rsid w:val="00CA3C47"/>
    <w:rsid w:val="00CA421D"/>
    <w:rsid w:val="00CD033F"/>
    <w:rsid w:val="00CD50E3"/>
    <w:rsid w:val="00D471E1"/>
    <w:rsid w:val="00D55DB1"/>
    <w:rsid w:val="00D725F8"/>
    <w:rsid w:val="00D7628E"/>
    <w:rsid w:val="00D819B9"/>
    <w:rsid w:val="00D91FBA"/>
    <w:rsid w:val="00DC1726"/>
    <w:rsid w:val="00DD0D11"/>
    <w:rsid w:val="00DF69AB"/>
    <w:rsid w:val="00E024B4"/>
    <w:rsid w:val="00E1616B"/>
    <w:rsid w:val="00E43F0A"/>
    <w:rsid w:val="00E44BD6"/>
    <w:rsid w:val="00E516EB"/>
    <w:rsid w:val="00E61ECB"/>
    <w:rsid w:val="00E8130D"/>
    <w:rsid w:val="00EB6001"/>
    <w:rsid w:val="00EC3A62"/>
    <w:rsid w:val="00F018CB"/>
    <w:rsid w:val="00F03E23"/>
    <w:rsid w:val="00F71B39"/>
    <w:rsid w:val="00F820FF"/>
    <w:rsid w:val="00F95F41"/>
    <w:rsid w:val="00FA0FCA"/>
    <w:rsid w:val="00FB39DC"/>
    <w:rsid w:val="00FB6BEC"/>
    <w:rsid w:val="00FC1023"/>
    <w:rsid w:val="00FC26A2"/>
    <w:rsid w:val="00FE0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7D3AD9"/>
    <w:pPr>
      <w:numPr>
        <w:numId w:val="1"/>
      </w:numPr>
      <w:spacing w:before="480" w:after="360" w:line="295" w:lineRule="auto"/>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6C7F4E"/>
    <w:pPr>
      <w:keepNext/>
      <w:keepLines/>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AD9"/>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6C7F4E"/>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Cita">
    <w:name w:val="Quote"/>
    <w:basedOn w:val="Normal"/>
    <w:next w:val="Normal"/>
    <w:link w:val="CitaCar"/>
    <w:uiPriority w:val="29"/>
    <w:qFormat/>
    <w:rsid w:val="00497368"/>
    <w:pPr>
      <w:spacing w:before="120" w:after="120"/>
      <w:ind w:left="862" w:right="862"/>
    </w:pPr>
    <w:rPr>
      <w:sz w:val="20"/>
      <w:szCs w:val="20"/>
    </w:rPr>
  </w:style>
  <w:style w:type="character" w:customStyle="1" w:styleId="CitaCar">
    <w:name w:val="Cita Car"/>
    <w:basedOn w:val="Fuentedeprrafopredeter"/>
    <w:link w:val="Cita"/>
    <w:uiPriority w:val="29"/>
    <w:rsid w:val="00497368"/>
    <w:rPr>
      <w:rFonts w:ascii="Arial" w:hAnsi="Arial" w:cs="Arial"/>
      <w:sz w:val="20"/>
      <w:szCs w:val="20"/>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1D1F2C"/>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B224FF"/>
    <w:rPr>
      <w:rFonts w:ascii="Arial" w:hAnsi="Arial" w:cs="Arial"/>
    </w:rPr>
  </w:style>
  <w:style w:type="paragraph" w:customStyle="1" w:styleId="Rubro">
    <w:name w:val="Rubro"/>
    <w:basedOn w:val="Normal"/>
    <w:link w:val="RubroCar"/>
    <w:qFormat/>
    <w:rsid w:val="00B224FF"/>
    <w:pPr>
      <w:spacing w:before="0" w:after="0" w:line="312" w:lineRule="auto"/>
      <w:ind w:left="510"/>
    </w:pPr>
    <w:rPr>
      <w:rFonts w:ascii="Century Gothic" w:hAnsi="Century Gothic"/>
      <w:b/>
      <w:kern w:val="0"/>
      <w14:ligatures w14:val="none"/>
    </w:rPr>
  </w:style>
  <w:style w:type="character" w:customStyle="1" w:styleId="RubroCar">
    <w:name w:val="Rubro Car"/>
    <w:basedOn w:val="Fuentedeprrafopredeter"/>
    <w:link w:val="Rubro"/>
    <w:rsid w:val="00B224FF"/>
    <w:rPr>
      <w:rFonts w:ascii="Century Gothic" w:hAnsi="Century Gothic" w:cs="Arial"/>
      <w:b/>
      <w:kern w:val="0"/>
      <w14:ligatures w14:val="none"/>
    </w:rPr>
  </w:style>
  <w:style w:type="paragraph" w:styleId="Textonotapie">
    <w:name w:val="footnote text"/>
    <w:basedOn w:val="Normal"/>
    <w:link w:val="TextonotapieCar"/>
    <w:uiPriority w:val="99"/>
    <w:semiHidden/>
    <w:unhideWhenUsed/>
    <w:rsid w:val="00B224FF"/>
    <w:pPr>
      <w:spacing w:before="0" w:after="0" w:line="240" w:lineRule="auto"/>
      <w:ind w:left="510"/>
    </w:pPr>
    <w:rPr>
      <w:rFonts w:ascii="Calisto MT" w:hAnsi="Calisto MT"/>
      <w:kern w:val="0"/>
      <w:sz w:val="20"/>
      <w:szCs w:val="20"/>
      <w14:ligatures w14:val="none"/>
    </w:rPr>
  </w:style>
  <w:style w:type="character" w:customStyle="1" w:styleId="TextonotapieCar">
    <w:name w:val="Texto nota pie Car"/>
    <w:basedOn w:val="Fuentedeprrafopredeter"/>
    <w:link w:val="Textonotapie"/>
    <w:uiPriority w:val="99"/>
    <w:semiHidden/>
    <w:rsid w:val="00B224FF"/>
    <w:rPr>
      <w:rFonts w:ascii="Calisto MT" w:hAnsi="Calisto MT" w:cs="Arial"/>
      <w:kern w:val="0"/>
      <w:sz w:val="20"/>
      <w:szCs w:val="20"/>
      <w14:ligatures w14:val="none"/>
    </w:rPr>
  </w:style>
  <w:style w:type="character" w:styleId="Refdenotaalpie">
    <w:name w:val="footnote reference"/>
    <w:basedOn w:val="Fuentedeprrafopredeter"/>
    <w:uiPriority w:val="99"/>
    <w:semiHidden/>
    <w:unhideWhenUsed/>
    <w:rsid w:val="00B22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0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4734-2310-48E1-AAB5-5968F3FD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2731</Words>
  <Characters>15025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4</cp:revision>
  <dcterms:created xsi:type="dcterms:W3CDTF">2023-09-07T20:36:00Z</dcterms:created>
  <dcterms:modified xsi:type="dcterms:W3CDTF">2023-09-07T20:39:00Z</dcterms:modified>
</cp:coreProperties>
</file>