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F7DC" w14:textId="572535A0" w:rsidR="00982F88" w:rsidRPr="00322CDC" w:rsidRDefault="00982F88" w:rsidP="00500A32">
      <w:pPr>
        <w:pStyle w:val="Rubro"/>
        <w:spacing w:line="293" w:lineRule="auto"/>
        <w:ind w:left="0"/>
        <w:jc w:val="right"/>
        <w:rPr>
          <w:sz w:val="24"/>
          <w:szCs w:val="24"/>
        </w:rPr>
      </w:pPr>
      <w:r w:rsidRPr="00322CDC">
        <w:rPr>
          <w:sz w:val="24"/>
          <w:szCs w:val="24"/>
        </w:rPr>
        <w:t>JEE/2023/</w:t>
      </w:r>
      <w:r w:rsidR="0070179B" w:rsidRPr="00322CDC">
        <w:rPr>
          <w:sz w:val="24"/>
          <w:szCs w:val="24"/>
        </w:rPr>
        <w:t>008</w:t>
      </w:r>
    </w:p>
    <w:p w14:paraId="2D0E16EA" w14:textId="7E4E7068" w:rsidR="00B51A20" w:rsidRPr="00322CDC" w:rsidRDefault="0070179B" w:rsidP="001C5279">
      <w:pPr>
        <w:pStyle w:val="Rubro"/>
        <w:spacing w:before="240" w:line="276" w:lineRule="auto"/>
        <w:ind w:left="0"/>
        <w:rPr>
          <w:sz w:val="24"/>
          <w:szCs w:val="24"/>
        </w:rPr>
      </w:pPr>
      <w:r w:rsidRPr="00322CDC">
        <w:rPr>
          <w:sz w:val="24"/>
          <w:szCs w:val="24"/>
        </w:rPr>
        <w:t xml:space="preserve">ACUERDO QUE, A PROPUESTA DE LA </w:t>
      </w:r>
      <w:r w:rsidR="00D35D58">
        <w:rPr>
          <w:sz w:val="24"/>
          <w:szCs w:val="24"/>
        </w:rPr>
        <w:t>SECRETARÍA EJECUTIVA</w:t>
      </w:r>
      <w:r w:rsidRPr="00322CDC">
        <w:rPr>
          <w:sz w:val="24"/>
          <w:szCs w:val="24"/>
        </w:rPr>
        <w:t xml:space="preserve">, EMITE LA JUNTA ESTATAL EJECUTIVA DEL INSTITUTO ELECTORAL Y DE PARTICIPACIÓN CIUDADANA DE TABASCO, </w:t>
      </w:r>
      <w:r w:rsidR="00D35D58">
        <w:rPr>
          <w:sz w:val="24"/>
          <w:szCs w:val="24"/>
        </w:rPr>
        <w:t xml:space="preserve">POR EL QUE SE APRUEBA </w:t>
      </w:r>
      <w:r w:rsidRPr="00322CDC">
        <w:rPr>
          <w:sz w:val="24"/>
          <w:szCs w:val="24"/>
        </w:rPr>
        <w:t>LA CONTRATACIÓN DE PERSONAL P</w:t>
      </w:r>
      <w:r w:rsidR="00D35D58">
        <w:rPr>
          <w:sz w:val="24"/>
          <w:szCs w:val="24"/>
        </w:rPr>
        <w:t>ARA EL FORTALECIMIENTO DE LAS UNIDADES ADMINISTRATIVAS DEL IEPC TABASCO POR</w:t>
      </w:r>
      <w:r w:rsidRPr="00322CDC">
        <w:rPr>
          <w:sz w:val="24"/>
          <w:szCs w:val="24"/>
        </w:rPr>
        <w:t xml:space="preserve"> TIEMPO DETERMINADO</w:t>
      </w:r>
    </w:p>
    <w:p w14:paraId="7AEE9092" w14:textId="77777777" w:rsidR="0070179B" w:rsidRDefault="0070179B" w:rsidP="00500A32">
      <w:pPr>
        <w:spacing w:before="240" w:after="240" w:line="293" w:lineRule="auto"/>
        <w:ind w:left="0"/>
        <w:rPr>
          <w:rFonts w:ascii="Century Gothic" w:hAnsi="Century Gothic"/>
          <w:b/>
          <w:bCs/>
          <w:sz w:val="23"/>
          <w:szCs w:val="23"/>
        </w:rPr>
      </w:pPr>
    </w:p>
    <w:p w14:paraId="112A8B86" w14:textId="329AE276" w:rsidR="00EB45B6" w:rsidRPr="004A769A" w:rsidRDefault="00EB45B6" w:rsidP="00500A32">
      <w:pPr>
        <w:spacing w:before="240" w:after="240" w:line="293" w:lineRule="auto"/>
        <w:ind w:left="0"/>
        <w:rPr>
          <w:rFonts w:ascii="Century Gothic" w:hAnsi="Century Gothic"/>
          <w:sz w:val="23"/>
          <w:szCs w:val="23"/>
        </w:rPr>
      </w:pPr>
      <w:r w:rsidRPr="004A769A">
        <w:rPr>
          <w:rFonts w:ascii="Century Gothic" w:hAnsi="Century Gothic"/>
          <w:b/>
          <w:bCs/>
          <w:sz w:val="23"/>
          <w:szCs w:val="23"/>
        </w:rPr>
        <w:t>Glosario.</w:t>
      </w:r>
      <w:r w:rsidRPr="004A769A">
        <w:rPr>
          <w:rFonts w:ascii="Century Gothic" w:hAnsi="Century Gothic"/>
          <w:sz w:val="23"/>
          <w:szCs w:val="23"/>
        </w:rPr>
        <w:t xml:space="preserve"> Para efectos del presente acuerdo, se entenderá por:</w:t>
      </w:r>
    </w:p>
    <w:tbl>
      <w:tblPr>
        <w:tblStyle w:val="Tablaconcuadrcula"/>
        <w:tblW w:w="0" w:type="auto"/>
        <w:tblInd w:w="98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5E2EC4" w:rsidRPr="00935F47" w14:paraId="1963BA3D" w14:textId="77777777" w:rsidTr="006D2C04">
        <w:tc>
          <w:tcPr>
            <w:tcW w:w="2664" w:type="dxa"/>
            <w:vAlign w:val="center"/>
          </w:tcPr>
          <w:p w14:paraId="28374EBA"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Consejo Estatal:</w:t>
            </w:r>
          </w:p>
        </w:tc>
        <w:tc>
          <w:tcPr>
            <w:tcW w:w="3998" w:type="dxa"/>
            <w:vAlign w:val="center"/>
          </w:tcPr>
          <w:p w14:paraId="6CD3EE24"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Consejo Estatal del Instituto Electoral y de Participación Ciudadana de Tabasco.</w:t>
            </w:r>
          </w:p>
        </w:tc>
      </w:tr>
      <w:tr w:rsidR="005E2EC4" w:rsidRPr="00935F47" w14:paraId="22DF6E5F" w14:textId="77777777" w:rsidTr="006D2C04">
        <w:tc>
          <w:tcPr>
            <w:tcW w:w="2664" w:type="dxa"/>
            <w:vAlign w:val="center"/>
          </w:tcPr>
          <w:p w14:paraId="21EC8403"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Constitución Federal:</w:t>
            </w:r>
          </w:p>
        </w:tc>
        <w:tc>
          <w:tcPr>
            <w:tcW w:w="3998" w:type="dxa"/>
            <w:vAlign w:val="center"/>
          </w:tcPr>
          <w:p w14:paraId="0991365E"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Constitución Política de los Estados Unidos Mexicanos.</w:t>
            </w:r>
          </w:p>
        </w:tc>
      </w:tr>
      <w:tr w:rsidR="005E2EC4" w:rsidRPr="00935F47" w14:paraId="1F33740D" w14:textId="77777777" w:rsidTr="006D2C04">
        <w:tc>
          <w:tcPr>
            <w:tcW w:w="2664" w:type="dxa"/>
            <w:vAlign w:val="center"/>
          </w:tcPr>
          <w:p w14:paraId="7099EB28"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Constitución Local:</w:t>
            </w:r>
          </w:p>
        </w:tc>
        <w:tc>
          <w:tcPr>
            <w:tcW w:w="3998" w:type="dxa"/>
            <w:vAlign w:val="center"/>
          </w:tcPr>
          <w:p w14:paraId="5BDF43A8"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Constitución Política del Estado Libre y Soberano de Tabasco.</w:t>
            </w:r>
          </w:p>
        </w:tc>
      </w:tr>
      <w:tr w:rsidR="005E2EC4" w:rsidRPr="00935F47" w14:paraId="368E04FA" w14:textId="77777777" w:rsidTr="006D2C04">
        <w:tc>
          <w:tcPr>
            <w:tcW w:w="2664" w:type="dxa"/>
            <w:vAlign w:val="center"/>
          </w:tcPr>
          <w:p w14:paraId="13F7DF68"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Instituto Electoral:</w:t>
            </w:r>
          </w:p>
        </w:tc>
        <w:tc>
          <w:tcPr>
            <w:tcW w:w="3998" w:type="dxa"/>
            <w:vAlign w:val="center"/>
          </w:tcPr>
          <w:p w14:paraId="2742539A"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Instituto Electoral y de Participación Ciudadana de Tabasco.</w:t>
            </w:r>
          </w:p>
        </w:tc>
      </w:tr>
      <w:tr w:rsidR="005E2EC4" w:rsidRPr="00935F47" w14:paraId="3CF590BE" w14:textId="77777777" w:rsidTr="006D2C04">
        <w:tc>
          <w:tcPr>
            <w:tcW w:w="2664" w:type="dxa"/>
            <w:vAlign w:val="center"/>
          </w:tcPr>
          <w:p w14:paraId="0161AFFC"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Junta Ejecutiva:</w:t>
            </w:r>
          </w:p>
        </w:tc>
        <w:tc>
          <w:tcPr>
            <w:tcW w:w="3998" w:type="dxa"/>
            <w:vAlign w:val="center"/>
          </w:tcPr>
          <w:p w14:paraId="1BA8FCC3"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Junta Estatal Ejecutiva del Instituto Electoral y de Participación Ciudadana de Tabasco.</w:t>
            </w:r>
          </w:p>
        </w:tc>
      </w:tr>
      <w:tr w:rsidR="005E2EC4" w:rsidRPr="00935F47" w14:paraId="16200D91" w14:textId="77777777" w:rsidTr="006D2C04">
        <w:tc>
          <w:tcPr>
            <w:tcW w:w="2664" w:type="dxa"/>
            <w:vAlign w:val="center"/>
          </w:tcPr>
          <w:p w14:paraId="33BEAE71"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Ley Electoral:</w:t>
            </w:r>
          </w:p>
        </w:tc>
        <w:tc>
          <w:tcPr>
            <w:tcW w:w="3998" w:type="dxa"/>
            <w:vAlign w:val="center"/>
          </w:tcPr>
          <w:p w14:paraId="3536E5F1"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Ley Electoral y de Partidos Políticos del Estado de Tabasco.</w:t>
            </w:r>
          </w:p>
        </w:tc>
      </w:tr>
    </w:tbl>
    <w:p w14:paraId="2FD17E2E" w14:textId="77777777" w:rsidR="00935F47" w:rsidRDefault="00935F47" w:rsidP="00935F47">
      <w:pPr>
        <w:rPr>
          <w:rFonts w:ascii="Century Gothic" w:hAnsi="Century Gothic"/>
        </w:rPr>
      </w:pPr>
      <w:r>
        <w:br w:type="page"/>
      </w:r>
    </w:p>
    <w:p w14:paraId="66B5444C" w14:textId="7A3DCC3F" w:rsidR="001B521F" w:rsidRPr="00322CDC" w:rsidRDefault="00933C48" w:rsidP="00625432">
      <w:pPr>
        <w:pStyle w:val="Ttulo1"/>
        <w:rPr>
          <w:sz w:val="24"/>
          <w:szCs w:val="24"/>
        </w:rPr>
      </w:pPr>
      <w:r w:rsidRPr="00322CDC">
        <w:rPr>
          <w:sz w:val="24"/>
          <w:szCs w:val="24"/>
        </w:rPr>
        <w:lastRenderedPageBreak/>
        <w:t>Antecedentes</w:t>
      </w:r>
    </w:p>
    <w:p w14:paraId="31DE7497" w14:textId="4F31507A" w:rsidR="00931DB4" w:rsidRDefault="00931DB4" w:rsidP="00176188">
      <w:pPr>
        <w:pStyle w:val="Ttulo2"/>
      </w:pPr>
      <w:r>
        <w:t>Devolución de percepciones</w:t>
      </w:r>
      <w:r w:rsidR="00F30CC2">
        <w:t xml:space="preserve"> salariales</w:t>
      </w:r>
    </w:p>
    <w:p w14:paraId="6FBE7DAF" w14:textId="77777777" w:rsidR="00F30CC2" w:rsidRDefault="00931DB4" w:rsidP="00F30CC2">
      <w:pPr>
        <w:pStyle w:val="Prrafodelista"/>
        <w:spacing w:line="293" w:lineRule="auto"/>
        <w:ind w:left="510"/>
        <w:rPr>
          <w:rFonts w:ascii="Century Gothic" w:hAnsi="Century Gothic"/>
          <w:sz w:val="23"/>
          <w:szCs w:val="23"/>
        </w:rPr>
      </w:pPr>
      <w:r w:rsidRPr="004A769A">
        <w:rPr>
          <w:rFonts w:ascii="Century Gothic" w:hAnsi="Century Gothic"/>
          <w:sz w:val="23"/>
          <w:szCs w:val="23"/>
        </w:rPr>
        <w:t xml:space="preserve">El </w:t>
      </w:r>
      <w:r w:rsidR="008B407D">
        <w:rPr>
          <w:rFonts w:ascii="Century Gothic" w:hAnsi="Century Gothic"/>
          <w:sz w:val="23"/>
          <w:szCs w:val="23"/>
        </w:rPr>
        <w:t>1</w:t>
      </w:r>
      <w:r w:rsidRPr="004A769A">
        <w:rPr>
          <w:rFonts w:ascii="Century Gothic" w:hAnsi="Century Gothic"/>
          <w:sz w:val="23"/>
          <w:szCs w:val="23"/>
        </w:rPr>
        <w:t xml:space="preserve"> de julio de </w:t>
      </w:r>
      <w:r w:rsidR="008B407D">
        <w:rPr>
          <w:rFonts w:ascii="Century Gothic" w:hAnsi="Century Gothic"/>
          <w:sz w:val="23"/>
          <w:szCs w:val="23"/>
        </w:rPr>
        <w:t>2017</w:t>
      </w:r>
      <w:r w:rsidRPr="004A769A">
        <w:rPr>
          <w:rFonts w:ascii="Century Gothic" w:hAnsi="Century Gothic"/>
          <w:sz w:val="23"/>
          <w:szCs w:val="23"/>
        </w:rPr>
        <w:t xml:space="preserve">, </w:t>
      </w:r>
      <w:r w:rsidR="008B407D">
        <w:rPr>
          <w:rFonts w:ascii="Century Gothic" w:hAnsi="Century Gothic"/>
          <w:sz w:val="23"/>
          <w:szCs w:val="23"/>
        </w:rPr>
        <w:t xml:space="preserve">en sesión especial, la Consejera Electoral </w:t>
      </w:r>
      <w:proofErr w:type="spellStart"/>
      <w:r w:rsidR="008B407D">
        <w:rPr>
          <w:rFonts w:ascii="Century Gothic" w:hAnsi="Century Gothic"/>
          <w:sz w:val="23"/>
          <w:szCs w:val="23"/>
        </w:rPr>
        <w:t>Rosselvy</w:t>
      </w:r>
      <w:proofErr w:type="spellEnd"/>
      <w:r w:rsidR="008B407D">
        <w:rPr>
          <w:rFonts w:ascii="Century Gothic" w:hAnsi="Century Gothic"/>
          <w:sz w:val="23"/>
          <w:szCs w:val="23"/>
        </w:rPr>
        <w:t xml:space="preserve"> del Carmen Domínguez Arévalo y el Consejero Electoral Víctor Humberto Mejía Naranjo, solicitaron el ajuste de </w:t>
      </w:r>
      <w:r w:rsidR="006123B8">
        <w:rPr>
          <w:rFonts w:ascii="Century Gothic" w:hAnsi="Century Gothic"/>
          <w:sz w:val="23"/>
          <w:szCs w:val="23"/>
        </w:rPr>
        <w:t xml:space="preserve">las </w:t>
      </w:r>
      <w:r w:rsidR="008B407D">
        <w:rPr>
          <w:rFonts w:ascii="Century Gothic" w:hAnsi="Century Gothic"/>
          <w:sz w:val="23"/>
          <w:szCs w:val="23"/>
        </w:rPr>
        <w:t xml:space="preserve">percepciones </w:t>
      </w:r>
      <w:r w:rsidR="006123B8">
        <w:rPr>
          <w:rFonts w:ascii="Century Gothic" w:hAnsi="Century Gothic"/>
          <w:sz w:val="23"/>
          <w:szCs w:val="23"/>
        </w:rPr>
        <w:t xml:space="preserve">en virtud del cargo que desempeñan, </w:t>
      </w:r>
      <w:r w:rsidR="008B407D">
        <w:rPr>
          <w:rFonts w:ascii="Century Gothic" w:hAnsi="Century Gothic"/>
          <w:sz w:val="23"/>
          <w:szCs w:val="23"/>
        </w:rPr>
        <w:t>en términos de lo que establece el artículo 9, apartado “C”, fracción I</w:t>
      </w:r>
      <w:r w:rsidR="006123B8">
        <w:rPr>
          <w:rFonts w:ascii="Century Gothic" w:hAnsi="Century Gothic"/>
          <w:sz w:val="23"/>
          <w:szCs w:val="23"/>
        </w:rPr>
        <w:t xml:space="preserve">II </w:t>
      </w:r>
      <w:r w:rsidR="008B407D">
        <w:rPr>
          <w:rFonts w:ascii="Century Gothic" w:hAnsi="Century Gothic"/>
          <w:sz w:val="23"/>
          <w:szCs w:val="23"/>
        </w:rPr>
        <w:t>de la Constitución Local</w:t>
      </w:r>
      <w:r w:rsidRPr="008B407D">
        <w:rPr>
          <w:rFonts w:ascii="Century Gothic" w:hAnsi="Century Gothic"/>
          <w:sz w:val="23"/>
          <w:szCs w:val="23"/>
        </w:rPr>
        <w:t>.</w:t>
      </w:r>
      <w:r w:rsidR="006123B8">
        <w:rPr>
          <w:rFonts w:ascii="Century Gothic" w:hAnsi="Century Gothic"/>
          <w:sz w:val="23"/>
          <w:szCs w:val="23"/>
        </w:rPr>
        <w:t xml:space="preserve"> En ese sentido, a partir de esa fecha, han hecho la devolución de diversas cantidades.</w:t>
      </w:r>
    </w:p>
    <w:p w14:paraId="501C4509" w14:textId="4D6E30E2" w:rsidR="00F30CC2" w:rsidRDefault="00F30CC2" w:rsidP="00F30CC2">
      <w:pPr>
        <w:pStyle w:val="Prrafodelista"/>
        <w:spacing w:before="240" w:line="293" w:lineRule="auto"/>
        <w:ind w:left="510"/>
        <w:contextualSpacing w:val="0"/>
        <w:rPr>
          <w:rFonts w:ascii="Century Gothic" w:hAnsi="Century Gothic"/>
          <w:sz w:val="23"/>
          <w:szCs w:val="23"/>
        </w:rPr>
      </w:pPr>
      <w:r>
        <w:rPr>
          <w:rFonts w:ascii="Century Gothic" w:hAnsi="Century Gothic"/>
          <w:sz w:val="23"/>
          <w:szCs w:val="23"/>
        </w:rPr>
        <w:t xml:space="preserve">Por su parte, el Consejero Electoral Vladimir Hernández Venegas solicitó que su percepción salarial se ajustara al tabulador de sueldos y salarios 2020; no obstante, ante la imposibilidad de realizar el ajuste, </w:t>
      </w:r>
      <w:r w:rsidR="007102B8">
        <w:rPr>
          <w:rFonts w:ascii="Century Gothic" w:hAnsi="Century Gothic"/>
          <w:sz w:val="23"/>
          <w:szCs w:val="23"/>
        </w:rPr>
        <w:t xml:space="preserve">mediante oficios 006/2021 y 008/2021, </w:t>
      </w:r>
      <w:r>
        <w:rPr>
          <w:rFonts w:ascii="Century Gothic" w:hAnsi="Century Gothic"/>
          <w:sz w:val="23"/>
          <w:szCs w:val="23"/>
        </w:rPr>
        <w:t>hizo devolución de la diferencia salarial derivada de la aplicación del tabulador de sueldos y salarios 2021.</w:t>
      </w:r>
    </w:p>
    <w:p w14:paraId="60F912C4" w14:textId="77777777" w:rsidR="00E25410" w:rsidRPr="00E25410" w:rsidRDefault="00E25410" w:rsidP="00E25410">
      <w:pPr>
        <w:spacing w:after="240" w:line="293" w:lineRule="auto"/>
        <w:rPr>
          <w:rFonts w:ascii="Century Gothic" w:hAnsi="Century Gothic"/>
          <w:sz w:val="2"/>
          <w:szCs w:val="2"/>
        </w:rPr>
      </w:pPr>
    </w:p>
    <w:p w14:paraId="6E62C843" w14:textId="70DB1955" w:rsidR="00E25410" w:rsidRDefault="00E25410" w:rsidP="00E25410">
      <w:pPr>
        <w:spacing w:after="240" w:line="293" w:lineRule="auto"/>
        <w:rPr>
          <w:rFonts w:ascii="Century Gothic" w:hAnsi="Century Gothic"/>
          <w:sz w:val="23"/>
          <w:szCs w:val="23"/>
        </w:rPr>
      </w:pPr>
      <w:r w:rsidRPr="001C5279">
        <w:rPr>
          <w:rFonts w:ascii="Century Gothic" w:hAnsi="Century Gothic"/>
          <w:sz w:val="23"/>
          <w:szCs w:val="23"/>
        </w:rPr>
        <w:t xml:space="preserve">De lo anterior, al cierre </w:t>
      </w:r>
      <w:r w:rsidR="008F29C2" w:rsidRPr="001C5279">
        <w:rPr>
          <w:rFonts w:ascii="Century Gothic" w:hAnsi="Century Gothic"/>
          <w:sz w:val="23"/>
          <w:szCs w:val="23"/>
        </w:rPr>
        <w:t>al</w:t>
      </w:r>
      <w:r w:rsidRPr="001C5279">
        <w:rPr>
          <w:rFonts w:ascii="Century Gothic" w:hAnsi="Century Gothic"/>
          <w:sz w:val="23"/>
          <w:szCs w:val="23"/>
        </w:rPr>
        <w:t xml:space="preserve"> 31 de enero de 2023, se cuenta con un disponible de $401,476.85 (cuatrocientos </w:t>
      </w:r>
      <w:proofErr w:type="gramStart"/>
      <w:r w:rsidRPr="001C5279">
        <w:rPr>
          <w:rFonts w:ascii="Century Gothic" w:hAnsi="Century Gothic"/>
          <w:sz w:val="23"/>
          <w:szCs w:val="23"/>
        </w:rPr>
        <w:t>un mil cuatrocientos setenta y seis pesos</w:t>
      </w:r>
      <w:proofErr w:type="gramEnd"/>
      <w:r w:rsidRPr="001C5279">
        <w:rPr>
          <w:rFonts w:ascii="Century Gothic" w:hAnsi="Century Gothic"/>
          <w:sz w:val="23"/>
          <w:szCs w:val="23"/>
        </w:rPr>
        <w:t xml:space="preserve"> 85/100 m.n.), de acuerdo </w:t>
      </w:r>
      <w:r w:rsidR="00713FEB" w:rsidRPr="001C5279">
        <w:rPr>
          <w:rFonts w:ascii="Century Gothic" w:hAnsi="Century Gothic"/>
          <w:sz w:val="23"/>
          <w:szCs w:val="23"/>
        </w:rPr>
        <w:t>a</w:t>
      </w:r>
      <w:r w:rsidRPr="001C5279">
        <w:rPr>
          <w:rFonts w:ascii="Century Gothic" w:hAnsi="Century Gothic"/>
          <w:sz w:val="23"/>
          <w:szCs w:val="23"/>
        </w:rPr>
        <w:t xml:space="preserve"> la información proporcionada por la Dirección de Administración.</w:t>
      </w:r>
    </w:p>
    <w:p w14:paraId="0218C3F7" w14:textId="11BA4464" w:rsidR="00EF4214" w:rsidRPr="004A769A" w:rsidRDefault="00EF4214" w:rsidP="00176188">
      <w:pPr>
        <w:pStyle w:val="Ttulo2"/>
      </w:pPr>
      <w:r w:rsidRPr="004A769A">
        <w:t>Reglamento de Sesiones de la Junta Estatal</w:t>
      </w:r>
    </w:p>
    <w:p w14:paraId="0B228884" w14:textId="77777777" w:rsidR="00EF4214" w:rsidRPr="004A769A" w:rsidRDefault="00EF4214" w:rsidP="00500A32">
      <w:pPr>
        <w:pStyle w:val="Prrafodelista"/>
        <w:spacing w:line="293" w:lineRule="auto"/>
        <w:ind w:left="510"/>
        <w:rPr>
          <w:rFonts w:ascii="Century Gothic" w:hAnsi="Century Gothic"/>
          <w:sz w:val="23"/>
          <w:szCs w:val="23"/>
        </w:rPr>
      </w:pPr>
      <w:r w:rsidRPr="004A769A">
        <w:rPr>
          <w:rFonts w:ascii="Century Gothic" w:hAnsi="Century Gothic"/>
          <w:sz w:val="23"/>
          <w:szCs w:val="23"/>
        </w:rPr>
        <w:t>El 22 de julio de 2022, el Consejo Estatal emitió el acuerdo CE/2022/21 y con ello aprobó el Reglamento de Sesiones de la Junta Estatal, el cual es de observancia obligatoria para las personas servidoras públicos del Instituto Electoral y tiene por objeto establecer las reglas que regulen la celebración y el desarrollo de las sesiones de dicho órgano central y las atribuciones y facultades de sus integrantes en las mismas.</w:t>
      </w:r>
    </w:p>
    <w:p w14:paraId="169B47B3" w14:textId="5733DDF6" w:rsidR="00EF4214" w:rsidRPr="004A769A" w:rsidRDefault="00EF4214" w:rsidP="00176188">
      <w:pPr>
        <w:pStyle w:val="Ttulo2"/>
      </w:pPr>
      <w:r w:rsidRPr="004A769A">
        <w:t>Anteproyecto de egresos del Instituto Electoral</w:t>
      </w:r>
    </w:p>
    <w:p w14:paraId="5E1A5DDD" w14:textId="2C66B7C8" w:rsidR="00EF4214" w:rsidRPr="004A769A" w:rsidRDefault="00EF4214" w:rsidP="00500A32">
      <w:pPr>
        <w:spacing w:line="293" w:lineRule="auto"/>
        <w:rPr>
          <w:rFonts w:ascii="Century Gothic" w:hAnsi="Century Gothic"/>
          <w:sz w:val="23"/>
          <w:szCs w:val="23"/>
        </w:rPr>
      </w:pPr>
      <w:r w:rsidRPr="004A769A">
        <w:rPr>
          <w:rFonts w:ascii="Century Gothic" w:hAnsi="Century Gothic"/>
          <w:sz w:val="23"/>
          <w:szCs w:val="23"/>
        </w:rPr>
        <w:t>El 15 de septiembre del 2022, mediante acuerdo CE/2022/028, el Consejo Estatal aprobó el Anteproyecto de Presupuesto de Egresos del Instituto Electoral para el ejercicio 2023, con un gasto total previsto por la cantidad de $300’336,811.20 (trescientos millones trescientos treinta y seis mil ochocientos once 20/100 moneda nacional) conformado por los siguientes rubros:</w:t>
      </w:r>
    </w:p>
    <w:p w14:paraId="7BA54BB2" w14:textId="77777777" w:rsidR="00500A32" w:rsidRPr="004A769A" w:rsidRDefault="00500A32" w:rsidP="00500A32">
      <w:pPr>
        <w:spacing w:line="293" w:lineRule="auto"/>
        <w:rPr>
          <w:rFonts w:ascii="Century Gothic" w:hAnsi="Century Gothic"/>
          <w:sz w:val="23"/>
          <w:szCs w:val="23"/>
        </w:rPr>
      </w:pPr>
    </w:p>
    <w:tbl>
      <w:tblPr>
        <w:tblStyle w:val="Tablaconcuadrcula"/>
        <w:tblW w:w="8390" w:type="dxa"/>
        <w:tblInd w:w="562" w:type="dxa"/>
        <w:tblLayout w:type="fixed"/>
        <w:tblLook w:val="04A0" w:firstRow="1" w:lastRow="0" w:firstColumn="1" w:lastColumn="0" w:noHBand="0" w:noVBand="1"/>
      </w:tblPr>
      <w:tblGrid>
        <w:gridCol w:w="719"/>
        <w:gridCol w:w="3021"/>
        <w:gridCol w:w="1581"/>
        <w:gridCol w:w="1438"/>
        <w:gridCol w:w="1631"/>
      </w:tblGrid>
      <w:tr w:rsidR="00EF4214" w:rsidRPr="006D2C04" w14:paraId="3702A754" w14:textId="77777777" w:rsidTr="008F29C2">
        <w:trPr>
          <w:trHeight w:val="1048"/>
        </w:trPr>
        <w:tc>
          <w:tcPr>
            <w:tcW w:w="719" w:type="dxa"/>
            <w:tcBorders>
              <w:top w:val="single" w:sz="4" w:space="0" w:color="auto"/>
              <w:bottom w:val="single" w:sz="4" w:space="0" w:color="auto"/>
            </w:tcBorders>
            <w:shd w:val="clear" w:color="auto" w:fill="993366"/>
            <w:vAlign w:val="center"/>
          </w:tcPr>
          <w:p w14:paraId="348FDE33"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lastRenderedPageBreak/>
              <w:t>Cap.</w:t>
            </w:r>
          </w:p>
        </w:tc>
        <w:tc>
          <w:tcPr>
            <w:tcW w:w="3021" w:type="dxa"/>
            <w:tcBorders>
              <w:top w:val="single" w:sz="4" w:space="0" w:color="auto"/>
              <w:bottom w:val="single" w:sz="4" w:space="0" w:color="auto"/>
            </w:tcBorders>
            <w:shd w:val="clear" w:color="auto" w:fill="993366"/>
            <w:vAlign w:val="center"/>
          </w:tcPr>
          <w:p w14:paraId="0E4C081F"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Descripción</w:t>
            </w:r>
          </w:p>
        </w:tc>
        <w:tc>
          <w:tcPr>
            <w:tcW w:w="1581" w:type="dxa"/>
            <w:tcBorders>
              <w:top w:val="single" w:sz="4" w:space="0" w:color="auto"/>
              <w:bottom w:val="single" w:sz="4" w:space="0" w:color="auto"/>
            </w:tcBorders>
            <w:shd w:val="clear" w:color="auto" w:fill="993366"/>
            <w:vAlign w:val="center"/>
          </w:tcPr>
          <w:p w14:paraId="15E04C94"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Gasto corriente</w:t>
            </w:r>
          </w:p>
        </w:tc>
        <w:tc>
          <w:tcPr>
            <w:tcW w:w="1438" w:type="dxa"/>
            <w:tcBorders>
              <w:top w:val="single" w:sz="4" w:space="0" w:color="auto"/>
              <w:bottom w:val="single" w:sz="4" w:space="0" w:color="auto"/>
            </w:tcBorders>
            <w:shd w:val="clear" w:color="auto" w:fill="993366"/>
          </w:tcPr>
          <w:p w14:paraId="58E68FE6"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Gasto electoral</w:t>
            </w:r>
          </w:p>
        </w:tc>
        <w:tc>
          <w:tcPr>
            <w:tcW w:w="1631" w:type="dxa"/>
            <w:tcBorders>
              <w:top w:val="single" w:sz="4" w:space="0" w:color="auto"/>
              <w:bottom w:val="single" w:sz="4" w:space="0" w:color="auto"/>
            </w:tcBorders>
            <w:shd w:val="clear" w:color="auto" w:fill="993366"/>
          </w:tcPr>
          <w:p w14:paraId="202B44FF"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Total</w:t>
            </w:r>
          </w:p>
        </w:tc>
      </w:tr>
      <w:tr w:rsidR="00EF4214" w:rsidRPr="006D2C04" w14:paraId="7DDBC5F7" w14:textId="77777777" w:rsidTr="008F29C2">
        <w:trPr>
          <w:trHeight w:val="537"/>
        </w:trPr>
        <w:tc>
          <w:tcPr>
            <w:tcW w:w="719" w:type="dxa"/>
            <w:vAlign w:val="center"/>
          </w:tcPr>
          <w:p w14:paraId="7BDA204C"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1000</w:t>
            </w:r>
          </w:p>
        </w:tc>
        <w:tc>
          <w:tcPr>
            <w:tcW w:w="3021" w:type="dxa"/>
            <w:vAlign w:val="center"/>
          </w:tcPr>
          <w:p w14:paraId="7A15FB31"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Servicios personales</w:t>
            </w:r>
          </w:p>
        </w:tc>
        <w:tc>
          <w:tcPr>
            <w:tcW w:w="1581" w:type="dxa"/>
            <w:vAlign w:val="center"/>
          </w:tcPr>
          <w:p w14:paraId="3852831C"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$126’267,942.31</w:t>
            </w:r>
          </w:p>
        </w:tc>
        <w:tc>
          <w:tcPr>
            <w:tcW w:w="1438" w:type="dxa"/>
            <w:vAlign w:val="center"/>
          </w:tcPr>
          <w:p w14:paraId="507C89D6"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$28’112,954.54</w:t>
            </w:r>
          </w:p>
        </w:tc>
        <w:tc>
          <w:tcPr>
            <w:tcW w:w="1631" w:type="dxa"/>
          </w:tcPr>
          <w:p w14:paraId="54C0A737"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$154’380,896.85</w:t>
            </w:r>
          </w:p>
        </w:tc>
      </w:tr>
      <w:tr w:rsidR="00EF4214" w:rsidRPr="006D2C04" w14:paraId="36AACF35" w14:textId="77777777" w:rsidTr="008F29C2">
        <w:trPr>
          <w:trHeight w:val="524"/>
        </w:trPr>
        <w:tc>
          <w:tcPr>
            <w:tcW w:w="719" w:type="dxa"/>
            <w:vAlign w:val="center"/>
          </w:tcPr>
          <w:p w14:paraId="73467E87"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2000</w:t>
            </w:r>
          </w:p>
        </w:tc>
        <w:tc>
          <w:tcPr>
            <w:tcW w:w="3021" w:type="dxa"/>
            <w:vAlign w:val="center"/>
          </w:tcPr>
          <w:p w14:paraId="7270ED29"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Materiales y suministros</w:t>
            </w:r>
          </w:p>
        </w:tc>
        <w:tc>
          <w:tcPr>
            <w:tcW w:w="1581" w:type="dxa"/>
            <w:vAlign w:val="center"/>
          </w:tcPr>
          <w:p w14:paraId="7147424A"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$9’748,692.93</w:t>
            </w:r>
          </w:p>
        </w:tc>
        <w:tc>
          <w:tcPr>
            <w:tcW w:w="1438" w:type="dxa"/>
            <w:vAlign w:val="center"/>
          </w:tcPr>
          <w:p w14:paraId="55C70F96"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$5’779,626.79</w:t>
            </w:r>
          </w:p>
        </w:tc>
        <w:tc>
          <w:tcPr>
            <w:tcW w:w="1631" w:type="dxa"/>
          </w:tcPr>
          <w:p w14:paraId="50ADCD53"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$15’528,319.72</w:t>
            </w:r>
          </w:p>
        </w:tc>
      </w:tr>
      <w:tr w:rsidR="00EF4214" w:rsidRPr="006D2C04" w14:paraId="4361361E" w14:textId="77777777" w:rsidTr="008F29C2">
        <w:trPr>
          <w:trHeight w:val="524"/>
        </w:trPr>
        <w:tc>
          <w:tcPr>
            <w:tcW w:w="719" w:type="dxa"/>
            <w:vAlign w:val="center"/>
          </w:tcPr>
          <w:p w14:paraId="51DBE6DD"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3000</w:t>
            </w:r>
          </w:p>
        </w:tc>
        <w:tc>
          <w:tcPr>
            <w:tcW w:w="3021" w:type="dxa"/>
            <w:vAlign w:val="center"/>
          </w:tcPr>
          <w:p w14:paraId="7C34987A"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Servicios generales</w:t>
            </w:r>
          </w:p>
        </w:tc>
        <w:tc>
          <w:tcPr>
            <w:tcW w:w="1581" w:type="dxa"/>
            <w:vAlign w:val="center"/>
          </w:tcPr>
          <w:p w14:paraId="08CA8B9E"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$30’190,820.56</w:t>
            </w:r>
          </w:p>
        </w:tc>
        <w:tc>
          <w:tcPr>
            <w:tcW w:w="1438" w:type="dxa"/>
            <w:vAlign w:val="center"/>
          </w:tcPr>
          <w:p w14:paraId="5D5AD349"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$15’498,261.87</w:t>
            </w:r>
          </w:p>
        </w:tc>
        <w:tc>
          <w:tcPr>
            <w:tcW w:w="1631" w:type="dxa"/>
          </w:tcPr>
          <w:p w14:paraId="00687BC7"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$45’689,082.43</w:t>
            </w:r>
          </w:p>
        </w:tc>
      </w:tr>
      <w:tr w:rsidR="00EF4214" w:rsidRPr="006D2C04" w14:paraId="1E2E1CE5" w14:textId="77777777" w:rsidTr="008F29C2">
        <w:trPr>
          <w:trHeight w:val="524"/>
        </w:trPr>
        <w:tc>
          <w:tcPr>
            <w:tcW w:w="719" w:type="dxa"/>
            <w:vAlign w:val="center"/>
          </w:tcPr>
          <w:p w14:paraId="0365F8EA"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4000</w:t>
            </w:r>
          </w:p>
        </w:tc>
        <w:tc>
          <w:tcPr>
            <w:tcW w:w="3021" w:type="dxa"/>
            <w:vAlign w:val="center"/>
          </w:tcPr>
          <w:p w14:paraId="7A0AECF7"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Financiamiento a partidos políticos</w:t>
            </w:r>
          </w:p>
        </w:tc>
        <w:tc>
          <w:tcPr>
            <w:tcW w:w="1581" w:type="dxa"/>
            <w:vAlign w:val="center"/>
          </w:tcPr>
          <w:p w14:paraId="1031B645"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$56’937,891.33</w:t>
            </w:r>
          </w:p>
        </w:tc>
        <w:tc>
          <w:tcPr>
            <w:tcW w:w="1438" w:type="dxa"/>
            <w:vAlign w:val="center"/>
          </w:tcPr>
          <w:p w14:paraId="5E2A3654"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w:t>
            </w:r>
          </w:p>
        </w:tc>
        <w:tc>
          <w:tcPr>
            <w:tcW w:w="1631" w:type="dxa"/>
          </w:tcPr>
          <w:p w14:paraId="14731660"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$56’937,891.33</w:t>
            </w:r>
          </w:p>
        </w:tc>
      </w:tr>
      <w:tr w:rsidR="00EF4214" w:rsidRPr="006D2C04" w14:paraId="28DBB6A5" w14:textId="77777777" w:rsidTr="008F29C2">
        <w:trPr>
          <w:trHeight w:val="524"/>
        </w:trPr>
        <w:tc>
          <w:tcPr>
            <w:tcW w:w="719" w:type="dxa"/>
            <w:tcBorders>
              <w:bottom w:val="single" w:sz="4" w:space="0" w:color="auto"/>
            </w:tcBorders>
            <w:vAlign w:val="center"/>
          </w:tcPr>
          <w:p w14:paraId="6A17439F"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5000</w:t>
            </w:r>
          </w:p>
        </w:tc>
        <w:tc>
          <w:tcPr>
            <w:tcW w:w="3021" w:type="dxa"/>
            <w:tcBorders>
              <w:bottom w:val="single" w:sz="4" w:space="0" w:color="auto"/>
            </w:tcBorders>
            <w:vAlign w:val="center"/>
          </w:tcPr>
          <w:p w14:paraId="198A2113"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Equipamiento</w:t>
            </w:r>
          </w:p>
        </w:tc>
        <w:tc>
          <w:tcPr>
            <w:tcW w:w="1581" w:type="dxa"/>
            <w:tcBorders>
              <w:bottom w:val="single" w:sz="4" w:space="0" w:color="auto"/>
            </w:tcBorders>
            <w:vAlign w:val="center"/>
          </w:tcPr>
          <w:p w14:paraId="6323A879"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$712,117.00</w:t>
            </w:r>
          </w:p>
        </w:tc>
        <w:tc>
          <w:tcPr>
            <w:tcW w:w="1438" w:type="dxa"/>
            <w:tcBorders>
              <w:bottom w:val="single" w:sz="4" w:space="0" w:color="auto"/>
            </w:tcBorders>
            <w:vAlign w:val="center"/>
          </w:tcPr>
          <w:p w14:paraId="6A030A3D"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$26’172,903.87</w:t>
            </w:r>
          </w:p>
        </w:tc>
        <w:tc>
          <w:tcPr>
            <w:tcW w:w="1631" w:type="dxa"/>
            <w:tcBorders>
              <w:bottom w:val="single" w:sz="4" w:space="0" w:color="auto"/>
            </w:tcBorders>
          </w:tcPr>
          <w:p w14:paraId="11ACAFAA"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$26’885,020.87</w:t>
            </w:r>
          </w:p>
        </w:tc>
      </w:tr>
      <w:tr w:rsidR="00EF4214" w:rsidRPr="006D2C04" w14:paraId="5A485A34" w14:textId="77777777" w:rsidTr="008F29C2">
        <w:trPr>
          <w:trHeight w:val="537"/>
        </w:trPr>
        <w:tc>
          <w:tcPr>
            <w:tcW w:w="719" w:type="dxa"/>
            <w:tcBorders>
              <w:bottom w:val="single" w:sz="4" w:space="0" w:color="auto"/>
            </w:tcBorders>
            <w:vAlign w:val="center"/>
          </w:tcPr>
          <w:p w14:paraId="0FFAA007"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8000</w:t>
            </w:r>
          </w:p>
        </w:tc>
        <w:tc>
          <w:tcPr>
            <w:tcW w:w="3021" w:type="dxa"/>
            <w:tcBorders>
              <w:bottom w:val="single" w:sz="4" w:space="0" w:color="auto"/>
            </w:tcBorders>
            <w:vAlign w:val="center"/>
          </w:tcPr>
          <w:p w14:paraId="1CD9D5FB"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Participaciones y aportaciones</w:t>
            </w:r>
          </w:p>
        </w:tc>
        <w:tc>
          <w:tcPr>
            <w:tcW w:w="1581" w:type="dxa"/>
            <w:tcBorders>
              <w:bottom w:val="single" w:sz="4" w:space="0" w:color="auto"/>
            </w:tcBorders>
            <w:vAlign w:val="center"/>
          </w:tcPr>
          <w:p w14:paraId="6BF2C2D1"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w:t>
            </w:r>
          </w:p>
        </w:tc>
        <w:tc>
          <w:tcPr>
            <w:tcW w:w="1438" w:type="dxa"/>
            <w:tcBorders>
              <w:bottom w:val="single" w:sz="4" w:space="0" w:color="auto"/>
            </w:tcBorders>
            <w:vAlign w:val="center"/>
          </w:tcPr>
          <w:p w14:paraId="5B28B473"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$915,600.00</w:t>
            </w:r>
          </w:p>
        </w:tc>
        <w:tc>
          <w:tcPr>
            <w:tcW w:w="1631" w:type="dxa"/>
            <w:tcBorders>
              <w:bottom w:val="single" w:sz="4" w:space="0" w:color="auto"/>
            </w:tcBorders>
          </w:tcPr>
          <w:p w14:paraId="439F889A"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$915,600.00</w:t>
            </w:r>
          </w:p>
        </w:tc>
      </w:tr>
      <w:tr w:rsidR="00EF4214" w:rsidRPr="006D2C04" w14:paraId="18854784" w14:textId="77777777" w:rsidTr="008F29C2">
        <w:trPr>
          <w:trHeight w:val="524"/>
        </w:trPr>
        <w:tc>
          <w:tcPr>
            <w:tcW w:w="3740" w:type="dxa"/>
            <w:gridSpan w:val="2"/>
            <w:tcBorders>
              <w:top w:val="single" w:sz="4" w:space="0" w:color="auto"/>
              <w:left w:val="nil"/>
              <w:bottom w:val="nil"/>
              <w:right w:val="single" w:sz="4" w:space="0" w:color="auto"/>
            </w:tcBorders>
            <w:shd w:val="clear" w:color="auto" w:fill="FFFFFF" w:themeFill="background1"/>
            <w:vAlign w:val="center"/>
          </w:tcPr>
          <w:p w14:paraId="24B96A10"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z w:val="18"/>
                <w:szCs w:val="23"/>
              </w:rPr>
            </w:pPr>
            <w:r w:rsidRPr="006D2C04">
              <w:rPr>
                <w:rFonts w:ascii="Century Gothic" w:hAnsi="Century Gothic"/>
                <w:b/>
                <w:sz w:val="18"/>
                <w:szCs w:val="23"/>
              </w:rPr>
              <w:t>Gasto total</w:t>
            </w:r>
          </w:p>
        </w:tc>
        <w:tc>
          <w:tcPr>
            <w:tcW w:w="1581" w:type="dxa"/>
            <w:tcBorders>
              <w:top w:val="single" w:sz="4" w:space="0" w:color="auto"/>
              <w:left w:val="single" w:sz="4" w:space="0" w:color="auto"/>
            </w:tcBorders>
            <w:shd w:val="clear" w:color="auto" w:fill="FFFFFF" w:themeFill="background1"/>
            <w:vAlign w:val="center"/>
          </w:tcPr>
          <w:p w14:paraId="7826B43C"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pacing w:val="-10"/>
                <w:sz w:val="18"/>
                <w:szCs w:val="23"/>
              </w:rPr>
            </w:pPr>
            <w:r w:rsidRPr="006D2C04">
              <w:rPr>
                <w:rFonts w:ascii="Century Gothic" w:hAnsi="Century Gothic"/>
                <w:b/>
                <w:spacing w:val="-10"/>
                <w:sz w:val="18"/>
                <w:szCs w:val="23"/>
              </w:rPr>
              <w:t>$223’857,464.13</w:t>
            </w:r>
          </w:p>
        </w:tc>
        <w:tc>
          <w:tcPr>
            <w:tcW w:w="1438" w:type="dxa"/>
            <w:tcBorders>
              <w:top w:val="single" w:sz="4" w:space="0" w:color="auto"/>
              <w:left w:val="single" w:sz="4" w:space="0" w:color="auto"/>
            </w:tcBorders>
            <w:shd w:val="clear" w:color="auto" w:fill="FFFFFF" w:themeFill="background1"/>
          </w:tcPr>
          <w:p w14:paraId="7FDD6C7C"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pacing w:val="-10"/>
                <w:sz w:val="18"/>
                <w:szCs w:val="23"/>
              </w:rPr>
            </w:pPr>
            <w:r w:rsidRPr="006D2C04">
              <w:rPr>
                <w:rFonts w:ascii="Century Gothic" w:hAnsi="Century Gothic"/>
                <w:b/>
                <w:spacing w:val="-10"/>
                <w:sz w:val="18"/>
                <w:szCs w:val="23"/>
              </w:rPr>
              <w:t>$76’479,347.07</w:t>
            </w:r>
          </w:p>
        </w:tc>
        <w:tc>
          <w:tcPr>
            <w:tcW w:w="1631" w:type="dxa"/>
            <w:tcBorders>
              <w:top w:val="single" w:sz="4" w:space="0" w:color="auto"/>
              <w:left w:val="single" w:sz="4" w:space="0" w:color="auto"/>
            </w:tcBorders>
            <w:shd w:val="clear" w:color="auto" w:fill="FFFFFF" w:themeFill="background1"/>
            <w:vAlign w:val="center"/>
          </w:tcPr>
          <w:p w14:paraId="6C97D9A4"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pacing w:val="-10"/>
                <w:sz w:val="18"/>
                <w:szCs w:val="23"/>
              </w:rPr>
            </w:pPr>
            <w:r w:rsidRPr="006D2C04">
              <w:rPr>
                <w:rFonts w:ascii="Century Gothic" w:hAnsi="Century Gothic"/>
                <w:b/>
                <w:spacing w:val="-10"/>
                <w:sz w:val="18"/>
                <w:szCs w:val="23"/>
              </w:rPr>
              <w:t>$300’336,811.20</w:t>
            </w:r>
          </w:p>
        </w:tc>
      </w:tr>
    </w:tbl>
    <w:p w14:paraId="7D67D75E" w14:textId="77777777" w:rsidR="00EF4214" w:rsidRPr="004A769A" w:rsidRDefault="00EF4214" w:rsidP="00176188">
      <w:pPr>
        <w:pStyle w:val="Ttulo2"/>
      </w:pPr>
      <w:r w:rsidRPr="004A769A">
        <w:t>Aprobación del Presupuesto Anual correspondiente al ejercicio 2023</w:t>
      </w:r>
    </w:p>
    <w:p w14:paraId="13BE1A5A" w14:textId="77777777" w:rsidR="00EF4214" w:rsidRPr="004A769A" w:rsidRDefault="00EF4214" w:rsidP="00500A32">
      <w:pPr>
        <w:spacing w:line="293" w:lineRule="auto"/>
        <w:rPr>
          <w:rFonts w:ascii="Century Gothic" w:hAnsi="Century Gothic"/>
          <w:sz w:val="23"/>
          <w:szCs w:val="23"/>
        </w:rPr>
      </w:pPr>
      <w:r w:rsidRPr="004A769A">
        <w:rPr>
          <w:rFonts w:ascii="Century Gothic" w:hAnsi="Century Gothic"/>
          <w:sz w:val="23"/>
          <w:szCs w:val="23"/>
        </w:rPr>
        <w:t>El 28 de diciembre de 2022, se publicó en el Suplemento “I” al Periódico Oficial del Estado número 8380, el decreto 086 relativo al Presupuesto Anual de Egresos aprobado por el H. Congreso del Estado de Tabasco, correspondiente al ejercicio 2023, el cual contiene entre otros aspectos, la política de gasto de los órganos autónomos.</w:t>
      </w:r>
    </w:p>
    <w:p w14:paraId="7F05A311" w14:textId="77777777" w:rsidR="00EF4214" w:rsidRPr="004A769A" w:rsidRDefault="00EF4214" w:rsidP="00176188">
      <w:pPr>
        <w:pStyle w:val="Ttulo2"/>
      </w:pPr>
      <w:r w:rsidRPr="004A769A">
        <w:t>Presupuesto del Instituto Electoral correspondiente al ejercicio 2023</w:t>
      </w:r>
    </w:p>
    <w:p w14:paraId="164DC21B" w14:textId="38E22DB6" w:rsidR="00EF4214" w:rsidRDefault="00EF4214" w:rsidP="00500A32">
      <w:pPr>
        <w:spacing w:line="293" w:lineRule="auto"/>
        <w:rPr>
          <w:rFonts w:ascii="Century Gothic" w:hAnsi="Century Gothic"/>
          <w:sz w:val="23"/>
          <w:szCs w:val="23"/>
        </w:rPr>
      </w:pPr>
      <w:r w:rsidRPr="004A769A">
        <w:rPr>
          <w:rFonts w:ascii="Century Gothic" w:hAnsi="Century Gothic"/>
          <w:sz w:val="23"/>
          <w:szCs w:val="23"/>
        </w:rPr>
        <w:t>De conformidad con el Presupuesto antes mencionado, el H. Congreso del Estado, para el ejercicio 2023 asignó al Instituto Electoral recursos por la cantidad de $200’852,999.00 (doscientos millones ochocientos cincuenta y dos mil novecientos noventa y nueve pesos 00/100), cantidad que incluye el gasto previsto para el financiamiento público de los partidos políticos con derecho a éste.</w:t>
      </w:r>
    </w:p>
    <w:p w14:paraId="580077FB" w14:textId="77777777" w:rsidR="0070179B" w:rsidRDefault="0070179B" w:rsidP="00500A32">
      <w:pPr>
        <w:spacing w:line="293" w:lineRule="auto"/>
        <w:rPr>
          <w:rFonts w:ascii="Century Gothic" w:hAnsi="Century Gothic"/>
          <w:sz w:val="23"/>
          <w:szCs w:val="23"/>
        </w:rPr>
      </w:pPr>
    </w:p>
    <w:p w14:paraId="358DEE24" w14:textId="31B0D04E" w:rsidR="00DE6595" w:rsidRDefault="00DE6595" w:rsidP="00DE6595">
      <w:pPr>
        <w:pStyle w:val="Ttulo2"/>
      </w:pPr>
      <w:r>
        <w:t>Recalendarización improcedente</w:t>
      </w:r>
    </w:p>
    <w:p w14:paraId="545B548A" w14:textId="1D7AB234" w:rsidR="00DE6595" w:rsidRPr="004A769A" w:rsidRDefault="00DE6595" w:rsidP="00500A32">
      <w:pPr>
        <w:spacing w:line="293" w:lineRule="auto"/>
        <w:rPr>
          <w:rFonts w:ascii="Century Gothic" w:hAnsi="Century Gothic"/>
          <w:sz w:val="23"/>
          <w:szCs w:val="23"/>
        </w:rPr>
      </w:pPr>
      <w:r>
        <w:rPr>
          <w:rFonts w:ascii="Century Gothic" w:hAnsi="Century Gothic"/>
          <w:sz w:val="23"/>
          <w:szCs w:val="23"/>
        </w:rPr>
        <w:t xml:space="preserve">El 11 de mayo de la presente anualidad, el Secretario de Finanzas mediante oficio SF/NP0282/2023 determinó la improcedencia de la solicitud de </w:t>
      </w:r>
      <w:r>
        <w:rPr>
          <w:rFonts w:ascii="Century Gothic" w:hAnsi="Century Gothic"/>
          <w:sz w:val="23"/>
          <w:szCs w:val="23"/>
        </w:rPr>
        <w:lastRenderedPageBreak/>
        <w:t>adecuación presupuestal solicitada por la Consejera Presidenta, estableciendo que, el Instituto Electoral deberá sujetarse al calendario autorizado por el H. Congreso del Estado de Tabasco</w:t>
      </w:r>
      <w:r w:rsidR="00C917FC">
        <w:rPr>
          <w:rFonts w:ascii="Century Gothic" w:hAnsi="Century Gothic"/>
          <w:sz w:val="23"/>
          <w:szCs w:val="23"/>
        </w:rPr>
        <w:t xml:space="preserve">, de conformidad con los artículos 8, 18 y 57 del Presupuesto General de Egresos para el Ejercicio Fiscal 2023,  publicado mediante decreto 086 en el suplemento I al Periódico Oficial del Estado número 8001 </w:t>
      </w:r>
      <w:r w:rsidR="004256A6">
        <w:rPr>
          <w:rFonts w:ascii="Century Gothic" w:hAnsi="Century Gothic"/>
          <w:sz w:val="23"/>
          <w:szCs w:val="23"/>
        </w:rPr>
        <w:t>del 28 de diciembre de 2022.</w:t>
      </w:r>
    </w:p>
    <w:p w14:paraId="02B782B8" w14:textId="77777777" w:rsidR="00AB3AF3" w:rsidRPr="00322CDC" w:rsidRDefault="00CE1F37" w:rsidP="00625432">
      <w:pPr>
        <w:pStyle w:val="Ttulo1"/>
        <w:rPr>
          <w:w w:val="150"/>
          <w:sz w:val="24"/>
          <w:szCs w:val="24"/>
        </w:rPr>
      </w:pPr>
      <w:r w:rsidRPr="00322CDC">
        <w:rPr>
          <w:sz w:val="24"/>
          <w:szCs w:val="24"/>
        </w:rPr>
        <w:t>Considerando</w:t>
      </w:r>
    </w:p>
    <w:p w14:paraId="551E8723" w14:textId="77777777" w:rsidR="00FC3DB5" w:rsidRPr="004A769A" w:rsidRDefault="00FC3DB5" w:rsidP="00176188">
      <w:pPr>
        <w:pStyle w:val="Ttulo2"/>
      </w:pPr>
      <w:r w:rsidRPr="004A769A">
        <w:t>Fines del Instituto Electoral</w:t>
      </w:r>
    </w:p>
    <w:p w14:paraId="0F332FB3" w14:textId="77777777" w:rsidR="006C3825" w:rsidRPr="004A769A" w:rsidRDefault="00AB3AF3" w:rsidP="00500A32">
      <w:pPr>
        <w:spacing w:after="240" w:line="293" w:lineRule="auto"/>
        <w:rPr>
          <w:rFonts w:ascii="Century Gothic" w:hAnsi="Century Gothic"/>
          <w:sz w:val="23"/>
          <w:szCs w:val="23"/>
        </w:rPr>
      </w:pPr>
      <w:r w:rsidRPr="004A769A">
        <w:rPr>
          <w:rFonts w:ascii="Century Gothic" w:hAnsi="Century Gothic"/>
          <w:sz w:val="23"/>
          <w:szCs w:val="23"/>
        </w:rPr>
        <w:t>Que, los artículos 9, apartado C, fracción I, de la Constitución Local; 3 numeral 3, 100 y 102, de la Ley Electoral, establecen que, el Instituto Electoral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14:paraId="39B99250" w14:textId="6AC6E9A9" w:rsidR="006C3825" w:rsidRPr="004A769A" w:rsidRDefault="00AB3AF3" w:rsidP="00500A32">
      <w:pPr>
        <w:spacing w:after="240" w:line="293" w:lineRule="auto"/>
        <w:rPr>
          <w:rFonts w:ascii="Century Gothic" w:hAnsi="Century Gothic"/>
          <w:sz w:val="23"/>
          <w:szCs w:val="23"/>
        </w:rPr>
      </w:pPr>
      <w:r w:rsidRPr="004A769A">
        <w:rPr>
          <w:rFonts w:ascii="Century Gothic" w:hAnsi="Century Gothic"/>
          <w:sz w:val="23"/>
          <w:szCs w:val="23"/>
        </w:rPr>
        <w:t xml:space="preserve">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w:t>
      </w:r>
      <w:r w:rsidRPr="004A769A">
        <w:rPr>
          <w:rFonts w:ascii="Century Gothic" w:hAnsi="Century Gothic"/>
          <w:sz w:val="23"/>
          <w:szCs w:val="23"/>
        </w:rPr>
        <w:lastRenderedPageBreak/>
        <w:t>formas de participación ciudadana, de conformidad con lo que dispongan las leyes.</w:t>
      </w:r>
    </w:p>
    <w:p w14:paraId="1F2EC7F4" w14:textId="77777777" w:rsidR="006C3825" w:rsidRPr="004A769A" w:rsidRDefault="00AB3AF3" w:rsidP="00176188">
      <w:pPr>
        <w:pStyle w:val="Ttulo2"/>
      </w:pPr>
      <w:r w:rsidRPr="004A769A">
        <w:t>Órganos Centrales del Instituto Ele</w:t>
      </w:r>
      <w:r w:rsidR="006C3825" w:rsidRPr="004A769A">
        <w:t>ctoral</w:t>
      </w:r>
    </w:p>
    <w:p w14:paraId="60B99AA7" w14:textId="77777777" w:rsidR="00AB3AF3" w:rsidRPr="004A769A" w:rsidRDefault="00AB3AF3" w:rsidP="00500A32">
      <w:pPr>
        <w:spacing w:after="240" w:line="293" w:lineRule="auto"/>
        <w:rPr>
          <w:rFonts w:ascii="Century Gothic" w:hAnsi="Century Gothic"/>
          <w:sz w:val="23"/>
          <w:szCs w:val="23"/>
        </w:rPr>
      </w:pPr>
      <w:r w:rsidRPr="004A769A">
        <w:rPr>
          <w:rFonts w:ascii="Century Gothic" w:hAnsi="Century Gothic"/>
          <w:sz w:val="23"/>
          <w:szCs w:val="23"/>
        </w:rPr>
        <w:t>Que, el artículo 105, de la Ley Electoral, señala que, son órganos centrales del Instituto Electoral los siguientes: I. Consejo Estatal; II. Presidencia del Consejo Estatal; III. Junta Ejecutiva; IV. Secretaría Ejecutiva, y V. Órgano Técnico de Fiscalización.</w:t>
      </w:r>
    </w:p>
    <w:p w14:paraId="4B6EEFA7" w14:textId="77777777" w:rsidR="006C3825" w:rsidRPr="004A769A" w:rsidRDefault="00AB3AF3" w:rsidP="00176188">
      <w:pPr>
        <w:pStyle w:val="Ttulo2"/>
      </w:pPr>
      <w:r w:rsidRPr="004A769A">
        <w:t>Órgano Superior de Di</w:t>
      </w:r>
      <w:r w:rsidR="006C3825" w:rsidRPr="004A769A">
        <w:t>rección del Instituto Electoral</w:t>
      </w:r>
    </w:p>
    <w:p w14:paraId="79ECC496" w14:textId="77777777" w:rsidR="006C3825" w:rsidRPr="004A769A" w:rsidRDefault="00AB3AF3" w:rsidP="00500A32">
      <w:pPr>
        <w:pStyle w:val="Prrafodelista"/>
        <w:spacing w:line="293" w:lineRule="auto"/>
        <w:ind w:left="510"/>
        <w:contextualSpacing w:val="0"/>
        <w:rPr>
          <w:rFonts w:ascii="Century Gothic" w:hAnsi="Century Gothic"/>
          <w:sz w:val="23"/>
          <w:szCs w:val="23"/>
        </w:rPr>
      </w:pPr>
      <w:r w:rsidRPr="004A769A">
        <w:rPr>
          <w:rFonts w:ascii="Century Gothic" w:hAnsi="Century Gothic"/>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B3EB66A" w14:textId="77777777" w:rsidR="006C3825" w:rsidRPr="004A769A" w:rsidRDefault="00AB3AF3" w:rsidP="00176188">
      <w:pPr>
        <w:pStyle w:val="Ttulo2"/>
      </w:pPr>
      <w:r w:rsidRPr="004A769A">
        <w:t>Integración d</w:t>
      </w:r>
      <w:r w:rsidR="006C3825" w:rsidRPr="004A769A">
        <w:t>el Órgano de Dirección Superior</w:t>
      </w:r>
    </w:p>
    <w:p w14:paraId="7FE8C729" w14:textId="5758421C" w:rsidR="00AB3AF3" w:rsidRPr="004A769A" w:rsidRDefault="00AB3AF3" w:rsidP="00500A32">
      <w:pPr>
        <w:pStyle w:val="Prrafodelista"/>
        <w:spacing w:line="293" w:lineRule="auto"/>
        <w:ind w:left="510"/>
        <w:contextualSpacing w:val="0"/>
        <w:rPr>
          <w:rFonts w:ascii="Century Gothic" w:hAnsi="Century Gothic"/>
          <w:sz w:val="23"/>
          <w:szCs w:val="23"/>
        </w:rPr>
      </w:pPr>
      <w:r w:rsidRPr="004A769A">
        <w:rPr>
          <w:rFonts w:ascii="Century Gothic" w:hAnsi="Century Gothic"/>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C9263CE" w14:textId="5C43AFC9" w:rsidR="004A769A" w:rsidRPr="004A769A" w:rsidRDefault="004A769A" w:rsidP="00176188">
      <w:pPr>
        <w:pStyle w:val="Ttulo2"/>
      </w:pPr>
      <w:r w:rsidRPr="004A769A">
        <w:t>Autonomía presupuestaria del Instituto Electoral</w:t>
      </w:r>
    </w:p>
    <w:p w14:paraId="670B9D04" w14:textId="77777777" w:rsidR="004A769A" w:rsidRPr="004A769A" w:rsidRDefault="004A769A" w:rsidP="004A769A">
      <w:pPr>
        <w:rPr>
          <w:rFonts w:ascii="Century Gothic" w:hAnsi="Century Gothic"/>
          <w:sz w:val="23"/>
          <w:szCs w:val="23"/>
        </w:rPr>
      </w:pPr>
      <w:r w:rsidRPr="004A769A">
        <w:rPr>
          <w:rFonts w:ascii="Century Gothic" w:hAnsi="Century Gothic"/>
          <w:sz w:val="23"/>
          <w:szCs w:val="23"/>
        </w:rPr>
        <w:t>Que, el artículo 6 de la Ley de Presupuesto y Responsabilidad Hacendaria del Estado de Tabasco y sus Municipios, sostiene que la autonomía presupuestaria otorgada a los órganos autónomos a través de la Constitución Local comprende:</w:t>
      </w:r>
    </w:p>
    <w:p w14:paraId="439391B9" w14:textId="2B5B7310"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“a)</w:t>
      </w:r>
      <w:r w:rsidRPr="001C5279">
        <w:rPr>
          <w:rFonts w:ascii="Century Gothic" w:hAnsi="Century Gothic"/>
          <w:sz w:val="20"/>
          <w:szCs w:val="23"/>
        </w:rPr>
        <w:tab/>
        <w:t xml:space="preserve">La aprobación de su proyecto de presupuesto y su remisión a la Secretaría de Finanzas para su integración al proyecto de Presupuesto de Egresos, observando los criterios de política económica y demás disposiciones aplicables; </w:t>
      </w:r>
    </w:p>
    <w:p w14:paraId="0F4A35EF"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lastRenderedPageBreak/>
        <w:t>b)</w:t>
      </w:r>
      <w:r w:rsidRPr="001C5279">
        <w:rPr>
          <w:rFonts w:ascii="Century Gothic" w:hAnsi="Century Gothic"/>
          <w:sz w:val="20"/>
          <w:szCs w:val="23"/>
        </w:rPr>
        <w:tab/>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2D03CF7E"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c)</w:t>
      </w:r>
      <w:r w:rsidRPr="001C5279">
        <w:rPr>
          <w:rFonts w:ascii="Century Gothic" w:hAnsi="Century Gothic"/>
          <w:sz w:val="20"/>
          <w:szCs w:val="23"/>
        </w:rPr>
        <w:tab/>
        <w:t xml:space="preserve">La autorización de las adecuaciones a sus presupuestos sin requerir la aprobación de la Secretaría de Finanzas, observando las disposiciones de dicha Ley; </w:t>
      </w:r>
    </w:p>
    <w:p w14:paraId="063BDB0F"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d)</w:t>
      </w:r>
      <w:r w:rsidRPr="001C5279">
        <w:rPr>
          <w:rFonts w:ascii="Century Gothic" w:hAnsi="Century Gothic"/>
          <w:sz w:val="20"/>
          <w:szCs w:val="23"/>
        </w:rPr>
        <w:tab/>
        <w:t xml:space="preserve">La realización de sus pagos a través de sus respectivas tesorerías o sus equivalentes; </w:t>
      </w:r>
    </w:p>
    <w:p w14:paraId="414F9076"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e)</w:t>
      </w:r>
      <w:r w:rsidRPr="001C5279">
        <w:rPr>
          <w:rFonts w:ascii="Century Gothic" w:hAnsi="Century Gothic"/>
          <w:sz w:val="20"/>
          <w:szCs w:val="23"/>
        </w:rPr>
        <w:tab/>
        <w:t>La determinación de los ajustes que correspondan en sus presupuestos en caso de disminución de ingresos, observando, en lo conducente, lo dispuesto en el artículo 18 de la Ley mencionada; y</w:t>
      </w:r>
    </w:p>
    <w:p w14:paraId="6FED0509" w14:textId="056E394D"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f)</w:t>
      </w:r>
      <w:r w:rsidRPr="001C5279">
        <w:rPr>
          <w:rFonts w:ascii="Century Gothic" w:hAnsi="Century Gothic"/>
          <w:sz w:val="20"/>
          <w:szCs w:val="23"/>
        </w:rPr>
        <w:tab/>
        <w:t>Llevar la contabilidad y elaborar sus informes conforme a lo previsto en dicha Ley, así como enviarlos a la Secretaría de Finanzas para su integración a los informes trimestrales y a la Cuenta Pública.”</w:t>
      </w:r>
    </w:p>
    <w:p w14:paraId="202D7B1D" w14:textId="77777777" w:rsidR="007316CC" w:rsidRPr="004A769A" w:rsidRDefault="007316CC" w:rsidP="00176188">
      <w:pPr>
        <w:pStyle w:val="Ttulo2"/>
      </w:pPr>
      <w:r w:rsidRPr="004A769A">
        <w:t xml:space="preserve">Integración de la </w:t>
      </w:r>
      <w:r w:rsidR="00AB3AF3" w:rsidRPr="004A769A">
        <w:t>Junta Ejecutiva</w:t>
      </w:r>
    </w:p>
    <w:p w14:paraId="0BD8CDE5" w14:textId="77777777" w:rsidR="006B684C" w:rsidRPr="004A769A" w:rsidRDefault="00AB3AF3" w:rsidP="00500A32">
      <w:pPr>
        <w:pStyle w:val="Prrafodelista"/>
        <w:spacing w:after="240" w:line="293" w:lineRule="auto"/>
        <w:ind w:left="510"/>
        <w:contextualSpacing w:val="0"/>
        <w:rPr>
          <w:rFonts w:ascii="Century Gothic" w:hAnsi="Century Gothic"/>
          <w:sz w:val="23"/>
          <w:szCs w:val="23"/>
        </w:rPr>
      </w:pPr>
      <w:r w:rsidRPr="004A769A">
        <w:rPr>
          <w:rFonts w:ascii="Century Gothic" w:hAnsi="Century Gothic"/>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175F932D" w14:textId="5803DE2D" w:rsidR="006B684C" w:rsidRDefault="00AB3AF3" w:rsidP="00500A32">
      <w:pPr>
        <w:pStyle w:val="Prrafodelista"/>
        <w:spacing w:after="240" w:line="293" w:lineRule="auto"/>
        <w:ind w:left="510"/>
        <w:contextualSpacing w:val="0"/>
        <w:rPr>
          <w:rFonts w:ascii="Century Gothic" w:hAnsi="Century Gothic"/>
          <w:sz w:val="23"/>
          <w:szCs w:val="23"/>
        </w:rPr>
      </w:pPr>
      <w:r w:rsidRPr="004A769A">
        <w:rPr>
          <w:rFonts w:ascii="Century Gothic" w:hAnsi="Century Gothic"/>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14:paraId="276F3DD0" w14:textId="77777777" w:rsidR="0070179B" w:rsidRPr="004A769A" w:rsidRDefault="0070179B" w:rsidP="00500A32">
      <w:pPr>
        <w:pStyle w:val="Prrafodelista"/>
        <w:spacing w:after="240" w:line="293" w:lineRule="auto"/>
        <w:ind w:left="510"/>
        <w:contextualSpacing w:val="0"/>
        <w:rPr>
          <w:rFonts w:ascii="Century Gothic" w:hAnsi="Century Gothic"/>
          <w:sz w:val="23"/>
          <w:szCs w:val="23"/>
        </w:rPr>
      </w:pPr>
    </w:p>
    <w:p w14:paraId="489DD5AD" w14:textId="77777777" w:rsidR="006B684C" w:rsidRPr="004A769A" w:rsidRDefault="00AB3AF3" w:rsidP="00176188">
      <w:pPr>
        <w:pStyle w:val="Ttulo2"/>
      </w:pPr>
      <w:r w:rsidRPr="004A769A">
        <w:t>Atribuciones de la Junta Ejecutiva</w:t>
      </w:r>
    </w:p>
    <w:p w14:paraId="6A1B2DC1" w14:textId="77777777" w:rsidR="00AB3AF3" w:rsidRPr="004A769A" w:rsidRDefault="00AB3AF3" w:rsidP="00500A32">
      <w:pPr>
        <w:pStyle w:val="Prrafodelista"/>
        <w:spacing w:after="240" w:line="293" w:lineRule="auto"/>
        <w:ind w:left="510"/>
        <w:contextualSpacing w:val="0"/>
        <w:rPr>
          <w:rFonts w:ascii="Century Gothic" w:hAnsi="Century Gothic"/>
          <w:sz w:val="23"/>
          <w:szCs w:val="23"/>
        </w:rPr>
      </w:pPr>
      <w:r w:rsidRPr="004A769A">
        <w:rPr>
          <w:rFonts w:ascii="Century Gothic" w:hAnsi="Century Gothic"/>
          <w:sz w:val="23"/>
          <w:szCs w:val="23"/>
        </w:rPr>
        <w:t>Que, el numeral 1, del artículo 119, de la Ley Electoral, señala que, la Junta Ejecutiva se reunirá por lo menos una vez al mes y ejercerá las atribuciones siguientes:</w:t>
      </w:r>
    </w:p>
    <w:p w14:paraId="2FB73223" w14:textId="77777777" w:rsidR="00AB3AF3" w:rsidRPr="006D2C04" w:rsidRDefault="00AB3AF3" w:rsidP="006D2C04">
      <w:pPr>
        <w:pStyle w:val="Cita"/>
      </w:pPr>
      <w:r w:rsidRPr="006D2C04">
        <w:lastRenderedPageBreak/>
        <w:t>“I. Proponer al Consejo Estatal las políticas generales y los programas del Instituto Estatal;</w:t>
      </w:r>
    </w:p>
    <w:p w14:paraId="220B2735" w14:textId="77777777" w:rsidR="00AB3AF3" w:rsidRPr="006D2C04" w:rsidRDefault="00AB3AF3" w:rsidP="006D2C04">
      <w:pPr>
        <w:pStyle w:val="Cita"/>
      </w:pPr>
      <w:r w:rsidRPr="006D2C04">
        <w:t>II. Fijar los procedimientos administrativos, conforme a las políticas y programas generales del Instituto Estatal;</w:t>
      </w:r>
    </w:p>
    <w:p w14:paraId="20EBE277" w14:textId="77777777" w:rsidR="00AB3AF3" w:rsidRPr="006D2C04" w:rsidRDefault="00AB3AF3" w:rsidP="006D2C04">
      <w:pPr>
        <w:pStyle w:val="Cita"/>
      </w:pPr>
      <w:r w:rsidRPr="006D2C04">
        <w:t>III. Revisar el cumplimiento de los trabajos relativos a los productos electorales que habrá de aportar el Registro Federal de Electores para el Proceso Local, conforme al convenio y documentos técnicos celebrados con el Instituto Nacional Electoral;</w:t>
      </w:r>
    </w:p>
    <w:p w14:paraId="145BAA47" w14:textId="77777777" w:rsidR="00AB3AF3" w:rsidRPr="006D2C04" w:rsidRDefault="00AB3AF3" w:rsidP="006D2C04">
      <w:pPr>
        <w:pStyle w:val="Cita"/>
      </w:pPr>
      <w:r w:rsidRPr="006D2C04">
        <w:t>IV. Vigilar el cumplimiento de las normas aplicables a los Partidos Políticos, las agrupaciones políticas y candidatos;</w:t>
      </w:r>
    </w:p>
    <w:p w14:paraId="1BA01E5E" w14:textId="77777777" w:rsidR="00AB3AF3" w:rsidRPr="006D2C04" w:rsidRDefault="00AB3AF3" w:rsidP="006D2C04">
      <w:pPr>
        <w:pStyle w:val="Cita"/>
      </w:pPr>
      <w:r w:rsidRPr="006D2C04">
        <w:t>V. Supervisar el cumplimiento de los programas y actividades de las Direcciones del Instituto Estatal;</w:t>
      </w:r>
    </w:p>
    <w:p w14:paraId="68B9B4F1" w14:textId="77777777" w:rsidR="00AB3AF3" w:rsidRPr="006D2C04" w:rsidRDefault="00AB3AF3" w:rsidP="006D2C04">
      <w:pPr>
        <w:pStyle w:val="Cita"/>
      </w:pPr>
      <w:r w:rsidRPr="006D2C04">
        <w:t>VI. Nombrar a los miembros de las Juntas Electorales Distritales, a propuesta de su Presidenta o Presidente, y supervisar el cumplimiento de sus actividades; así como aprobar, conforme al presupuesto autorizado, la estructura de las vocalías de acuerdo con las necesidades del proceso electoral;</w:t>
      </w:r>
    </w:p>
    <w:p w14:paraId="375F759E" w14:textId="77777777" w:rsidR="00AB3AF3" w:rsidRPr="006D2C04" w:rsidRDefault="00AB3AF3" w:rsidP="006D2C04">
      <w:pPr>
        <w:pStyle w:val="Cita"/>
      </w:pPr>
      <w:r w:rsidRPr="006D2C04">
        <w:t>VII. Nombrar, en su caso, a la o el funcionario que acudirá a las sesiones de la Comisión Local de Vigilancia del Registro Federal de Electores, con facultades de enlace con el Instituto Nacional Electoral, de conformidad con el convenio respectivo que se suscriba;</w:t>
      </w:r>
    </w:p>
    <w:p w14:paraId="642FEFBC" w14:textId="77777777" w:rsidR="00AB3AF3" w:rsidRPr="006D2C04" w:rsidRDefault="00AB3AF3" w:rsidP="006D2C04">
      <w:pPr>
        <w:pStyle w:val="Cita"/>
      </w:pPr>
      <w:r w:rsidRPr="006D2C04">
        <w:t>VIII. Conocer de los informes de la Contraloría General respecto de los expedientes relativos a las faltas administrativas y, en su caso, sobre imposición de sanciones a las personas servidoras públicas del Instituto Estatal;</w:t>
      </w:r>
    </w:p>
    <w:p w14:paraId="1E0CE820" w14:textId="77777777" w:rsidR="00AB3AF3" w:rsidRPr="006D2C04" w:rsidRDefault="00AB3AF3" w:rsidP="006D2C04">
      <w:pPr>
        <w:pStyle w:val="Cita"/>
      </w:pPr>
      <w:r w:rsidRPr="006D2C04">
        <w:t>IX. Formular los estudios y, en su caso, los proyectos de convenio que deban suscribirse entre el Instituto Estatal con el Instituto Nacional Electoral;</w:t>
      </w:r>
    </w:p>
    <w:p w14:paraId="7031CB85" w14:textId="77777777" w:rsidR="00AB3AF3" w:rsidRPr="006D2C04" w:rsidRDefault="00AB3AF3" w:rsidP="006D2C04">
      <w:pPr>
        <w:pStyle w:val="Cita"/>
      </w:pPr>
      <w:r w:rsidRPr="006D2C04">
        <w:t>X. Presentar a consideración del Consejo Estatal el proyecto de dictamen de pérdida de registro de algún Partido Político Local o agrupación política local, que se encuentren en cualquiera de los supuestos establecidos en esta Ley;</w:t>
      </w:r>
    </w:p>
    <w:p w14:paraId="41599A7D" w14:textId="77777777" w:rsidR="00AB3AF3" w:rsidRPr="006D2C04" w:rsidRDefault="00AB3AF3" w:rsidP="006D2C04">
      <w:pPr>
        <w:pStyle w:val="Cita"/>
      </w:pPr>
      <w:r w:rsidRPr="006D2C04">
        <w:t>XI. Resolver, en el ámbito de su competencia, los medios de impugnación en contra de los actos o resoluciones de la Secretaría Ejecutiva y de las Juntas Distritales del Instituto Estatal, en los términos establecidos en la ley de la materia;</w:t>
      </w:r>
    </w:p>
    <w:p w14:paraId="258879EA" w14:textId="77777777" w:rsidR="00AB3AF3" w:rsidRPr="006D2C04" w:rsidRDefault="00AB3AF3" w:rsidP="006D2C04">
      <w:pPr>
        <w:pStyle w:val="Cita"/>
      </w:pPr>
      <w:r w:rsidRPr="006D2C04">
        <w:lastRenderedPageBreak/>
        <w:t>XII. Integrar los expedientes relativos a las faltas administrativas en materia electoral y, en su caso, proponer las sanciones, en los términos que establece esta Ley, y</w:t>
      </w:r>
    </w:p>
    <w:p w14:paraId="7FB9CAF0" w14:textId="77777777" w:rsidR="00AB3AF3" w:rsidRPr="006D2C04" w:rsidRDefault="00AB3AF3" w:rsidP="006D2C04">
      <w:pPr>
        <w:pStyle w:val="Cita"/>
      </w:pPr>
      <w:r w:rsidRPr="006D2C04">
        <w:t>XIII. Las demás que le encomiende esta Ley, el Consejo Estatal y el Consejero Presidente”.</w:t>
      </w:r>
    </w:p>
    <w:p w14:paraId="4F812A34" w14:textId="61EC113F" w:rsidR="003B7FF6" w:rsidRPr="004A769A" w:rsidRDefault="003621C4" w:rsidP="00500A32">
      <w:pPr>
        <w:spacing w:line="293" w:lineRule="auto"/>
        <w:rPr>
          <w:rFonts w:ascii="Century Gothic" w:hAnsi="Century Gothic"/>
          <w:sz w:val="23"/>
          <w:szCs w:val="23"/>
        </w:rPr>
      </w:pPr>
      <w:r w:rsidRPr="004A769A">
        <w:rPr>
          <w:rFonts w:ascii="Century Gothic" w:hAnsi="Century Gothic"/>
          <w:sz w:val="23"/>
          <w:szCs w:val="23"/>
        </w:rPr>
        <w:t>Además, en términos del artículo 4, numerales 2 y 3 del Reglamento de Sesiones</w:t>
      </w:r>
      <w:r w:rsidR="004429CB">
        <w:rPr>
          <w:rFonts w:ascii="Century Gothic" w:hAnsi="Century Gothic"/>
          <w:sz w:val="23"/>
          <w:szCs w:val="23"/>
        </w:rPr>
        <w:t xml:space="preserve"> de la Junta Estatal Ejecutiva del Instituto Electoral y de Participación Ciudadana de Tabasco</w:t>
      </w:r>
      <w:r w:rsidRPr="004A769A">
        <w:rPr>
          <w:rFonts w:ascii="Century Gothic" w:hAnsi="Century Gothic"/>
          <w:sz w:val="23"/>
          <w:szCs w:val="23"/>
        </w:rPr>
        <w:t xml:space="preserve">, la Junta Estatal, es el órgano encargado de velar por el buen desempeño y el funcionamiento administrativo del Instituto, así como de supervisar la administración de los recursos financieros, humanos y materiales </w:t>
      </w:r>
      <w:r w:rsidR="00ED603D" w:rsidRPr="004A769A">
        <w:rPr>
          <w:rFonts w:ascii="Century Gothic" w:hAnsi="Century Gothic"/>
          <w:sz w:val="23"/>
          <w:szCs w:val="23"/>
        </w:rPr>
        <w:t>de este</w:t>
      </w:r>
      <w:r w:rsidRPr="004A769A">
        <w:rPr>
          <w:rFonts w:ascii="Century Gothic" w:hAnsi="Century Gothic"/>
          <w:sz w:val="23"/>
          <w:szCs w:val="23"/>
        </w:rPr>
        <w:t>, teniendo las atribuciones asignadas y establecidas en la Ley Electoral, aquellas que le establezcan los acuerdos y las demás disposiciones que emita el Consejo Estatal.</w:t>
      </w:r>
    </w:p>
    <w:p w14:paraId="2CAA5545" w14:textId="77777777" w:rsidR="00ED603D" w:rsidRPr="004A769A" w:rsidRDefault="00ED603D" w:rsidP="00176188">
      <w:pPr>
        <w:pStyle w:val="Ttulo2"/>
      </w:pPr>
      <w:r w:rsidRPr="004A769A">
        <w:t>Administración del Instituto Electoral</w:t>
      </w:r>
    </w:p>
    <w:p w14:paraId="1D95F85B" w14:textId="77777777" w:rsidR="00ED603D" w:rsidRPr="004A769A" w:rsidRDefault="00ED603D" w:rsidP="006D2C04">
      <w:pPr>
        <w:spacing w:after="240" w:line="293" w:lineRule="auto"/>
        <w:rPr>
          <w:rFonts w:ascii="Century Gothic" w:hAnsi="Century Gothic"/>
          <w:sz w:val="23"/>
          <w:szCs w:val="23"/>
        </w:rPr>
      </w:pPr>
      <w:r w:rsidRPr="004A769A">
        <w:rPr>
          <w:rFonts w:ascii="Century Gothic" w:hAnsi="Century Gothic"/>
          <w:sz w:val="23"/>
          <w:szCs w:val="23"/>
        </w:rPr>
        <w:t>Que, el artículo 117, numeral 1 de la Ley Electoral, establece que, entre otras, la Secretaría Ejecutiva, tiene la atribución de coordinar la Junta General, conducir la administración y supervisar el desarrollo adecuado de las actividades de los órganos ejecutivos y técnicos del Instituto Electoral.</w:t>
      </w:r>
    </w:p>
    <w:p w14:paraId="1D658F0E" w14:textId="77777777" w:rsidR="00ED603D" w:rsidRPr="004A769A" w:rsidRDefault="00ED603D" w:rsidP="00500A32">
      <w:pPr>
        <w:spacing w:line="293" w:lineRule="auto"/>
        <w:rPr>
          <w:rFonts w:ascii="Century Gothic" w:hAnsi="Century Gothic"/>
          <w:sz w:val="23"/>
          <w:szCs w:val="23"/>
        </w:rPr>
      </w:pPr>
      <w:r w:rsidRPr="004A769A">
        <w:rPr>
          <w:rFonts w:ascii="Century Gothic" w:hAnsi="Century Gothic"/>
          <w:sz w:val="23"/>
          <w:szCs w:val="23"/>
        </w:rPr>
        <w:t>Conforme a lo anterior, corresponde a la Secretaría Ejecutiva, proveer a los órganos del Instituto Electoral de los elementos primordiales para el cumplimiento de sus funciones, en términos de lo que refiere el artículo 117, numeral 2, fracción XVIII de la Ley Electoral.</w:t>
      </w:r>
    </w:p>
    <w:p w14:paraId="5C2DD750" w14:textId="77777777" w:rsidR="00ED603D" w:rsidRPr="004A769A" w:rsidRDefault="00ED603D" w:rsidP="00176188">
      <w:pPr>
        <w:pStyle w:val="Ttulo2"/>
      </w:pPr>
      <w:r w:rsidRPr="004A769A">
        <w:t>Administración de los recursos financieros y materiales del Instituto Electoral</w:t>
      </w:r>
    </w:p>
    <w:p w14:paraId="65A9FFFC" w14:textId="2CBB9640" w:rsidR="00ED603D" w:rsidRDefault="00ED603D" w:rsidP="00500A32">
      <w:pPr>
        <w:spacing w:after="240" w:line="293" w:lineRule="auto"/>
        <w:rPr>
          <w:rFonts w:ascii="Century Gothic" w:hAnsi="Century Gothic"/>
          <w:sz w:val="23"/>
          <w:szCs w:val="23"/>
        </w:rPr>
      </w:pPr>
      <w:r w:rsidRPr="004A769A">
        <w:rPr>
          <w:rFonts w:ascii="Century Gothic" w:hAnsi="Century Gothic"/>
          <w:sz w:val="23"/>
          <w:szCs w:val="23"/>
        </w:rPr>
        <w:t>Que, conforme a lo dispuesto por el artículo 122, numeral 1, fracción I, de la Ley Electoral, corresponde a la Dirección Ejecutiva de Administración aplicar las políticas, normas y procedimientos para la administración de los recursos financieros y materiales del Instituto Estatal, previo acuerdo de la Junta Estatal Ejecutiva.</w:t>
      </w:r>
    </w:p>
    <w:p w14:paraId="337FD444" w14:textId="77777777" w:rsidR="000807E6" w:rsidRDefault="000807E6" w:rsidP="00500A32">
      <w:pPr>
        <w:spacing w:after="240" w:line="293" w:lineRule="auto"/>
        <w:rPr>
          <w:rFonts w:ascii="Century Gothic" w:hAnsi="Century Gothic"/>
          <w:sz w:val="23"/>
          <w:szCs w:val="23"/>
        </w:rPr>
      </w:pPr>
    </w:p>
    <w:p w14:paraId="01870DA6" w14:textId="77777777" w:rsidR="003E6A3C" w:rsidRPr="004A769A" w:rsidRDefault="003E6A3C" w:rsidP="00176188">
      <w:pPr>
        <w:pStyle w:val="Ttulo2"/>
      </w:pPr>
      <w:r w:rsidRPr="004A769A">
        <w:lastRenderedPageBreak/>
        <w:t>Asignación presupuestal en materia de servicios personales</w:t>
      </w:r>
    </w:p>
    <w:p w14:paraId="7830621E" w14:textId="0A72344A" w:rsidR="003E6A3C" w:rsidRPr="004A769A" w:rsidRDefault="003E6A3C" w:rsidP="00500A32">
      <w:pPr>
        <w:spacing w:after="240" w:line="293" w:lineRule="auto"/>
        <w:rPr>
          <w:rFonts w:ascii="Century Gothic" w:hAnsi="Century Gothic"/>
          <w:sz w:val="23"/>
          <w:szCs w:val="23"/>
        </w:rPr>
      </w:pPr>
      <w:r w:rsidRPr="004A769A">
        <w:rPr>
          <w:rFonts w:ascii="Century Gothic" w:hAnsi="Century Gothic"/>
          <w:sz w:val="23"/>
          <w:szCs w:val="23"/>
        </w:rPr>
        <w:t>Que, de conformidad con el artículo 30, fracción II de la Ley de Presupuesto y Responsabilidad Hacendaria del Estado de Tabasco y sus Municipios, en el proyecto de presupuesto de egresos se deberá presentar en una sección específica las erogaciones correspondientes al gasto en servicios personales, el cual comprende las remuneraciones de los servidores públicos desglosando las percepciones ordinarias y extraordinarias, e incluyendo las erogaciones a cargo de los ejecutores de gasto por concepto de obligaciones de carácter fiscal y de seguridad social inherentes a dichas remuneraciones, y las previsiones salariales y económicas para cubrir los incrementos salariales, la creación de plazas y otras medidas económicas de índole laboral. Estas previsiones serán incluidas en un capítulo específico del presupuesto de egresos.  Una vez aprobada la asignación global de servicios personales en el presupuesto de egresos, ésta no podrá incrementarse.</w:t>
      </w:r>
    </w:p>
    <w:p w14:paraId="5A4CBF4B" w14:textId="53DED183" w:rsidR="00AC1328" w:rsidRPr="004A769A" w:rsidRDefault="00AC1328" w:rsidP="00500A32">
      <w:pPr>
        <w:spacing w:after="240" w:line="293" w:lineRule="auto"/>
        <w:rPr>
          <w:rFonts w:ascii="Century Gothic" w:hAnsi="Century Gothic"/>
          <w:sz w:val="23"/>
          <w:szCs w:val="23"/>
        </w:rPr>
      </w:pPr>
      <w:r w:rsidRPr="004A769A">
        <w:rPr>
          <w:rFonts w:ascii="Century Gothic" w:hAnsi="Century Gothic"/>
          <w:sz w:val="23"/>
          <w:szCs w:val="23"/>
        </w:rPr>
        <w:t xml:space="preserve">En ese sentido, </w:t>
      </w:r>
      <w:r w:rsidR="003744C7" w:rsidRPr="004A769A">
        <w:rPr>
          <w:rFonts w:ascii="Century Gothic" w:hAnsi="Century Gothic"/>
          <w:sz w:val="23"/>
          <w:szCs w:val="23"/>
        </w:rPr>
        <w:t>el Consejo Estatal en la formulación del anteproyecto de egresos para el ejercicio 2023, estableció un total de 173 plazas con categoría de confianza, acorde a la planilla de personal que corresponde actualmente al Instituto Electoral, las cuales corresponden con al analítico señalado en el presupuesto de egresos para dicho ejercicio aprobado por el Congreso Local.</w:t>
      </w:r>
    </w:p>
    <w:p w14:paraId="26186848" w14:textId="7186A092" w:rsidR="002D4874" w:rsidRPr="004A769A" w:rsidRDefault="002D4874" w:rsidP="00176188">
      <w:pPr>
        <w:pStyle w:val="Ttulo2"/>
      </w:pPr>
      <w:r w:rsidRPr="004A769A">
        <w:t>Planeación en materia de capital humano</w:t>
      </w:r>
    </w:p>
    <w:p w14:paraId="145455B0" w14:textId="57B8AD1B" w:rsidR="00437535" w:rsidRPr="004A769A" w:rsidRDefault="00437535" w:rsidP="00500A32">
      <w:pPr>
        <w:spacing w:after="240" w:line="293" w:lineRule="auto"/>
        <w:rPr>
          <w:rFonts w:ascii="Century Gothic" w:hAnsi="Century Gothic"/>
          <w:sz w:val="23"/>
          <w:szCs w:val="23"/>
        </w:rPr>
      </w:pPr>
      <w:r w:rsidRPr="004A769A">
        <w:rPr>
          <w:rFonts w:ascii="Century Gothic" w:hAnsi="Century Gothic"/>
          <w:sz w:val="23"/>
          <w:szCs w:val="23"/>
        </w:rPr>
        <w:t>Que, de conformidad con el numeral 3.1. del Manual de normas presupuestarias y administrativas para el control del ejercicio presupuestal del Instituto Electoral</w:t>
      </w:r>
      <w:r w:rsidR="008F29C2">
        <w:rPr>
          <w:rFonts w:ascii="Century Gothic" w:hAnsi="Century Gothic"/>
          <w:sz w:val="23"/>
          <w:szCs w:val="23"/>
        </w:rPr>
        <w:t xml:space="preserve"> y de Participación Ciudadana de Tabasco</w:t>
      </w:r>
      <w:r w:rsidRPr="004A769A">
        <w:rPr>
          <w:rFonts w:ascii="Century Gothic" w:hAnsi="Century Gothic"/>
          <w:sz w:val="23"/>
          <w:szCs w:val="23"/>
        </w:rPr>
        <w:t>, la Dirección Ejecutiva de Administración a través de la Coordinación de Recursos Humanos deberá desarrollar, conforme a sus particularidades y a lo que disponga el Estatuto, condiciones, características y disponibilidad presupuestaria, el proceso de planeación de recursos humanos que incluya como mínimo, el análisis sobre la necesidad de personal y su disponibilidad, tanto en el aspecto numérico como en el concerniente a los conocimientos, habilidades, aptitudes y en su caso, actitudes que las y los servidores públicos deben poseer para el desempeño de sus funciones.</w:t>
      </w:r>
    </w:p>
    <w:p w14:paraId="2A16E9FA" w14:textId="036037FD" w:rsidR="00BB7728" w:rsidRPr="004A769A" w:rsidRDefault="00BB7728" w:rsidP="00176188">
      <w:pPr>
        <w:pStyle w:val="Ttulo2"/>
      </w:pPr>
      <w:r>
        <w:lastRenderedPageBreak/>
        <w:t xml:space="preserve">Adecuaciones </w:t>
      </w:r>
      <w:r w:rsidR="00D84BDA">
        <w:t>presupuestarias</w:t>
      </w:r>
    </w:p>
    <w:p w14:paraId="4C1AE925" w14:textId="6DCC00D2" w:rsidR="00BB7728" w:rsidRDefault="00BB7728" w:rsidP="00BB7728">
      <w:pPr>
        <w:spacing w:after="240" w:line="293" w:lineRule="auto"/>
        <w:rPr>
          <w:rFonts w:ascii="Century Gothic" w:hAnsi="Century Gothic"/>
          <w:sz w:val="23"/>
          <w:szCs w:val="23"/>
        </w:rPr>
      </w:pPr>
      <w:r w:rsidRPr="004A769A">
        <w:rPr>
          <w:rFonts w:ascii="Century Gothic" w:hAnsi="Century Gothic"/>
          <w:sz w:val="23"/>
          <w:szCs w:val="23"/>
        </w:rPr>
        <w:t xml:space="preserve">Que, </w:t>
      </w:r>
      <w:r>
        <w:rPr>
          <w:rFonts w:ascii="Century Gothic" w:hAnsi="Century Gothic"/>
          <w:sz w:val="23"/>
          <w:szCs w:val="23"/>
        </w:rPr>
        <w:t xml:space="preserve">el artículo 2, fracción II de la </w:t>
      </w:r>
      <w:r w:rsidR="008F29C2" w:rsidRPr="004A769A">
        <w:rPr>
          <w:rFonts w:ascii="Century Gothic" w:hAnsi="Century Gothic"/>
          <w:sz w:val="23"/>
          <w:szCs w:val="23"/>
        </w:rPr>
        <w:t>Ley de Presupuesto y Responsabilidad Hacendaria del Estado de Tabasco y sus Municipios</w:t>
      </w:r>
      <w:r>
        <w:rPr>
          <w:rFonts w:ascii="Century Gothic" w:hAnsi="Century Gothic"/>
          <w:sz w:val="23"/>
          <w:szCs w:val="23"/>
        </w:rPr>
        <w:t xml:space="preserve">, define a las adecuaciones presupuestarias como aquellas </w:t>
      </w:r>
      <w:r w:rsidRPr="00CB36E0">
        <w:rPr>
          <w:rFonts w:ascii="Century Gothic" w:hAnsi="Century Gothic"/>
          <w:sz w:val="23"/>
          <w:szCs w:val="23"/>
        </w:rPr>
        <w:t>modificaciones a las estructuras</w:t>
      </w:r>
      <w:r w:rsidR="00D84BDA">
        <w:rPr>
          <w:rFonts w:ascii="Century Gothic" w:hAnsi="Century Gothic"/>
          <w:sz w:val="23"/>
          <w:szCs w:val="23"/>
        </w:rPr>
        <w:t>:</w:t>
      </w:r>
      <w:r w:rsidRPr="00CB36E0">
        <w:rPr>
          <w:rFonts w:ascii="Century Gothic" w:hAnsi="Century Gothic"/>
          <w:sz w:val="23"/>
          <w:szCs w:val="23"/>
        </w:rPr>
        <w:t xml:space="preserve"> funcional programática, administrativa y económica, a los calendarios de presupuesto y las ampliaciones y reducciones al </w:t>
      </w:r>
      <w:r>
        <w:rPr>
          <w:rFonts w:ascii="Century Gothic" w:hAnsi="Century Gothic"/>
          <w:sz w:val="23"/>
          <w:szCs w:val="23"/>
        </w:rPr>
        <w:t>p</w:t>
      </w:r>
      <w:r w:rsidRPr="00CB36E0">
        <w:rPr>
          <w:rFonts w:ascii="Century Gothic" w:hAnsi="Century Gothic"/>
          <w:sz w:val="23"/>
          <w:szCs w:val="23"/>
        </w:rPr>
        <w:t xml:space="preserve">resupuesto de </w:t>
      </w:r>
      <w:r>
        <w:rPr>
          <w:rFonts w:ascii="Century Gothic" w:hAnsi="Century Gothic"/>
          <w:sz w:val="23"/>
          <w:szCs w:val="23"/>
        </w:rPr>
        <w:t>e</w:t>
      </w:r>
      <w:r w:rsidRPr="00CB36E0">
        <w:rPr>
          <w:rFonts w:ascii="Century Gothic" w:hAnsi="Century Gothic"/>
          <w:sz w:val="23"/>
          <w:szCs w:val="23"/>
        </w:rPr>
        <w:t>gresos o a los flujos de efectivo correspondientes, siempre que permitan un mejor cumplimiento de los objetivos de los programas a c</w:t>
      </w:r>
      <w:r>
        <w:rPr>
          <w:rFonts w:ascii="Century Gothic" w:hAnsi="Century Gothic"/>
          <w:sz w:val="23"/>
          <w:szCs w:val="23"/>
        </w:rPr>
        <w:t>argo de los ejecutores de gasto.</w:t>
      </w:r>
    </w:p>
    <w:p w14:paraId="3F6F1BAA" w14:textId="77777777" w:rsidR="00BB7728" w:rsidRDefault="00BB7728" w:rsidP="00BB7728">
      <w:pPr>
        <w:spacing w:after="240" w:line="293" w:lineRule="auto"/>
        <w:rPr>
          <w:rFonts w:ascii="Century Gothic" w:hAnsi="Century Gothic"/>
          <w:sz w:val="23"/>
          <w:szCs w:val="23"/>
        </w:rPr>
      </w:pPr>
      <w:r>
        <w:rPr>
          <w:rFonts w:ascii="Century Gothic" w:hAnsi="Century Gothic"/>
          <w:sz w:val="23"/>
          <w:szCs w:val="23"/>
        </w:rPr>
        <w:t xml:space="preserve">Asimismo, el artículo 55 de la Ley en cita, dispone que, </w:t>
      </w:r>
      <w:r w:rsidRPr="00D459BC">
        <w:rPr>
          <w:rFonts w:ascii="Century Gothic" w:hAnsi="Century Gothic"/>
          <w:sz w:val="23"/>
          <w:szCs w:val="23"/>
        </w:rPr>
        <w:t>los órganos autónomos, a través de sus respectivas unidades de administración, podrán autorizar adecuaciones a sus respectivos presupuestos siempre que permitan un mejor cumplimiento de los objetivos de los programas a su cargo y deberán emitir las normas aplicables.</w:t>
      </w:r>
    </w:p>
    <w:p w14:paraId="24851FD4" w14:textId="1A7B1E8B" w:rsidR="00BB7728" w:rsidRDefault="00BB7728" w:rsidP="00BB7728">
      <w:pPr>
        <w:spacing w:after="240" w:line="293" w:lineRule="auto"/>
        <w:rPr>
          <w:rFonts w:ascii="Century Gothic" w:hAnsi="Century Gothic"/>
          <w:sz w:val="23"/>
          <w:szCs w:val="23"/>
        </w:rPr>
      </w:pPr>
      <w:r>
        <w:rPr>
          <w:rFonts w:ascii="Century Gothic" w:hAnsi="Century Gothic"/>
          <w:sz w:val="23"/>
          <w:szCs w:val="23"/>
        </w:rPr>
        <w:t xml:space="preserve">Acorde a lo anterior, </w:t>
      </w:r>
      <w:r w:rsidRPr="004A769A">
        <w:rPr>
          <w:rFonts w:ascii="Century Gothic" w:hAnsi="Century Gothic"/>
          <w:sz w:val="23"/>
          <w:szCs w:val="23"/>
        </w:rPr>
        <w:t xml:space="preserve">el </w:t>
      </w:r>
      <w:r>
        <w:rPr>
          <w:rFonts w:ascii="Century Gothic" w:hAnsi="Century Gothic"/>
          <w:sz w:val="23"/>
          <w:szCs w:val="23"/>
        </w:rPr>
        <w:t xml:space="preserve">numeral 2.2. del Manual </w:t>
      </w:r>
      <w:r w:rsidRPr="00E27225">
        <w:rPr>
          <w:rFonts w:ascii="Century Gothic" w:hAnsi="Century Gothic"/>
          <w:sz w:val="23"/>
          <w:szCs w:val="23"/>
        </w:rPr>
        <w:t>de Normas Presupuestarias y Administrativas para el Ejercicio Pres</w:t>
      </w:r>
      <w:r>
        <w:rPr>
          <w:rFonts w:ascii="Century Gothic" w:hAnsi="Century Gothic"/>
          <w:sz w:val="23"/>
          <w:szCs w:val="23"/>
        </w:rPr>
        <w:t>upuestal del Instituto Electoral</w:t>
      </w:r>
      <w:r w:rsidR="008F29C2">
        <w:rPr>
          <w:rFonts w:ascii="Century Gothic" w:hAnsi="Century Gothic"/>
          <w:sz w:val="23"/>
          <w:szCs w:val="23"/>
        </w:rPr>
        <w:t xml:space="preserve"> y de Participación Ciudadana de Tabasco</w:t>
      </w:r>
      <w:r>
        <w:rPr>
          <w:rFonts w:ascii="Century Gothic" w:hAnsi="Century Gothic"/>
          <w:sz w:val="23"/>
          <w:szCs w:val="23"/>
        </w:rPr>
        <w:t>, l</w:t>
      </w:r>
      <w:r w:rsidRPr="00E27225">
        <w:rPr>
          <w:rFonts w:ascii="Century Gothic" w:hAnsi="Century Gothic"/>
          <w:sz w:val="23"/>
          <w:szCs w:val="23"/>
        </w:rPr>
        <w:t xml:space="preserve">os recursos presupuestarios autorizados no ejercidos, podrán ser </w:t>
      </w:r>
      <w:r>
        <w:rPr>
          <w:rFonts w:ascii="Century Gothic" w:hAnsi="Century Gothic"/>
          <w:sz w:val="23"/>
          <w:szCs w:val="23"/>
        </w:rPr>
        <w:t>sujetos de adecuaciones presupue</w:t>
      </w:r>
      <w:r w:rsidRPr="00E27225">
        <w:rPr>
          <w:rFonts w:ascii="Century Gothic" w:hAnsi="Century Gothic"/>
          <w:sz w:val="23"/>
          <w:szCs w:val="23"/>
        </w:rPr>
        <w:t>stales para lograr el cumplimiento de las actividades institucionales.</w:t>
      </w:r>
    </w:p>
    <w:p w14:paraId="2222BE0B" w14:textId="3CE62B98" w:rsidR="00BB7728" w:rsidRDefault="00BB7728" w:rsidP="00BB7728">
      <w:pPr>
        <w:spacing w:after="240" w:line="293" w:lineRule="auto"/>
        <w:rPr>
          <w:rFonts w:ascii="Century Gothic" w:hAnsi="Century Gothic"/>
          <w:sz w:val="23"/>
          <w:szCs w:val="23"/>
        </w:rPr>
      </w:pPr>
      <w:r>
        <w:rPr>
          <w:rFonts w:ascii="Century Gothic" w:hAnsi="Century Gothic"/>
          <w:sz w:val="23"/>
          <w:szCs w:val="23"/>
        </w:rPr>
        <w:t>Asimismo, en términos del numeral 2.2.2. del Manual en cita, l</w:t>
      </w:r>
      <w:r w:rsidRPr="00E27225">
        <w:rPr>
          <w:rFonts w:ascii="Century Gothic" w:hAnsi="Century Gothic"/>
          <w:sz w:val="23"/>
          <w:szCs w:val="23"/>
        </w:rPr>
        <w:t xml:space="preserve">as adecuaciones entre partidas procederán si son solicitados por </w:t>
      </w:r>
      <w:r>
        <w:rPr>
          <w:rFonts w:ascii="Century Gothic" w:hAnsi="Century Gothic"/>
          <w:sz w:val="23"/>
          <w:szCs w:val="23"/>
        </w:rPr>
        <w:t>l</w:t>
      </w:r>
      <w:r w:rsidRPr="00E27225">
        <w:rPr>
          <w:rFonts w:ascii="Century Gothic" w:hAnsi="Century Gothic"/>
          <w:sz w:val="23"/>
          <w:szCs w:val="23"/>
        </w:rPr>
        <w:t xml:space="preserve">a Dirección de Administración, con el visto </w:t>
      </w:r>
      <w:r>
        <w:rPr>
          <w:rFonts w:ascii="Century Gothic" w:hAnsi="Century Gothic"/>
          <w:sz w:val="23"/>
          <w:szCs w:val="23"/>
        </w:rPr>
        <w:t>bueno de la Unidad Técnica de Pl</w:t>
      </w:r>
      <w:r w:rsidRPr="00E27225">
        <w:rPr>
          <w:rFonts w:ascii="Century Gothic" w:hAnsi="Century Gothic"/>
          <w:sz w:val="23"/>
          <w:szCs w:val="23"/>
        </w:rPr>
        <w:t xml:space="preserve">aneación y autorizados por </w:t>
      </w:r>
      <w:r>
        <w:rPr>
          <w:rFonts w:ascii="Century Gothic" w:hAnsi="Century Gothic"/>
          <w:sz w:val="23"/>
          <w:szCs w:val="23"/>
        </w:rPr>
        <w:t>la Secretaría Ejecutiva, identificándose plenament</w:t>
      </w:r>
      <w:r w:rsidRPr="00E27225">
        <w:rPr>
          <w:rFonts w:ascii="Century Gothic" w:hAnsi="Century Gothic"/>
          <w:sz w:val="23"/>
          <w:szCs w:val="23"/>
        </w:rPr>
        <w:t>e el monto, partida de origen y destino de los recursos.</w:t>
      </w:r>
    </w:p>
    <w:p w14:paraId="239E88C4" w14:textId="5ED25CD4" w:rsidR="00334878" w:rsidRPr="004A769A" w:rsidRDefault="0036359F" w:rsidP="00334878">
      <w:pPr>
        <w:pStyle w:val="Ttulo2"/>
      </w:pPr>
      <w:r>
        <w:t>Programa</w:t>
      </w:r>
      <w:r w:rsidR="00555BB4">
        <w:t xml:space="preserve"> </w:t>
      </w:r>
      <w:r w:rsidR="00DD7630">
        <w:t xml:space="preserve">para la contratación de personal por tiempo determinado </w:t>
      </w:r>
    </w:p>
    <w:p w14:paraId="526E1042" w14:textId="059BED29" w:rsidR="009A657B" w:rsidRDefault="00334878" w:rsidP="009A657B">
      <w:pPr>
        <w:spacing w:after="240" w:line="293" w:lineRule="auto"/>
        <w:rPr>
          <w:rFonts w:ascii="Century Gothic" w:hAnsi="Century Gothic"/>
          <w:sz w:val="23"/>
          <w:szCs w:val="23"/>
        </w:rPr>
      </w:pPr>
      <w:r w:rsidRPr="004A769A">
        <w:rPr>
          <w:rFonts w:ascii="Century Gothic" w:hAnsi="Century Gothic"/>
          <w:sz w:val="23"/>
          <w:szCs w:val="23"/>
        </w:rPr>
        <w:t xml:space="preserve">Que, </w:t>
      </w:r>
      <w:r w:rsidR="002B4A96">
        <w:rPr>
          <w:rFonts w:ascii="Century Gothic" w:hAnsi="Century Gothic"/>
          <w:sz w:val="23"/>
          <w:szCs w:val="23"/>
        </w:rPr>
        <w:t xml:space="preserve">el </w:t>
      </w:r>
      <w:r w:rsidR="00555BB4">
        <w:rPr>
          <w:rFonts w:ascii="Century Gothic" w:hAnsi="Century Gothic"/>
          <w:sz w:val="23"/>
          <w:szCs w:val="23"/>
        </w:rPr>
        <w:t xml:space="preserve">30 de mayo de la presente anualidad, la Unidad Técnica de Planeación </w:t>
      </w:r>
      <w:r w:rsidR="004068A5">
        <w:rPr>
          <w:rFonts w:ascii="Century Gothic" w:hAnsi="Century Gothic"/>
          <w:sz w:val="23"/>
          <w:szCs w:val="23"/>
        </w:rPr>
        <w:t xml:space="preserve">mediante oficio SE/UTP/036/2023 </w:t>
      </w:r>
      <w:r w:rsidR="00555BB4">
        <w:rPr>
          <w:rFonts w:ascii="Century Gothic" w:hAnsi="Century Gothic"/>
          <w:sz w:val="23"/>
          <w:szCs w:val="23"/>
        </w:rPr>
        <w:t xml:space="preserve">remitió a la Dirección Ejecutiva de Administración, el </w:t>
      </w:r>
      <w:r w:rsidR="0036359F">
        <w:rPr>
          <w:rFonts w:ascii="Century Gothic" w:hAnsi="Century Gothic"/>
          <w:sz w:val="23"/>
          <w:szCs w:val="23"/>
        </w:rPr>
        <w:t xml:space="preserve">programa </w:t>
      </w:r>
      <w:r w:rsidR="00555BB4">
        <w:rPr>
          <w:rFonts w:ascii="Century Gothic" w:hAnsi="Century Gothic"/>
          <w:sz w:val="23"/>
          <w:szCs w:val="23"/>
        </w:rPr>
        <w:t>denominado “Contratación de personal para el fortalecimiento de las unidades administrativas del IEPC Tabasco”, el cual tiene como propósito promover la organización y colaboración entre las unidades administrativas y el adecuado desempeño de sus funciones, evitando la sobrecarga de trabajo y el retraso en las actividades programada</w:t>
      </w:r>
      <w:r w:rsidR="009A657B">
        <w:rPr>
          <w:rFonts w:ascii="Century Gothic" w:hAnsi="Century Gothic"/>
          <w:sz w:val="23"/>
          <w:szCs w:val="23"/>
        </w:rPr>
        <w:t xml:space="preserve">s. </w:t>
      </w:r>
    </w:p>
    <w:p w14:paraId="1394D7D1" w14:textId="4DFC80B0" w:rsidR="009A657B" w:rsidRDefault="009A657B" w:rsidP="009A657B">
      <w:pPr>
        <w:spacing w:after="240" w:line="293" w:lineRule="auto"/>
        <w:rPr>
          <w:rFonts w:ascii="Century Gothic" w:hAnsi="Century Gothic"/>
          <w:sz w:val="23"/>
          <w:szCs w:val="23"/>
        </w:rPr>
      </w:pPr>
      <w:r w:rsidRPr="009A657B">
        <w:rPr>
          <w:rFonts w:ascii="Century Gothic" w:hAnsi="Century Gothic"/>
          <w:sz w:val="23"/>
          <w:szCs w:val="23"/>
        </w:rPr>
        <w:lastRenderedPageBreak/>
        <w:t xml:space="preserve">El </w:t>
      </w:r>
      <w:r w:rsidR="00150CE3">
        <w:rPr>
          <w:rFonts w:ascii="Century Gothic" w:hAnsi="Century Gothic"/>
          <w:sz w:val="23"/>
          <w:szCs w:val="23"/>
        </w:rPr>
        <w:t xml:space="preserve">programa </w:t>
      </w:r>
      <w:r w:rsidRPr="009A657B">
        <w:rPr>
          <w:rFonts w:ascii="Century Gothic" w:hAnsi="Century Gothic"/>
          <w:sz w:val="23"/>
          <w:szCs w:val="23"/>
        </w:rPr>
        <w:t xml:space="preserve">mencionado, procura proporcionar resultados eficientes a través del flujo oportuno de información y documentación entre las unidades administrativas, logrando con ello que las actividades se realicen de manera eficiente </w:t>
      </w:r>
      <w:r>
        <w:rPr>
          <w:rFonts w:ascii="Century Gothic" w:hAnsi="Century Gothic"/>
          <w:sz w:val="23"/>
          <w:szCs w:val="23"/>
        </w:rPr>
        <w:t>durante el período comprendido del mes de junio a diciembre de 2023</w:t>
      </w:r>
      <w:r w:rsidR="00287716">
        <w:rPr>
          <w:rFonts w:ascii="Century Gothic" w:hAnsi="Century Gothic"/>
          <w:sz w:val="23"/>
          <w:szCs w:val="23"/>
        </w:rPr>
        <w:t>, salvo que los recursos asignados sean insuficientes para cumplir con el período señalado.</w:t>
      </w:r>
    </w:p>
    <w:p w14:paraId="7D53AD08" w14:textId="01604210" w:rsidR="003B2D6E" w:rsidRDefault="009A657B" w:rsidP="009A657B">
      <w:pPr>
        <w:spacing w:after="240" w:line="293" w:lineRule="auto"/>
        <w:rPr>
          <w:rFonts w:ascii="Century Gothic" w:hAnsi="Century Gothic"/>
          <w:sz w:val="23"/>
          <w:szCs w:val="23"/>
        </w:rPr>
      </w:pPr>
      <w:r w:rsidRPr="009A657B">
        <w:rPr>
          <w:rFonts w:ascii="Century Gothic" w:hAnsi="Century Gothic"/>
          <w:sz w:val="23"/>
          <w:szCs w:val="23"/>
        </w:rPr>
        <w:t xml:space="preserve">Para tal fin fue necesario realizar un análisis de las unidades que carecen de personal y cuyas actividades necesitan ser reforzadas y apoyadas </w:t>
      </w:r>
      <w:r w:rsidR="00295F02">
        <w:rPr>
          <w:rFonts w:ascii="Century Gothic" w:hAnsi="Century Gothic"/>
          <w:sz w:val="23"/>
          <w:szCs w:val="23"/>
        </w:rPr>
        <w:t xml:space="preserve">con </w:t>
      </w:r>
      <w:bookmarkStart w:id="0" w:name="_GoBack"/>
      <w:bookmarkEnd w:id="0"/>
      <w:r w:rsidRPr="009A657B">
        <w:rPr>
          <w:rFonts w:ascii="Century Gothic" w:hAnsi="Century Gothic"/>
          <w:sz w:val="23"/>
          <w:szCs w:val="23"/>
        </w:rPr>
        <w:t>suficiencia presupuestal</w:t>
      </w:r>
      <w:r w:rsidR="009B2BE3">
        <w:rPr>
          <w:rFonts w:ascii="Century Gothic" w:hAnsi="Century Gothic"/>
          <w:sz w:val="23"/>
          <w:szCs w:val="23"/>
        </w:rPr>
        <w:t xml:space="preserve">, de ahí que se requiera para la eficiencia administrativa un total de 23 personas que serán distribuidas en las siguientes áreas: </w:t>
      </w:r>
    </w:p>
    <w:tbl>
      <w:tblPr>
        <w:tblW w:w="4684" w:type="pct"/>
        <w:jc w:val="right"/>
        <w:tblCellMar>
          <w:left w:w="70" w:type="dxa"/>
          <w:right w:w="70" w:type="dxa"/>
        </w:tblCellMar>
        <w:tblLook w:val="04A0" w:firstRow="1" w:lastRow="0" w:firstColumn="1" w:lastColumn="0" w:noHBand="0" w:noVBand="1"/>
      </w:tblPr>
      <w:tblGrid>
        <w:gridCol w:w="7532"/>
        <w:gridCol w:w="1259"/>
      </w:tblGrid>
      <w:tr w:rsidR="009B2BE3" w:rsidRPr="00CA156D" w14:paraId="3949BF5E" w14:textId="77777777" w:rsidTr="00CA156D">
        <w:trPr>
          <w:trHeight w:val="584"/>
          <w:jc w:val="right"/>
        </w:trPr>
        <w:tc>
          <w:tcPr>
            <w:tcW w:w="4284" w:type="pct"/>
            <w:tcBorders>
              <w:top w:val="single" w:sz="8" w:space="0" w:color="auto"/>
              <w:left w:val="single" w:sz="8" w:space="0" w:color="auto"/>
              <w:bottom w:val="nil"/>
              <w:right w:val="single" w:sz="8" w:space="0" w:color="auto"/>
            </w:tcBorders>
            <w:shd w:val="clear" w:color="000000" w:fill="D9D9D9"/>
            <w:vAlign w:val="center"/>
            <w:hideMark/>
          </w:tcPr>
          <w:p w14:paraId="3A1FD368" w14:textId="5FA8D248" w:rsidR="009B2BE3" w:rsidRPr="00CA156D" w:rsidRDefault="00CA156D" w:rsidP="00AA50CC">
            <w:pPr>
              <w:spacing w:line="240" w:lineRule="auto"/>
              <w:ind w:left="0"/>
              <w:jc w:val="center"/>
              <w:rPr>
                <w:rFonts w:ascii="Century Gothic" w:eastAsia="Times New Roman" w:hAnsi="Century Gothic" w:cs="Calibri"/>
                <w:b/>
                <w:bCs/>
                <w:color w:val="000000"/>
                <w:lang w:val="es-419" w:eastAsia="es-419"/>
              </w:rPr>
            </w:pPr>
            <w:r w:rsidRPr="00CA156D">
              <w:rPr>
                <w:rFonts w:ascii="Century Gothic" w:eastAsia="Times New Roman" w:hAnsi="Century Gothic" w:cs="Calibri"/>
                <w:b/>
                <w:bCs/>
                <w:color w:val="000000"/>
                <w:lang w:eastAsia="es-419"/>
              </w:rPr>
              <w:t>Unidad Administrativa</w:t>
            </w:r>
          </w:p>
        </w:tc>
        <w:tc>
          <w:tcPr>
            <w:tcW w:w="716" w:type="pct"/>
            <w:tcBorders>
              <w:top w:val="single" w:sz="8" w:space="0" w:color="auto"/>
              <w:left w:val="nil"/>
              <w:bottom w:val="nil"/>
              <w:right w:val="single" w:sz="8" w:space="0" w:color="auto"/>
            </w:tcBorders>
            <w:shd w:val="clear" w:color="000000" w:fill="D9D9D9"/>
            <w:vAlign w:val="center"/>
            <w:hideMark/>
          </w:tcPr>
          <w:p w14:paraId="71FE066F" w14:textId="2FC92ABF" w:rsidR="009B2BE3" w:rsidRPr="00CA156D" w:rsidRDefault="00CA156D" w:rsidP="00AA50CC">
            <w:pPr>
              <w:spacing w:line="240" w:lineRule="auto"/>
              <w:ind w:left="0"/>
              <w:jc w:val="center"/>
              <w:rPr>
                <w:rFonts w:ascii="Century Gothic" w:eastAsia="Times New Roman" w:hAnsi="Century Gothic" w:cs="Calibri"/>
                <w:b/>
                <w:bCs/>
                <w:color w:val="000000"/>
                <w:lang w:val="es-419" w:eastAsia="es-419"/>
              </w:rPr>
            </w:pPr>
            <w:r w:rsidRPr="00CA156D">
              <w:rPr>
                <w:rFonts w:ascii="Century Gothic" w:eastAsia="Times New Roman" w:hAnsi="Century Gothic" w:cs="Calibri"/>
                <w:b/>
                <w:bCs/>
                <w:color w:val="000000"/>
                <w:lang w:eastAsia="es-419"/>
              </w:rPr>
              <w:t xml:space="preserve">Núm. </w:t>
            </w:r>
            <w:r>
              <w:rPr>
                <w:rFonts w:ascii="Century Gothic" w:eastAsia="Times New Roman" w:hAnsi="Century Gothic" w:cs="Calibri"/>
                <w:b/>
                <w:bCs/>
                <w:color w:val="000000"/>
                <w:lang w:eastAsia="es-419"/>
              </w:rPr>
              <w:t>d</w:t>
            </w:r>
            <w:r w:rsidRPr="00CA156D">
              <w:rPr>
                <w:rFonts w:ascii="Century Gothic" w:eastAsia="Times New Roman" w:hAnsi="Century Gothic" w:cs="Calibri"/>
                <w:b/>
                <w:bCs/>
                <w:color w:val="000000"/>
                <w:lang w:eastAsia="es-419"/>
              </w:rPr>
              <w:t>e Personal</w:t>
            </w:r>
          </w:p>
        </w:tc>
      </w:tr>
      <w:tr w:rsidR="009B2BE3" w:rsidRPr="00CA156D" w14:paraId="3C15DB96" w14:textId="77777777" w:rsidTr="00CA156D">
        <w:trPr>
          <w:trHeight w:val="283"/>
          <w:jc w:val="right"/>
        </w:trPr>
        <w:tc>
          <w:tcPr>
            <w:tcW w:w="428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D3F5A7B" w14:textId="130D5CDD"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Presidencia</w:t>
            </w:r>
          </w:p>
        </w:tc>
        <w:tc>
          <w:tcPr>
            <w:tcW w:w="716" w:type="pct"/>
            <w:tcBorders>
              <w:top w:val="single" w:sz="8" w:space="0" w:color="auto"/>
              <w:left w:val="nil"/>
              <w:bottom w:val="single" w:sz="4" w:space="0" w:color="auto"/>
              <w:right w:val="single" w:sz="8" w:space="0" w:color="auto"/>
            </w:tcBorders>
            <w:shd w:val="clear" w:color="auto" w:fill="auto"/>
            <w:vAlign w:val="center"/>
            <w:hideMark/>
          </w:tcPr>
          <w:p w14:paraId="627EF8A6" w14:textId="014309F4"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2</w:t>
            </w:r>
          </w:p>
        </w:tc>
      </w:tr>
      <w:tr w:rsidR="009B2BE3" w:rsidRPr="00CA156D" w14:paraId="1ED5B7E0"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hideMark/>
          </w:tcPr>
          <w:p w14:paraId="2D95D6D2" w14:textId="7C92C9DF"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Secretaría Ejecutiva</w:t>
            </w:r>
          </w:p>
        </w:tc>
        <w:tc>
          <w:tcPr>
            <w:tcW w:w="716" w:type="pct"/>
            <w:tcBorders>
              <w:top w:val="nil"/>
              <w:left w:val="nil"/>
              <w:bottom w:val="single" w:sz="4" w:space="0" w:color="auto"/>
              <w:right w:val="single" w:sz="8" w:space="0" w:color="auto"/>
            </w:tcBorders>
            <w:shd w:val="clear" w:color="auto" w:fill="auto"/>
            <w:vAlign w:val="center"/>
            <w:hideMark/>
          </w:tcPr>
          <w:p w14:paraId="685EFB25" w14:textId="045A3789"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p>
        </w:tc>
      </w:tr>
      <w:tr w:rsidR="009B2BE3" w:rsidRPr="00CA156D" w14:paraId="02223153"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hideMark/>
          </w:tcPr>
          <w:p w14:paraId="07FBC267" w14:textId="1A147629"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Consejerías</w:t>
            </w:r>
          </w:p>
        </w:tc>
        <w:tc>
          <w:tcPr>
            <w:tcW w:w="716" w:type="pct"/>
            <w:tcBorders>
              <w:top w:val="nil"/>
              <w:left w:val="nil"/>
              <w:bottom w:val="single" w:sz="4" w:space="0" w:color="auto"/>
              <w:right w:val="single" w:sz="8" w:space="0" w:color="auto"/>
            </w:tcBorders>
            <w:shd w:val="clear" w:color="auto" w:fill="auto"/>
            <w:vAlign w:val="center"/>
            <w:hideMark/>
          </w:tcPr>
          <w:p w14:paraId="605D9B78" w14:textId="740A38AB"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6</w:t>
            </w:r>
          </w:p>
        </w:tc>
      </w:tr>
      <w:tr w:rsidR="009B2BE3" w:rsidRPr="00CA156D" w14:paraId="0011A3A7"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74CAF1C0" w14:textId="48E9E2A5" w:rsidR="009B2BE3" w:rsidRPr="00CA156D" w:rsidRDefault="00CA156D" w:rsidP="009B2BE3">
            <w:pPr>
              <w:spacing w:line="240" w:lineRule="auto"/>
              <w:ind w:left="0"/>
              <w:rPr>
                <w:rFonts w:ascii="Century Gothic" w:eastAsia="Times New Roman" w:hAnsi="Century Gothic" w:cs="Calibri"/>
                <w:color w:val="000000"/>
                <w:lang w:eastAsia="es-419"/>
              </w:rPr>
            </w:pPr>
            <w:r w:rsidRPr="00CA156D">
              <w:rPr>
                <w:rFonts w:ascii="Century Gothic" w:eastAsia="Times New Roman" w:hAnsi="Century Gothic" w:cs="Calibri"/>
                <w:color w:val="000000"/>
                <w:lang w:eastAsia="es-419"/>
              </w:rPr>
              <w:t>Unidad Técnica de Planeación</w:t>
            </w:r>
          </w:p>
        </w:tc>
        <w:tc>
          <w:tcPr>
            <w:tcW w:w="716" w:type="pct"/>
            <w:tcBorders>
              <w:top w:val="nil"/>
              <w:left w:val="nil"/>
              <w:bottom w:val="single" w:sz="4" w:space="0" w:color="auto"/>
              <w:right w:val="single" w:sz="8" w:space="0" w:color="auto"/>
            </w:tcBorders>
            <w:shd w:val="clear" w:color="auto" w:fill="auto"/>
            <w:vAlign w:val="center"/>
          </w:tcPr>
          <w:p w14:paraId="28A94039" w14:textId="197D870F" w:rsidR="009B2BE3" w:rsidRPr="00CA156D" w:rsidRDefault="00CA156D" w:rsidP="00CA156D">
            <w:pPr>
              <w:spacing w:line="240" w:lineRule="auto"/>
              <w:ind w:left="0"/>
              <w:jc w:val="center"/>
              <w:rPr>
                <w:rFonts w:ascii="Century Gothic" w:eastAsia="Times New Roman" w:hAnsi="Century Gothic" w:cs="Calibri"/>
                <w:color w:val="000000"/>
                <w:lang w:eastAsia="es-419"/>
              </w:rPr>
            </w:pPr>
            <w:r w:rsidRPr="00CA156D">
              <w:rPr>
                <w:rFonts w:ascii="Century Gothic" w:eastAsia="Times New Roman" w:hAnsi="Century Gothic" w:cs="Calibri"/>
                <w:color w:val="000000"/>
                <w:lang w:eastAsia="es-419"/>
              </w:rPr>
              <w:t>2</w:t>
            </w:r>
          </w:p>
        </w:tc>
      </w:tr>
      <w:tr w:rsidR="009B2BE3" w:rsidRPr="00CA156D" w14:paraId="26E31D8A"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3FBFE215" w14:textId="562FE0F1"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Unidad de Tecnologías de la Información y Comunicación</w:t>
            </w:r>
          </w:p>
        </w:tc>
        <w:tc>
          <w:tcPr>
            <w:tcW w:w="716" w:type="pct"/>
            <w:tcBorders>
              <w:top w:val="nil"/>
              <w:left w:val="nil"/>
              <w:bottom w:val="single" w:sz="4" w:space="0" w:color="auto"/>
              <w:right w:val="single" w:sz="8" w:space="0" w:color="auto"/>
            </w:tcBorders>
            <w:shd w:val="clear" w:color="auto" w:fill="auto"/>
            <w:vAlign w:val="center"/>
          </w:tcPr>
          <w:p w14:paraId="3F51241C" w14:textId="4DE9CF27"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p>
        </w:tc>
      </w:tr>
      <w:tr w:rsidR="009B2BE3" w:rsidRPr="00CA156D" w14:paraId="2341DCF8"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71F10907" w14:textId="3342CE33"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Unidad de Comunicación Social</w:t>
            </w:r>
          </w:p>
        </w:tc>
        <w:tc>
          <w:tcPr>
            <w:tcW w:w="716" w:type="pct"/>
            <w:tcBorders>
              <w:top w:val="nil"/>
              <w:left w:val="nil"/>
              <w:bottom w:val="single" w:sz="4" w:space="0" w:color="auto"/>
              <w:right w:val="single" w:sz="8" w:space="0" w:color="auto"/>
            </w:tcBorders>
            <w:shd w:val="clear" w:color="auto" w:fill="auto"/>
            <w:vAlign w:val="center"/>
          </w:tcPr>
          <w:p w14:paraId="46F43FD6" w14:textId="36592F08"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p>
        </w:tc>
      </w:tr>
      <w:tr w:rsidR="009B2BE3" w:rsidRPr="00CA156D" w14:paraId="29E5D371" w14:textId="77777777" w:rsidTr="00CA156D">
        <w:trPr>
          <w:trHeight w:val="285"/>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30C6E2F9" w14:textId="406B7B95"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Contraloría General</w:t>
            </w:r>
          </w:p>
        </w:tc>
        <w:tc>
          <w:tcPr>
            <w:tcW w:w="716" w:type="pct"/>
            <w:tcBorders>
              <w:top w:val="nil"/>
              <w:left w:val="nil"/>
              <w:bottom w:val="single" w:sz="4" w:space="0" w:color="auto"/>
              <w:right w:val="single" w:sz="8" w:space="0" w:color="auto"/>
            </w:tcBorders>
            <w:shd w:val="clear" w:color="auto" w:fill="auto"/>
            <w:vAlign w:val="center"/>
            <w:hideMark/>
          </w:tcPr>
          <w:p w14:paraId="58FE2BDE" w14:textId="3A34B791"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p>
        </w:tc>
      </w:tr>
      <w:tr w:rsidR="009B2BE3" w:rsidRPr="00CA156D" w14:paraId="74126299"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hideMark/>
          </w:tcPr>
          <w:p w14:paraId="70ED7030" w14:textId="640DAE6E"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Dirección Ejecutiva de Administración</w:t>
            </w:r>
          </w:p>
        </w:tc>
        <w:tc>
          <w:tcPr>
            <w:tcW w:w="716" w:type="pct"/>
            <w:tcBorders>
              <w:top w:val="nil"/>
              <w:left w:val="nil"/>
              <w:bottom w:val="single" w:sz="4" w:space="0" w:color="auto"/>
              <w:right w:val="single" w:sz="8" w:space="0" w:color="auto"/>
            </w:tcBorders>
            <w:shd w:val="clear" w:color="auto" w:fill="auto"/>
            <w:vAlign w:val="center"/>
            <w:hideMark/>
          </w:tcPr>
          <w:p w14:paraId="5FF5CEFB" w14:textId="409A22F8"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9</w:t>
            </w:r>
          </w:p>
        </w:tc>
      </w:tr>
    </w:tbl>
    <w:p w14:paraId="14F8B193" w14:textId="77777777" w:rsidR="00AA50CC" w:rsidRDefault="00F959E4" w:rsidP="00F959E4">
      <w:pPr>
        <w:spacing w:before="240" w:after="240" w:line="293" w:lineRule="auto"/>
        <w:rPr>
          <w:rFonts w:ascii="Century Gothic" w:hAnsi="Century Gothic"/>
          <w:sz w:val="23"/>
          <w:szCs w:val="23"/>
        </w:rPr>
      </w:pPr>
      <w:r>
        <w:rPr>
          <w:rFonts w:ascii="Century Gothic" w:hAnsi="Century Gothic"/>
          <w:sz w:val="23"/>
          <w:szCs w:val="23"/>
        </w:rPr>
        <w:t>Cabe mencionar que, la contratación de personal es únicamente para funciones ordinarias</w:t>
      </w:r>
      <w:r w:rsidR="00AA50CC">
        <w:rPr>
          <w:rFonts w:ascii="Century Gothic" w:hAnsi="Century Gothic"/>
          <w:sz w:val="23"/>
          <w:szCs w:val="23"/>
        </w:rPr>
        <w:t xml:space="preserve"> del Instituto</w:t>
      </w:r>
      <w:r>
        <w:rPr>
          <w:rFonts w:ascii="Century Gothic" w:hAnsi="Century Gothic"/>
          <w:sz w:val="23"/>
          <w:szCs w:val="23"/>
        </w:rPr>
        <w:t>, por lo que no se vinculan con la organización del proceso electoral</w:t>
      </w:r>
      <w:r w:rsidR="00AA50CC">
        <w:rPr>
          <w:rFonts w:ascii="Century Gothic" w:hAnsi="Century Gothic"/>
          <w:sz w:val="23"/>
          <w:szCs w:val="23"/>
        </w:rPr>
        <w:t>, sino que están destinadas a fortalecer las áreas administrativas y a cumplir oportunamente los objetivos de cada una de estas.</w:t>
      </w:r>
    </w:p>
    <w:p w14:paraId="1715AE1E" w14:textId="1860F387" w:rsidR="00AA50CC" w:rsidRDefault="00AA50CC" w:rsidP="00AA50CC">
      <w:pPr>
        <w:spacing w:before="240" w:after="240" w:line="293" w:lineRule="auto"/>
        <w:rPr>
          <w:rFonts w:ascii="Century Gothic" w:hAnsi="Century Gothic"/>
          <w:sz w:val="23"/>
          <w:szCs w:val="23"/>
        </w:rPr>
      </w:pPr>
      <w:r>
        <w:rPr>
          <w:rFonts w:ascii="Century Gothic" w:hAnsi="Century Gothic"/>
          <w:sz w:val="23"/>
          <w:szCs w:val="23"/>
        </w:rPr>
        <w:t xml:space="preserve">Respecto al pago </w:t>
      </w:r>
      <w:r w:rsidR="00F959E4">
        <w:rPr>
          <w:rFonts w:ascii="Century Gothic" w:hAnsi="Century Gothic"/>
          <w:sz w:val="23"/>
          <w:szCs w:val="23"/>
        </w:rPr>
        <w:t xml:space="preserve">de las prestaciones que derivan de la contratación </w:t>
      </w:r>
      <w:r>
        <w:rPr>
          <w:rFonts w:ascii="Century Gothic" w:hAnsi="Century Gothic"/>
          <w:sz w:val="23"/>
          <w:szCs w:val="23"/>
        </w:rPr>
        <w:t>eventual, este Instituto consideró que dicha obligación podría solventarse con las economías obtenidas en el ejercicio fiscal; no obstante, debido a que la Secretaría de Finanzas determinó la improcedencia a la modificación al calendario presupuestal, se establece que la Dirección Ejecutiva de Administración realice los trámites administrativos ante esta dependencia y solicite la ampliación presupuestal correspondiente.</w:t>
      </w:r>
    </w:p>
    <w:p w14:paraId="46851480" w14:textId="7372449B" w:rsidR="00490318" w:rsidRDefault="00490318" w:rsidP="00500A32">
      <w:pPr>
        <w:spacing w:line="293" w:lineRule="auto"/>
        <w:ind w:left="0"/>
        <w:rPr>
          <w:rFonts w:ascii="Century Gothic" w:hAnsi="Century Gothic"/>
          <w:sz w:val="23"/>
          <w:szCs w:val="23"/>
        </w:rPr>
      </w:pPr>
      <w:r w:rsidRPr="004A769A">
        <w:rPr>
          <w:rFonts w:ascii="Century Gothic" w:hAnsi="Century Gothic"/>
          <w:sz w:val="23"/>
          <w:szCs w:val="23"/>
        </w:rPr>
        <w:lastRenderedPageBreak/>
        <w:t xml:space="preserve">Sobre la base de las consideraciones señaladas, </w:t>
      </w:r>
      <w:r w:rsidR="00325450" w:rsidRPr="004A769A">
        <w:rPr>
          <w:rFonts w:ascii="Century Gothic" w:hAnsi="Century Gothic"/>
          <w:sz w:val="23"/>
          <w:szCs w:val="23"/>
        </w:rPr>
        <w:t xml:space="preserve">esta Junta Estatal </w:t>
      </w:r>
      <w:r w:rsidRPr="004A769A">
        <w:rPr>
          <w:rFonts w:ascii="Century Gothic" w:hAnsi="Century Gothic"/>
          <w:sz w:val="23"/>
          <w:szCs w:val="23"/>
        </w:rPr>
        <w:t>emite el siguiente:</w:t>
      </w:r>
    </w:p>
    <w:p w14:paraId="7A703BA0" w14:textId="77777777" w:rsidR="003718AB" w:rsidRPr="000807E6" w:rsidRDefault="003718AB" w:rsidP="00625432">
      <w:pPr>
        <w:pStyle w:val="Ttulo1"/>
        <w:rPr>
          <w:sz w:val="24"/>
          <w:szCs w:val="24"/>
        </w:rPr>
      </w:pPr>
      <w:r w:rsidRPr="000807E6">
        <w:rPr>
          <w:sz w:val="24"/>
          <w:szCs w:val="24"/>
        </w:rPr>
        <w:t>ACUERDO</w:t>
      </w:r>
    </w:p>
    <w:p w14:paraId="0AFC0162" w14:textId="454B4B26" w:rsidR="00AA50CC" w:rsidRDefault="003718AB" w:rsidP="00500A32">
      <w:pPr>
        <w:spacing w:after="240" w:line="293" w:lineRule="auto"/>
        <w:ind w:left="0"/>
        <w:rPr>
          <w:rFonts w:ascii="Century Gothic" w:hAnsi="Century Gothic"/>
          <w:sz w:val="23"/>
          <w:szCs w:val="23"/>
        </w:rPr>
      </w:pPr>
      <w:r w:rsidRPr="00E66383">
        <w:rPr>
          <w:rFonts w:ascii="Century Gothic" w:hAnsi="Century Gothic"/>
          <w:b/>
          <w:sz w:val="23"/>
          <w:szCs w:val="23"/>
        </w:rPr>
        <w:t>PRIMERO.</w:t>
      </w:r>
      <w:r w:rsidRPr="00E66383">
        <w:rPr>
          <w:rFonts w:ascii="Century Gothic" w:hAnsi="Century Gothic"/>
          <w:sz w:val="23"/>
          <w:szCs w:val="23"/>
        </w:rPr>
        <w:t xml:space="preserve"> </w:t>
      </w:r>
      <w:r w:rsidR="00AA50CC">
        <w:rPr>
          <w:rFonts w:ascii="Century Gothic" w:hAnsi="Century Gothic"/>
          <w:sz w:val="23"/>
          <w:szCs w:val="23"/>
        </w:rPr>
        <w:t>Se</w:t>
      </w:r>
      <w:r w:rsidR="00E17E9C" w:rsidRPr="00E66383">
        <w:rPr>
          <w:rFonts w:ascii="Century Gothic" w:hAnsi="Century Gothic"/>
          <w:sz w:val="23"/>
          <w:szCs w:val="23"/>
        </w:rPr>
        <w:t xml:space="preserve"> </w:t>
      </w:r>
      <w:r w:rsidR="00AA50CC">
        <w:rPr>
          <w:rFonts w:ascii="Century Gothic" w:hAnsi="Century Gothic"/>
          <w:sz w:val="23"/>
          <w:szCs w:val="23"/>
        </w:rPr>
        <w:t xml:space="preserve">aprueba el </w:t>
      </w:r>
      <w:r w:rsidR="003635AB">
        <w:rPr>
          <w:rFonts w:ascii="Century Gothic" w:hAnsi="Century Gothic"/>
          <w:sz w:val="23"/>
          <w:szCs w:val="23"/>
        </w:rPr>
        <w:t xml:space="preserve">programa </w:t>
      </w:r>
      <w:r w:rsidR="00AA50CC">
        <w:rPr>
          <w:rFonts w:ascii="Century Gothic" w:hAnsi="Century Gothic"/>
          <w:sz w:val="23"/>
          <w:szCs w:val="23"/>
        </w:rPr>
        <w:t>para la contratación de personal por tiempo determinado que se anexa al presente acuerdo, el cual tendrá efectos a partir del 01 de junio y hasta el 31 de diciembre del año en curso.</w:t>
      </w:r>
    </w:p>
    <w:p w14:paraId="56456A60" w14:textId="4CF666B6" w:rsidR="0092335A" w:rsidRPr="004A769A" w:rsidRDefault="00E6775C" w:rsidP="00365D98">
      <w:pPr>
        <w:spacing w:after="240" w:line="293" w:lineRule="auto"/>
        <w:ind w:left="0"/>
        <w:rPr>
          <w:rFonts w:ascii="Century Gothic" w:hAnsi="Century Gothic"/>
          <w:sz w:val="23"/>
          <w:szCs w:val="23"/>
        </w:rPr>
      </w:pPr>
      <w:r w:rsidRPr="004A769A">
        <w:rPr>
          <w:rFonts w:ascii="Century Gothic" w:hAnsi="Century Gothic"/>
          <w:b/>
          <w:sz w:val="23"/>
          <w:szCs w:val="23"/>
        </w:rPr>
        <w:t>SEGUNDO.</w:t>
      </w:r>
      <w:r w:rsidRPr="004A769A">
        <w:rPr>
          <w:rFonts w:ascii="Century Gothic" w:hAnsi="Century Gothic"/>
          <w:sz w:val="23"/>
          <w:szCs w:val="23"/>
        </w:rPr>
        <w:t xml:space="preserve"> </w:t>
      </w:r>
      <w:r w:rsidR="0092335A" w:rsidRPr="004A769A">
        <w:rPr>
          <w:rFonts w:ascii="Century Gothic" w:hAnsi="Century Gothic"/>
          <w:sz w:val="23"/>
          <w:szCs w:val="23"/>
        </w:rPr>
        <w:t>Se instruye a la Dirección Ejec</w:t>
      </w:r>
      <w:r w:rsidR="00AB1C30">
        <w:rPr>
          <w:rFonts w:ascii="Century Gothic" w:hAnsi="Century Gothic"/>
          <w:sz w:val="23"/>
          <w:szCs w:val="23"/>
        </w:rPr>
        <w:t xml:space="preserve">utiva de Administración </w:t>
      </w:r>
      <w:r w:rsidR="00365D98">
        <w:rPr>
          <w:rFonts w:ascii="Century Gothic" w:hAnsi="Century Gothic"/>
          <w:sz w:val="23"/>
          <w:szCs w:val="23"/>
        </w:rPr>
        <w:t xml:space="preserve">realice los trámites administrativos ante la Secretaría de Finanzas del Estado y solicite la ampliación presupuestal correspondiente a fin de </w:t>
      </w:r>
      <w:r w:rsidR="00AB1C30">
        <w:rPr>
          <w:rFonts w:ascii="Century Gothic" w:hAnsi="Century Gothic"/>
          <w:sz w:val="23"/>
          <w:szCs w:val="23"/>
        </w:rPr>
        <w:t>dar cumplimiento al presente acuerdo.</w:t>
      </w:r>
    </w:p>
    <w:p w14:paraId="1640B3F5" w14:textId="77777777" w:rsidR="00E17E9C" w:rsidRPr="004A769A" w:rsidRDefault="0034692E" w:rsidP="00500A32">
      <w:pPr>
        <w:spacing w:after="240" w:line="293" w:lineRule="auto"/>
        <w:ind w:left="0"/>
        <w:rPr>
          <w:rFonts w:ascii="Century Gothic" w:hAnsi="Century Gothic"/>
          <w:sz w:val="23"/>
          <w:szCs w:val="23"/>
        </w:rPr>
      </w:pPr>
      <w:r w:rsidRPr="004A769A">
        <w:rPr>
          <w:rFonts w:ascii="Century Gothic" w:hAnsi="Century Gothic"/>
          <w:b/>
          <w:sz w:val="23"/>
          <w:szCs w:val="23"/>
        </w:rPr>
        <w:t xml:space="preserve">TERCERO. </w:t>
      </w:r>
      <w:r w:rsidR="00E17E9C" w:rsidRPr="004A769A">
        <w:rPr>
          <w:rFonts w:ascii="Century Gothic" w:hAnsi="Century Gothic"/>
          <w:sz w:val="23"/>
          <w:szCs w:val="23"/>
        </w:rPr>
        <w:t>Publíquese el presente acuerdo en el Periódico Oficial del Estado y en la página de internet del Instituto, de conformidad con lo dispuesto en el artículo 114 de la Ley Electoral.</w:t>
      </w:r>
    </w:p>
    <w:p w14:paraId="1BC24D5C" w14:textId="156D46C5" w:rsidR="003718AB" w:rsidRPr="004A769A" w:rsidRDefault="003718AB" w:rsidP="00500A32">
      <w:pPr>
        <w:spacing w:line="293" w:lineRule="auto"/>
        <w:ind w:left="0"/>
        <w:rPr>
          <w:rFonts w:ascii="Century Gothic" w:hAnsi="Century Gothic"/>
          <w:sz w:val="23"/>
          <w:szCs w:val="23"/>
        </w:rPr>
      </w:pPr>
      <w:r w:rsidRPr="004A769A">
        <w:rPr>
          <w:rFonts w:ascii="Century Gothic" w:hAnsi="Century Gothic"/>
          <w:sz w:val="23"/>
          <w:szCs w:val="23"/>
        </w:rPr>
        <w:t xml:space="preserve">El presente acuerdo fue aprobado en sesión </w:t>
      </w:r>
      <w:r w:rsidR="001F6A42" w:rsidRPr="004A769A">
        <w:rPr>
          <w:rFonts w:ascii="Century Gothic" w:hAnsi="Century Gothic"/>
          <w:sz w:val="23"/>
          <w:szCs w:val="23"/>
        </w:rPr>
        <w:t>extraordinar</w:t>
      </w:r>
      <w:r w:rsidR="00982F88" w:rsidRPr="004A769A">
        <w:rPr>
          <w:rFonts w:ascii="Century Gothic" w:hAnsi="Century Gothic"/>
          <w:sz w:val="23"/>
          <w:szCs w:val="23"/>
        </w:rPr>
        <w:t>i</w:t>
      </w:r>
      <w:r w:rsidR="001F6A42" w:rsidRPr="004A769A">
        <w:rPr>
          <w:rFonts w:ascii="Century Gothic" w:hAnsi="Century Gothic"/>
          <w:sz w:val="23"/>
          <w:szCs w:val="23"/>
        </w:rPr>
        <w:t>a</w:t>
      </w:r>
      <w:r w:rsidRPr="004A769A">
        <w:rPr>
          <w:rFonts w:ascii="Century Gothic" w:hAnsi="Century Gothic"/>
          <w:sz w:val="23"/>
          <w:szCs w:val="23"/>
        </w:rPr>
        <w:t xml:space="preserve"> efectuada el </w:t>
      </w:r>
      <w:r w:rsidR="0070179B">
        <w:rPr>
          <w:rFonts w:ascii="Century Gothic" w:hAnsi="Century Gothic"/>
          <w:sz w:val="23"/>
          <w:szCs w:val="23"/>
        </w:rPr>
        <w:t>0</w:t>
      </w:r>
      <w:r w:rsidR="009E7C58">
        <w:rPr>
          <w:rFonts w:ascii="Century Gothic" w:hAnsi="Century Gothic"/>
          <w:sz w:val="23"/>
          <w:szCs w:val="23"/>
        </w:rPr>
        <w:t>1</w:t>
      </w:r>
      <w:r w:rsidR="00ED7E9C">
        <w:rPr>
          <w:rFonts w:ascii="Century Gothic" w:hAnsi="Century Gothic"/>
          <w:sz w:val="23"/>
          <w:szCs w:val="23"/>
        </w:rPr>
        <w:t xml:space="preserve"> </w:t>
      </w:r>
      <w:r w:rsidR="00982F88" w:rsidRPr="004A769A">
        <w:rPr>
          <w:rFonts w:ascii="Century Gothic" w:hAnsi="Century Gothic"/>
          <w:sz w:val="23"/>
          <w:szCs w:val="23"/>
        </w:rPr>
        <w:t xml:space="preserve">de </w:t>
      </w:r>
      <w:r w:rsidR="0070179B">
        <w:rPr>
          <w:rFonts w:ascii="Century Gothic" w:hAnsi="Century Gothic"/>
          <w:sz w:val="23"/>
          <w:szCs w:val="23"/>
        </w:rPr>
        <w:t>junio</w:t>
      </w:r>
      <w:r w:rsidR="009E7C58">
        <w:rPr>
          <w:rFonts w:ascii="Century Gothic" w:hAnsi="Century Gothic"/>
          <w:sz w:val="23"/>
          <w:szCs w:val="23"/>
        </w:rPr>
        <w:t xml:space="preserve"> </w:t>
      </w:r>
      <w:r w:rsidR="00982F88" w:rsidRPr="004A769A">
        <w:rPr>
          <w:rFonts w:ascii="Century Gothic" w:hAnsi="Century Gothic"/>
          <w:sz w:val="23"/>
          <w:szCs w:val="23"/>
        </w:rPr>
        <w:t xml:space="preserve">del </w:t>
      </w:r>
      <w:r w:rsidRPr="004A769A">
        <w:rPr>
          <w:rFonts w:ascii="Century Gothic" w:hAnsi="Century Gothic"/>
          <w:sz w:val="23"/>
          <w:szCs w:val="23"/>
        </w:rPr>
        <w:t xml:space="preserve">año dos mil </w:t>
      </w:r>
      <w:r w:rsidR="001B28CB" w:rsidRPr="004A769A">
        <w:rPr>
          <w:rFonts w:ascii="Century Gothic" w:hAnsi="Century Gothic"/>
          <w:sz w:val="23"/>
          <w:szCs w:val="23"/>
        </w:rPr>
        <w:t>veintitrés</w:t>
      </w:r>
      <w:r w:rsidRPr="004A769A">
        <w:rPr>
          <w:rFonts w:ascii="Century Gothic" w:hAnsi="Century Gothic"/>
          <w:sz w:val="23"/>
          <w:szCs w:val="23"/>
        </w:rPr>
        <w:t xml:space="preserve">, por votación </w:t>
      </w:r>
      <w:r w:rsidR="001F58CF">
        <w:rPr>
          <w:rFonts w:ascii="Century Gothic" w:hAnsi="Century Gothic"/>
          <w:sz w:val="23"/>
          <w:szCs w:val="23"/>
        </w:rPr>
        <w:t>unánime</w:t>
      </w:r>
      <w:r w:rsidR="00ED7E9C">
        <w:rPr>
          <w:rFonts w:ascii="Century Gothic" w:hAnsi="Century Gothic"/>
          <w:sz w:val="23"/>
          <w:szCs w:val="23"/>
        </w:rPr>
        <w:t xml:space="preserve"> </w:t>
      </w:r>
      <w:r w:rsidRPr="004A769A">
        <w:rPr>
          <w:rFonts w:ascii="Century Gothic" w:hAnsi="Century Gothic"/>
          <w:sz w:val="23"/>
          <w:szCs w:val="23"/>
        </w:rPr>
        <w:t xml:space="preserve">de la y los integrantes de la Junta Estatal Ejecutiva del Instituto Electoral y de Participación Ciudadana de Tabasco: </w:t>
      </w:r>
      <w:r w:rsidR="005324FE" w:rsidRPr="004A769A">
        <w:rPr>
          <w:rFonts w:ascii="Century Gothic" w:hAnsi="Century Gothic"/>
          <w:sz w:val="23"/>
          <w:szCs w:val="23"/>
        </w:rPr>
        <w:t>Lic.</w:t>
      </w:r>
      <w:r w:rsidRPr="004A769A">
        <w:rPr>
          <w:rFonts w:ascii="Century Gothic" w:hAnsi="Century Gothic"/>
          <w:sz w:val="23"/>
          <w:szCs w:val="23"/>
        </w:rPr>
        <w:t xml:space="preserve"> </w:t>
      </w:r>
      <w:r w:rsidR="005324FE" w:rsidRPr="004A769A">
        <w:rPr>
          <w:rFonts w:ascii="Century Gothic" w:hAnsi="Century Gothic"/>
          <w:sz w:val="23"/>
          <w:szCs w:val="23"/>
        </w:rPr>
        <w:t>Javier García Rodríguez</w:t>
      </w:r>
      <w:r w:rsidRPr="004A769A">
        <w:rPr>
          <w:rFonts w:ascii="Century Gothic" w:hAnsi="Century Gothic"/>
          <w:sz w:val="23"/>
          <w:szCs w:val="23"/>
        </w:rPr>
        <w:t xml:space="preserve">, Director </w:t>
      </w:r>
      <w:r w:rsidR="005324FE" w:rsidRPr="004A769A">
        <w:rPr>
          <w:rFonts w:ascii="Century Gothic" w:hAnsi="Century Gothic"/>
          <w:sz w:val="23"/>
          <w:szCs w:val="23"/>
        </w:rPr>
        <w:t xml:space="preserve">Ejecutivo </w:t>
      </w:r>
      <w:r w:rsidRPr="004A769A">
        <w:rPr>
          <w:rFonts w:ascii="Century Gothic" w:hAnsi="Century Gothic"/>
          <w:sz w:val="23"/>
          <w:szCs w:val="23"/>
        </w:rPr>
        <w:t xml:space="preserve">de Administración; </w:t>
      </w:r>
      <w:r w:rsidR="00D57C36">
        <w:rPr>
          <w:rFonts w:ascii="Century Gothic" w:hAnsi="Century Gothic"/>
          <w:sz w:val="23"/>
          <w:szCs w:val="23"/>
        </w:rPr>
        <w:t>Lic. Rigoberto de la O Galle</w:t>
      </w:r>
      <w:r w:rsidR="00EA2DFD">
        <w:rPr>
          <w:rFonts w:ascii="Century Gothic" w:hAnsi="Century Gothic"/>
          <w:sz w:val="23"/>
          <w:szCs w:val="23"/>
        </w:rPr>
        <w:t>g</w:t>
      </w:r>
      <w:r w:rsidR="00D57C36">
        <w:rPr>
          <w:rFonts w:ascii="Century Gothic" w:hAnsi="Century Gothic"/>
          <w:sz w:val="23"/>
          <w:szCs w:val="23"/>
        </w:rPr>
        <w:t xml:space="preserve">os, Encargado de </w:t>
      </w:r>
      <w:r w:rsidR="00295F02">
        <w:rPr>
          <w:rFonts w:ascii="Century Gothic" w:hAnsi="Century Gothic"/>
          <w:sz w:val="23"/>
          <w:szCs w:val="23"/>
        </w:rPr>
        <w:t>D</w:t>
      </w:r>
      <w:r w:rsidR="00EA2DFD">
        <w:rPr>
          <w:rFonts w:ascii="Century Gothic" w:hAnsi="Century Gothic"/>
          <w:sz w:val="23"/>
          <w:szCs w:val="23"/>
        </w:rPr>
        <w:t xml:space="preserve">espacho de </w:t>
      </w:r>
      <w:r w:rsidR="00D57C36">
        <w:rPr>
          <w:rFonts w:ascii="Century Gothic" w:hAnsi="Century Gothic"/>
          <w:sz w:val="23"/>
          <w:szCs w:val="23"/>
        </w:rPr>
        <w:t xml:space="preserve">la Dirección Ejecutiva de Organización Electoral y Educación Cívica, </w:t>
      </w:r>
      <w:r w:rsidR="005324FE" w:rsidRPr="004A769A">
        <w:rPr>
          <w:rFonts w:ascii="Century Gothic" w:hAnsi="Century Gothic"/>
          <w:sz w:val="23"/>
          <w:szCs w:val="23"/>
        </w:rPr>
        <w:t>Lic</w:t>
      </w:r>
      <w:r w:rsidRPr="004A769A">
        <w:rPr>
          <w:rFonts w:ascii="Century Gothic" w:hAnsi="Century Gothic"/>
          <w:sz w:val="23"/>
          <w:szCs w:val="23"/>
        </w:rPr>
        <w:t xml:space="preserve">. </w:t>
      </w:r>
      <w:r w:rsidR="00D43C8C" w:rsidRPr="004A769A">
        <w:rPr>
          <w:rFonts w:ascii="Century Gothic" w:hAnsi="Century Gothic"/>
          <w:sz w:val="23"/>
          <w:szCs w:val="23"/>
        </w:rPr>
        <w:t>Jorge Alberto Zavala Frías</w:t>
      </w:r>
      <w:r w:rsidRPr="004A769A">
        <w:rPr>
          <w:rFonts w:ascii="Century Gothic" w:hAnsi="Century Gothic"/>
          <w:sz w:val="23"/>
          <w:szCs w:val="23"/>
        </w:rPr>
        <w:t xml:space="preserve">, Secretario Ejecutivo y </w:t>
      </w:r>
      <w:r w:rsidR="00D43C8C" w:rsidRPr="004A769A">
        <w:rPr>
          <w:rFonts w:ascii="Century Gothic" w:hAnsi="Century Gothic"/>
          <w:sz w:val="23"/>
          <w:szCs w:val="23"/>
        </w:rPr>
        <w:t>Mtra</w:t>
      </w:r>
      <w:r w:rsidRPr="004A769A">
        <w:rPr>
          <w:rFonts w:ascii="Century Gothic" w:hAnsi="Century Gothic"/>
          <w:sz w:val="23"/>
          <w:szCs w:val="23"/>
        </w:rPr>
        <w:t xml:space="preserve">. </w:t>
      </w:r>
      <w:r w:rsidR="00677613" w:rsidRPr="004A769A">
        <w:rPr>
          <w:rFonts w:ascii="Century Gothic" w:hAnsi="Century Gothic"/>
          <w:sz w:val="23"/>
          <w:szCs w:val="23"/>
        </w:rPr>
        <w:t>Elizabeth Nava Gutiérrez</w:t>
      </w:r>
      <w:r w:rsidRPr="004A769A">
        <w:rPr>
          <w:rFonts w:ascii="Century Gothic" w:hAnsi="Century Gothic"/>
          <w:sz w:val="23"/>
          <w:szCs w:val="23"/>
        </w:rPr>
        <w:t>, Presidenta de la Junta Estatal Ejecutiva.</w:t>
      </w:r>
    </w:p>
    <w:p w14:paraId="081E7574" w14:textId="77777777" w:rsidR="00F5781C" w:rsidRPr="004A769A" w:rsidRDefault="00F5781C" w:rsidP="00500A32">
      <w:pPr>
        <w:spacing w:line="293" w:lineRule="auto"/>
        <w:ind w:left="0"/>
        <w:rPr>
          <w:rFonts w:ascii="Century Gothic" w:hAnsi="Century Gothic"/>
          <w:sz w:val="23"/>
          <w:szCs w:val="23"/>
        </w:rPr>
      </w:pPr>
    </w:p>
    <w:p w14:paraId="138C8B01" w14:textId="77777777" w:rsidR="00A86E08" w:rsidRPr="004A769A" w:rsidRDefault="00A86E08" w:rsidP="00500A32">
      <w:pPr>
        <w:spacing w:line="293" w:lineRule="auto"/>
        <w:ind w:left="0"/>
        <w:rPr>
          <w:rFonts w:ascii="Century Gothic" w:hAnsi="Century Gothic"/>
          <w:sz w:val="23"/>
          <w:szCs w:val="23"/>
        </w:rPr>
      </w:pPr>
    </w:p>
    <w:p w14:paraId="11BD711E" w14:textId="77777777" w:rsidR="008E2E5C" w:rsidRPr="004A769A" w:rsidRDefault="008E2E5C" w:rsidP="00500A32">
      <w:pPr>
        <w:spacing w:line="293" w:lineRule="auto"/>
        <w:ind w:left="0"/>
        <w:rPr>
          <w:rFonts w:ascii="Century Gothic" w:hAnsi="Century Gothic"/>
          <w:sz w:val="23"/>
          <w:szCs w:val="23"/>
        </w:rPr>
      </w:pPr>
    </w:p>
    <w:p w14:paraId="2BA957E1" w14:textId="77777777" w:rsidR="003718AB" w:rsidRPr="004A769A" w:rsidRDefault="003718AB" w:rsidP="00500A32">
      <w:pPr>
        <w:spacing w:line="293" w:lineRule="auto"/>
        <w:rPr>
          <w:rFonts w:ascii="Century Gothic" w:hAnsi="Century Gothic"/>
          <w:sz w:val="23"/>
          <w:szCs w:val="23"/>
        </w:rPr>
      </w:pPr>
    </w:p>
    <w:p w14:paraId="1A9D0D43" w14:textId="77777777" w:rsidR="003718AB" w:rsidRPr="004A769A" w:rsidRDefault="003718AB" w:rsidP="00500A32">
      <w:pPr>
        <w:spacing w:line="293" w:lineRule="auto"/>
        <w:rPr>
          <w:rFonts w:ascii="Century Gothic" w:hAnsi="Century Gothic"/>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E2E5C" w:rsidRPr="004A769A" w14:paraId="1A69C203" w14:textId="77777777" w:rsidTr="004938FE">
        <w:tc>
          <w:tcPr>
            <w:tcW w:w="4395" w:type="dxa"/>
          </w:tcPr>
          <w:p w14:paraId="16127180" w14:textId="77777777" w:rsidR="008E2E5C" w:rsidRPr="004A769A" w:rsidRDefault="008E2E5C" w:rsidP="00500A32">
            <w:pPr>
              <w:widowControl w:val="0"/>
              <w:spacing w:line="293" w:lineRule="auto"/>
              <w:ind w:left="0"/>
              <w:jc w:val="center"/>
              <w:rPr>
                <w:rFonts w:ascii="Century Gothic" w:hAnsi="Century Gothic"/>
                <w:b/>
                <w:spacing w:val="-10"/>
                <w:sz w:val="23"/>
                <w:szCs w:val="23"/>
              </w:rPr>
            </w:pPr>
            <w:r w:rsidRPr="004A769A">
              <w:rPr>
                <w:rFonts w:ascii="Century Gothic" w:hAnsi="Century Gothic"/>
                <w:b/>
                <w:spacing w:val="-10"/>
                <w:sz w:val="23"/>
                <w:szCs w:val="23"/>
              </w:rPr>
              <w:t>MTRA. ELIZABETH NAVA GUTIÉRREZ</w:t>
            </w:r>
          </w:p>
          <w:p w14:paraId="5C98EAC7" w14:textId="77777777" w:rsidR="008E2E5C" w:rsidRPr="004A769A" w:rsidRDefault="008E2E5C" w:rsidP="00500A32">
            <w:pPr>
              <w:widowControl w:val="0"/>
              <w:spacing w:line="293" w:lineRule="auto"/>
              <w:ind w:left="0"/>
              <w:jc w:val="center"/>
              <w:rPr>
                <w:rFonts w:ascii="Century Gothic" w:hAnsi="Century Gothic"/>
                <w:b/>
                <w:sz w:val="23"/>
                <w:szCs w:val="23"/>
              </w:rPr>
            </w:pPr>
            <w:r w:rsidRPr="004A769A">
              <w:rPr>
                <w:rFonts w:ascii="Century Gothic" w:hAnsi="Century Gothic"/>
                <w:b/>
                <w:spacing w:val="-10"/>
                <w:sz w:val="23"/>
                <w:szCs w:val="23"/>
              </w:rPr>
              <w:t>CONSEJERA PRESIDENTA</w:t>
            </w:r>
          </w:p>
        </w:tc>
        <w:tc>
          <w:tcPr>
            <w:tcW w:w="278" w:type="dxa"/>
          </w:tcPr>
          <w:p w14:paraId="7173C5BB" w14:textId="77777777" w:rsidR="008E2E5C" w:rsidRPr="004A769A" w:rsidRDefault="008E2E5C" w:rsidP="00500A32">
            <w:pPr>
              <w:widowControl w:val="0"/>
              <w:spacing w:line="293" w:lineRule="auto"/>
              <w:rPr>
                <w:rFonts w:ascii="Century Gothic" w:hAnsi="Century Gothic"/>
                <w:b/>
                <w:sz w:val="23"/>
                <w:szCs w:val="23"/>
              </w:rPr>
            </w:pPr>
          </w:p>
        </w:tc>
        <w:tc>
          <w:tcPr>
            <w:tcW w:w="4400" w:type="dxa"/>
          </w:tcPr>
          <w:p w14:paraId="0175974A" w14:textId="77777777" w:rsidR="008E2E5C" w:rsidRPr="004A769A" w:rsidRDefault="008E2E5C" w:rsidP="00500A32">
            <w:pPr>
              <w:widowControl w:val="0"/>
              <w:spacing w:line="293" w:lineRule="auto"/>
              <w:ind w:left="0"/>
              <w:jc w:val="center"/>
              <w:rPr>
                <w:rFonts w:ascii="Century Gothic" w:hAnsi="Century Gothic"/>
                <w:b/>
                <w:spacing w:val="-10"/>
                <w:sz w:val="23"/>
                <w:szCs w:val="23"/>
              </w:rPr>
            </w:pPr>
            <w:r w:rsidRPr="004A769A">
              <w:rPr>
                <w:rFonts w:ascii="Century Gothic" w:hAnsi="Century Gothic"/>
                <w:b/>
                <w:spacing w:val="-10"/>
                <w:sz w:val="23"/>
                <w:szCs w:val="23"/>
              </w:rPr>
              <w:t>LIC. JORGE ALBERTO ZAVALA FRÍAS</w:t>
            </w:r>
          </w:p>
          <w:p w14:paraId="1739AB35" w14:textId="77777777" w:rsidR="008E2E5C" w:rsidRPr="004A769A" w:rsidRDefault="008E2E5C" w:rsidP="00500A32">
            <w:pPr>
              <w:widowControl w:val="0"/>
              <w:spacing w:line="293" w:lineRule="auto"/>
              <w:ind w:left="0"/>
              <w:jc w:val="center"/>
              <w:rPr>
                <w:rFonts w:ascii="Century Gothic" w:hAnsi="Century Gothic"/>
                <w:b/>
                <w:sz w:val="23"/>
                <w:szCs w:val="23"/>
              </w:rPr>
            </w:pPr>
            <w:r w:rsidRPr="004A769A">
              <w:rPr>
                <w:rFonts w:ascii="Century Gothic" w:hAnsi="Century Gothic"/>
                <w:b/>
                <w:spacing w:val="-10"/>
                <w:sz w:val="23"/>
                <w:szCs w:val="23"/>
              </w:rPr>
              <w:t xml:space="preserve">SECRETARIO </w:t>
            </w:r>
            <w:r w:rsidR="00A86E08" w:rsidRPr="004A769A">
              <w:rPr>
                <w:rFonts w:ascii="Century Gothic" w:hAnsi="Century Gothic"/>
                <w:b/>
                <w:spacing w:val="-10"/>
                <w:sz w:val="23"/>
                <w:szCs w:val="23"/>
              </w:rPr>
              <w:t>EJECUTIVO</w:t>
            </w:r>
          </w:p>
        </w:tc>
      </w:tr>
    </w:tbl>
    <w:p w14:paraId="66449D14" w14:textId="77777777" w:rsidR="008E2E5C" w:rsidRPr="004A769A" w:rsidRDefault="008E2E5C" w:rsidP="00500A32">
      <w:pPr>
        <w:spacing w:line="293" w:lineRule="auto"/>
        <w:ind w:left="0"/>
        <w:rPr>
          <w:rFonts w:ascii="Century Gothic" w:hAnsi="Century Gothic"/>
          <w:sz w:val="23"/>
          <w:szCs w:val="23"/>
        </w:rPr>
      </w:pPr>
    </w:p>
    <w:sectPr w:rsidR="008E2E5C" w:rsidRPr="004A769A" w:rsidSect="0070179B">
      <w:headerReference w:type="default" r:id="rId8"/>
      <w:footerReference w:type="default" r:id="rId9"/>
      <w:headerReference w:type="first" r:id="rId10"/>
      <w:pgSz w:w="12240" w:h="15840" w:code="1"/>
      <w:pgMar w:top="2835" w:right="1418" w:bottom="1418"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7308" w14:textId="77777777" w:rsidR="001C0968" w:rsidRDefault="001C0968" w:rsidP="00FC3DB5">
      <w:r>
        <w:separator/>
      </w:r>
    </w:p>
  </w:endnote>
  <w:endnote w:type="continuationSeparator" w:id="0">
    <w:p w14:paraId="6C4F31FA" w14:textId="77777777" w:rsidR="001C0968" w:rsidRDefault="001C0968" w:rsidP="00FC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bCs/>
        <w:color w:val="660033"/>
        <w:lang w:val="es-ES"/>
      </w:rPr>
      <w:id w:val="-1893648067"/>
      <w:docPartObj>
        <w:docPartGallery w:val="Page Numbers (Bottom of Page)"/>
        <w:docPartUnique/>
      </w:docPartObj>
    </w:sdtPr>
    <w:sdtEndPr>
      <w:rPr>
        <w:sz w:val="20"/>
        <w:szCs w:val="20"/>
      </w:rPr>
    </w:sdtEndPr>
    <w:sdtContent>
      <w:p w14:paraId="295CD592" w14:textId="340848CA" w:rsidR="005C4A76" w:rsidRPr="00DD2223" w:rsidRDefault="005C4A76" w:rsidP="005C4A76">
        <w:pPr>
          <w:pStyle w:val="Piedepgina"/>
          <w:jc w:val="right"/>
          <w:rPr>
            <w:rFonts w:ascii="Century Gothic" w:hAnsi="Century Gothic"/>
            <w:b/>
            <w:bCs/>
            <w:color w:val="660033"/>
            <w:sz w:val="20"/>
            <w:szCs w:val="20"/>
          </w:rPr>
        </w:pPr>
        <w:r w:rsidRPr="00DD2223">
          <w:rPr>
            <w:rFonts w:ascii="Century Gothic" w:hAnsi="Century Gothic"/>
            <w:b/>
            <w:bCs/>
            <w:color w:val="660033"/>
            <w:sz w:val="20"/>
            <w:szCs w:val="20"/>
            <w:lang w:val="es-ES"/>
          </w:rPr>
          <w:t xml:space="preserve">Página  </w:t>
        </w:r>
        <w:r w:rsidRPr="00DD2223">
          <w:rPr>
            <w:rFonts w:ascii="Century Gothic" w:hAnsi="Century Gothic"/>
            <w:b/>
            <w:bCs/>
            <w:color w:val="660033"/>
            <w:sz w:val="20"/>
            <w:szCs w:val="20"/>
          </w:rPr>
          <w:fldChar w:fldCharType="begin"/>
        </w:r>
        <w:r w:rsidRPr="00DD2223">
          <w:rPr>
            <w:rFonts w:ascii="Century Gothic" w:hAnsi="Century Gothic"/>
            <w:b/>
            <w:bCs/>
            <w:color w:val="660033"/>
            <w:sz w:val="20"/>
            <w:szCs w:val="20"/>
          </w:rPr>
          <w:instrText>PAGE   \* MERGEFORMAT</w:instrText>
        </w:r>
        <w:r w:rsidRPr="00DD2223">
          <w:rPr>
            <w:rFonts w:ascii="Century Gothic" w:hAnsi="Century Gothic"/>
            <w:b/>
            <w:bCs/>
            <w:color w:val="660033"/>
            <w:sz w:val="20"/>
            <w:szCs w:val="20"/>
          </w:rPr>
          <w:fldChar w:fldCharType="separate"/>
        </w:r>
        <w:r w:rsidR="00295F02">
          <w:rPr>
            <w:rFonts w:ascii="Century Gothic" w:hAnsi="Century Gothic"/>
            <w:b/>
            <w:bCs/>
            <w:noProof/>
            <w:color w:val="660033"/>
            <w:sz w:val="20"/>
            <w:szCs w:val="20"/>
          </w:rPr>
          <w:t>11</w:t>
        </w:r>
        <w:r w:rsidRPr="00DD2223">
          <w:rPr>
            <w:rFonts w:ascii="Century Gothic" w:hAnsi="Century Gothic"/>
            <w:b/>
            <w:bCs/>
            <w:color w:val="660033"/>
            <w:sz w:val="20"/>
            <w:szCs w:val="20"/>
          </w:rPr>
          <w:fldChar w:fldCharType="end"/>
        </w:r>
        <w:r w:rsidRPr="00DD2223">
          <w:rPr>
            <w:rFonts w:ascii="Century Gothic" w:hAnsi="Century Gothic"/>
            <w:b/>
            <w:bCs/>
            <w:color w:val="660033"/>
            <w:sz w:val="20"/>
            <w:szCs w:val="20"/>
            <w:lang w:val="es-ES"/>
          </w:rPr>
          <w:t xml:space="preserve"> | </w:t>
        </w:r>
        <w:r w:rsidRPr="00DD2223">
          <w:rPr>
            <w:rFonts w:ascii="Century Gothic" w:hAnsi="Century Gothic"/>
            <w:b/>
            <w:bCs/>
            <w:color w:val="660033"/>
            <w:sz w:val="20"/>
            <w:szCs w:val="20"/>
            <w:lang w:val="es-ES"/>
          </w:rPr>
          <w:fldChar w:fldCharType="begin"/>
        </w:r>
        <w:r w:rsidRPr="00DD2223">
          <w:rPr>
            <w:rFonts w:ascii="Century Gothic" w:hAnsi="Century Gothic"/>
            <w:b/>
            <w:bCs/>
            <w:color w:val="660033"/>
            <w:sz w:val="20"/>
            <w:szCs w:val="20"/>
            <w:lang w:val="es-ES"/>
          </w:rPr>
          <w:instrText xml:space="preserve"> NUMPAGES   \* MERGEFORMAT </w:instrText>
        </w:r>
        <w:r w:rsidRPr="00DD2223">
          <w:rPr>
            <w:rFonts w:ascii="Century Gothic" w:hAnsi="Century Gothic"/>
            <w:b/>
            <w:bCs/>
            <w:color w:val="660033"/>
            <w:sz w:val="20"/>
            <w:szCs w:val="20"/>
            <w:lang w:val="es-ES"/>
          </w:rPr>
          <w:fldChar w:fldCharType="separate"/>
        </w:r>
        <w:r w:rsidR="00295F02">
          <w:rPr>
            <w:rFonts w:ascii="Century Gothic" w:hAnsi="Century Gothic"/>
            <w:b/>
            <w:bCs/>
            <w:noProof/>
            <w:color w:val="660033"/>
            <w:sz w:val="20"/>
            <w:szCs w:val="20"/>
            <w:lang w:val="es-ES"/>
          </w:rPr>
          <w:t>12</w:t>
        </w:r>
        <w:r w:rsidRPr="00DD2223">
          <w:rPr>
            <w:rFonts w:ascii="Century Gothic" w:hAnsi="Century Gothic"/>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5A10" w14:textId="77777777" w:rsidR="001C0968" w:rsidRDefault="001C0968" w:rsidP="00FC3DB5">
      <w:r>
        <w:separator/>
      </w:r>
    </w:p>
  </w:footnote>
  <w:footnote w:type="continuationSeparator" w:id="0">
    <w:p w14:paraId="24154834" w14:textId="77777777" w:rsidR="001C0968" w:rsidRDefault="001C0968" w:rsidP="00FC3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865DA" w:rsidRPr="00070D95" w14:paraId="26EFFD5B" w14:textId="77777777" w:rsidTr="004938FE">
      <w:tc>
        <w:tcPr>
          <w:tcW w:w="1418" w:type="dxa"/>
        </w:tcPr>
        <w:p w14:paraId="4626D95E" w14:textId="77777777" w:rsidR="00C865DA" w:rsidRPr="00070D95" w:rsidRDefault="00C865DA" w:rsidP="00C865DA">
          <w:pPr>
            <w:pStyle w:val="Encabezado"/>
            <w:ind w:left="-170"/>
            <w:jc w:val="left"/>
            <w:rPr>
              <w:rFonts w:ascii="Arial" w:hAnsi="Arial"/>
            </w:rPr>
          </w:pPr>
          <w:r w:rsidRPr="00070D95">
            <w:rPr>
              <w:rFonts w:ascii="Arial" w:hAnsi="Arial"/>
              <w:b/>
              <w:noProof/>
              <w:sz w:val="32"/>
              <w:lang w:eastAsia="es-MX"/>
            </w:rPr>
            <w:drawing>
              <wp:inline distT="0" distB="0" distL="0" distR="0" wp14:anchorId="18BBEE1E" wp14:editId="7CAAA1A1">
                <wp:extent cx="1014331" cy="1199403"/>
                <wp:effectExtent l="0" t="0" r="0" b="1270"/>
                <wp:docPr id="499554662" name="Imagen 49955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B6DC549" w14:textId="77777777" w:rsidR="00C865DA" w:rsidRPr="00070D95" w:rsidRDefault="00C865DA" w:rsidP="00C865DA">
          <w:pPr>
            <w:pStyle w:val="Encabezado"/>
            <w:spacing w:before="720"/>
            <w:ind w:left="0"/>
            <w:jc w:val="center"/>
            <w:rPr>
              <w:rFonts w:ascii="Arial" w:hAnsi="Arial"/>
              <w:b/>
              <w:bCs/>
              <w:sz w:val="25"/>
              <w:szCs w:val="25"/>
            </w:rPr>
          </w:pPr>
          <w:r w:rsidRPr="00070D95">
            <w:rPr>
              <w:rFonts w:ascii="Arial" w:hAnsi="Arial"/>
              <w:b/>
              <w:bCs/>
              <w:sz w:val="25"/>
              <w:szCs w:val="25"/>
            </w:rPr>
            <w:t>INSTITUTO ELECTORAL Y DE PARTICIPACIÓN CIUDADANA DE TABASCO</w:t>
          </w:r>
        </w:p>
        <w:p w14:paraId="1D366F11" w14:textId="77777777" w:rsidR="00C865DA" w:rsidRPr="00070D95" w:rsidRDefault="009F41D1" w:rsidP="00C865DA">
          <w:pPr>
            <w:pStyle w:val="Encabezado"/>
            <w:ind w:left="0"/>
            <w:jc w:val="center"/>
            <w:rPr>
              <w:rFonts w:ascii="Arial" w:hAnsi="Arial"/>
              <w:sz w:val="25"/>
              <w:szCs w:val="25"/>
            </w:rPr>
          </w:pPr>
          <w:r w:rsidRPr="00070D95">
            <w:rPr>
              <w:rFonts w:ascii="Arial" w:hAnsi="Arial"/>
              <w:sz w:val="25"/>
              <w:szCs w:val="25"/>
            </w:rPr>
            <w:t>JUNTA</w:t>
          </w:r>
          <w:r w:rsidR="00C865DA" w:rsidRPr="00070D95">
            <w:rPr>
              <w:rFonts w:ascii="Arial" w:hAnsi="Arial"/>
              <w:sz w:val="25"/>
              <w:szCs w:val="25"/>
            </w:rPr>
            <w:t xml:space="preserve"> ESTATAL</w:t>
          </w:r>
          <w:r w:rsidRPr="00070D95">
            <w:rPr>
              <w:rFonts w:ascii="Arial" w:hAnsi="Arial"/>
              <w:sz w:val="25"/>
              <w:szCs w:val="25"/>
            </w:rPr>
            <w:t xml:space="preserve"> EJECUTIVA</w:t>
          </w:r>
        </w:p>
      </w:tc>
      <w:tc>
        <w:tcPr>
          <w:tcW w:w="1701" w:type="dxa"/>
        </w:tcPr>
        <w:p w14:paraId="4C4FA815" w14:textId="77777777" w:rsidR="00C865DA" w:rsidRPr="00070D95" w:rsidRDefault="00C865DA" w:rsidP="00C865DA">
          <w:pPr>
            <w:pStyle w:val="Encabezado"/>
            <w:spacing w:before="480"/>
            <w:ind w:left="0"/>
            <w:rPr>
              <w:rFonts w:ascii="Arial" w:hAnsi="Arial"/>
            </w:rPr>
          </w:pPr>
          <w:r w:rsidRPr="00070D95">
            <w:rPr>
              <w:rFonts w:ascii="Arial" w:hAnsi="Arial"/>
              <w:noProof/>
              <w:lang w:eastAsia="es-MX"/>
            </w:rPr>
            <w:drawing>
              <wp:inline distT="0" distB="0" distL="0" distR="0" wp14:anchorId="39078830" wp14:editId="71006616">
                <wp:extent cx="921600" cy="756000"/>
                <wp:effectExtent l="0" t="0" r="0" b="6350"/>
                <wp:docPr id="32479837" name="Imagen 3247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FD749B9" w14:textId="7634F87C" w:rsidR="00C865DA" w:rsidRPr="00070D95" w:rsidRDefault="00982F88" w:rsidP="00982F88">
    <w:pPr>
      <w:pStyle w:val="Encabezado"/>
      <w:jc w:val="right"/>
      <w:rPr>
        <w:rFonts w:ascii="Arial" w:hAnsi="Arial"/>
        <w:b/>
      </w:rPr>
    </w:pPr>
    <w:r w:rsidRPr="00070D95">
      <w:rPr>
        <w:rFonts w:ascii="Arial" w:hAnsi="Arial"/>
        <w:b/>
      </w:rPr>
      <w:t>JEE/2023/</w:t>
    </w:r>
    <w:r w:rsidR="0070179B">
      <w:rPr>
        <w:rFonts w:ascii="Arial" w:hAnsi="Arial"/>
        <w:b/>
      </w:rPr>
      <w:t>008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982F88" w:rsidRPr="00CD4F78" w14:paraId="0E4DE677" w14:textId="77777777" w:rsidTr="007820F2">
      <w:tc>
        <w:tcPr>
          <w:tcW w:w="1418" w:type="dxa"/>
        </w:tcPr>
        <w:p w14:paraId="17A78003" w14:textId="77777777" w:rsidR="00982F88" w:rsidRPr="00CD4F78" w:rsidRDefault="00982F88" w:rsidP="00982F88">
          <w:pPr>
            <w:pStyle w:val="Encabezado"/>
            <w:ind w:left="-170"/>
            <w:jc w:val="left"/>
            <w:rPr>
              <w:rFonts w:ascii="Arial" w:hAnsi="Arial"/>
            </w:rPr>
          </w:pPr>
          <w:r w:rsidRPr="00CD4F78">
            <w:rPr>
              <w:rFonts w:ascii="Arial" w:hAnsi="Arial"/>
              <w:b/>
              <w:noProof/>
              <w:sz w:val="32"/>
              <w:lang w:eastAsia="es-MX"/>
            </w:rPr>
            <w:drawing>
              <wp:inline distT="0" distB="0" distL="0" distR="0" wp14:anchorId="5D8F0BC4" wp14:editId="53C3424E">
                <wp:extent cx="1014331" cy="1199403"/>
                <wp:effectExtent l="0" t="0" r="0" b="1270"/>
                <wp:docPr id="539795363" name="Imagen 53979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FE6A751" w14:textId="77777777" w:rsidR="00982F88" w:rsidRPr="0070179B" w:rsidRDefault="00982F88" w:rsidP="00982F88">
          <w:pPr>
            <w:pStyle w:val="Encabezado"/>
            <w:spacing w:before="720"/>
            <w:ind w:left="0"/>
            <w:jc w:val="center"/>
            <w:rPr>
              <w:rFonts w:ascii="Arial" w:hAnsi="Arial"/>
              <w:b/>
              <w:bCs/>
              <w:sz w:val="24"/>
              <w:szCs w:val="24"/>
            </w:rPr>
          </w:pPr>
          <w:r w:rsidRPr="0070179B">
            <w:rPr>
              <w:rFonts w:ascii="Arial" w:hAnsi="Arial"/>
              <w:b/>
              <w:bCs/>
              <w:sz w:val="24"/>
              <w:szCs w:val="24"/>
            </w:rPr>
            <w:t>INSTITUTO ELECTORAL Y DE PARTICIPACIÓN CIUDADANA DE TABASCO</w:t>
          </w:r>
        </w:p>
        <w:p w14:paraId="1EAD990F" w14:textId="77777777" w:rsidR="00982F88" w:rsidRPr="00CD4F78" w:rsidRDefault="00982F88" w:rsidP="00982F88">
          <w:pPr>
            <w:pStyle w:val="Encabezado"/>
            <w:ind w:left="0"/>
            <w:jc w:val="center"/>
            <w:rPr>
              <w:rFonts w:ascii="Arial" w:hAnsi="Arial"/>
              <w:sz w:val="25"/>
              <w:szCs w:val="25"/>
            </w:rPr>
          </w:pPr>
          <w:r w:rsidRPr="0070179B">
            <w:rPr>
              <w:rFonts w:ascii="Arial" w:hAnsi="Arial"/>
              <w:sz w:val="24"/>
              <w:szCs w:val="24"/>
            </w:rPr>
            <w:t>JUNTA ESTATAL EJECUTIVA</w:t>
          </w:r>
        </w:p>
      </w:tc>
      <w:tc>
        <w:tcPr>
          <w:tcW w:w="1701" w:type="dxa"/>
        </w:tcPr>
        <w:p w14:paraId="04D584A2" w14:textId="77777777" w:rsidR="00982F88" w:rsidRPr="00CD4F78" w:rsidRDefault="00982F88" w:rsidP="00982F88">
          <w:pPr>
            <w:pStyle w:val="Encabezado"/>
            <w:spacing w:before="480"/>
            <w:ind w:left="0"/>
            <w:rPr>
              <w:rFonts w:ascii="Arial" w:hAnsi="Arial"/>
            </w:rPr>
          </w:pPr>
          <w:r w:rsidRPr="00CD4F78">
            <w:rPr>
              <w:rFonts w:ascii="Arial" w:hAnsi="Arial"/>
              <w:noProof/>
              <w:lang w:eastAsia="es-MX"/>
            </w:rPr>
            <w:drawing>
              <wp:inline distT="0" distB="0" distL="0" distR="0" wp14:anchorId="04D39DF4" wp14:editId="455F5788">
                <wp:extent cx="921600" cy="756000"/>
                <wp:effectExtent l="0" t="0" r="0" b="6350"/>
                <wp:docPr id="1234600289" name="Imagen 12346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6356DAD" w14:textId="77777777" w:rsidR="00982F88" w:rsidRPr="00CD4F78" w:rsidRDefault="00982F88">
    <w:pPr>
      <w:pStyle w:val="Encabezad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4B7"/>
    <w:multiLevelType w:val="multilevel"/>
    <w:tmpl w:val="0238666C"/>
    <w:lvl w:ilvl="0">
      <w:start w:val="1"/>
      <w:numFmt w:val="decimal"/>
      <w:pStyle w:val="Ttulo1"/>
      <w:lvlText w:val="%1"/>
      <w:lvlJc w:val="left"/>
      <w:pPr>
        <w:ind w:left="432" w:hanging="432"/>
      </w:pPr>
      <w:rPr>
        <w:w w:val="100"/>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345790"/>
    <w:multiLevelType w:val="hybridMultilevel"/>
    <w:tmpl w:val="77244670"/>
    <w:lvl w:ilvl="0" w:tplc="C6F8D5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562169"/>
    <w:multiLevelType w:val="hybridMultilevel"/>
    <w:tmpl w:val="0304FEF6"/>
    <w:lvl w:ilvl="0" w:tplc="FB5E0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EB6536"/>
    <w:multiLevelType w:val="hybridMultilevel"/>
    <w:tmpl w:val="299CD416"/>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4" w15:restartNumberingAfterBreak="0">
    <w:nsid w:val="593D3B75"/>
    <w:multiLevelType w:val="hybridMultilevel"/>
    <w:tmpl w:val="51405B16"/>
    <w:lvl w:ilvl="0" w:tplc="9692D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5574EB"/>
    <w:multiLevelType w:val="hybridMultilevel"/>
    <w:tmpl w:val="BB52C406"/>
    <w:lvl w:ilvl="0" w:tplc="8742691C">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BB"/>
    <w:rsid w:val="00003A2B"/>
    <w:rsid w:val="00015307"/>
    <w:rsid w:val="000202AF"/>
    <w:rsid w:val="00025400"/>
    <w:rsid w:val="0003105E"/>
    <w:rsid w:val="00036ECB"/>
    <w:rsid w:val="0004307E"/>
    <w:rsid w:val="000434BA"/>
    <w:rsid w:val="00061008"/>
    <w:rsid w:val="00070D95"/>
    <w:rsid w:val="000761CC"/>
    <w:rsid w:val="000774B5"/>
    <w:rsid w:val="000807E6"/>
    <w:rsid w:val="00081071"/>
    <w:rsid w:val="000841C1"/>
    <w:rsid w:val="00086E43"/>
    <w:rsid w:val="0009150A"/>
    <w:rsid w:val="000A3368"/>
    <w:rsid w:val="000A5A3A"/>
    <w:rsid w:val="000A5F01"/>
    <w:rsid w:val="000B3AEB"/>
    <w:rsid w:val="000E2EB9"/>
    <w:rsid w:val="000E630B"/>
    <w:rsid w:val="000F5716"/>
    <w:rsid w:val="001025B1"/>
    <w:rsid w:val="00103049"/>
    <w:rsid w:val="00103A96"/>
    <w:rsid w:val="00106095"/>
    <w:rsid w:val="00106A16"/>
    <w:rsid w:val="0011414A"/>
    <w:rsid w:val="00122CF8"/>
    <w:rsid w:val="0012697D"/>
    <w:rsid w:val="00127227"/>
    <w:rsid w:val="001315D4"/>
    <w:rsid w:val="00131B30"/>
    <w:rsid w:val="00132D5E"/>
    <w:rsid w:val="00142267"/>
    <w:rsid w:val="001456B8"/>
    <w:rsid w:val="00150671"/>
    <w:rsid w:val="00150CE3"/>
    <w:rsid w:val="00152E16"/>
    <w:rsid w:val="00160B9C"/>
    <w:rsid w:val="00160CBE"/>
    <w:rsid w:val="00161695"/>
    <w:rsid w:val="001677B5"/>
    <w:rsid w:val="00173BBC"/>
    <w:rsid w:val="00176188"/>
    <w:rsid w:val="001778F3"/>
    <w:rsid w:val="001B042A"/>
    <w:rsid w:val="001B28CB"/>
    <w:rsid w:val="001B521F"/>
    <w:rsid w:val="001B630A"/>
    <w:rsid w:val="001C0968"/>
    <w:rsid w:val="001C5279"/>
    <w:rsid w:val="001C75AE"/>
    <w:rsid w:val="001E5E75"/>
    <w:rsid w:val="001E6B93"/>
    <w:rsid w:val="001F3CBC"/>
    <w:rsid w:val="001F58CF"/>
    <w:rsid w:val="001F6A42"/>
    <w:rsid w:val="00207C0B"/>
    <w:rsid w:val="002246C9"/>
    <w:rsid w:val="00234469"/>
    <w:rsid w:val="00244FC0"/>
    <w:rsid w:val="0024516D"/>
    <w:rsid w:val="00257063"/>
    <w:rsid w:val="00274F3C"/>
    <w:rsid w:val="002829FE"/>
    <w:rsid w:val="00287716"/>
    <w:rsid w:val="00295F02"/>
    <w:rsid w:val="002B085B"/>
    <w:rsid w:val="002B4A96"/>
    <w:rsid w:val="002C3EA8"/>
    <w:rsid w:val="002D4874"/>
    <w:rsid w:val="002D6C18"/>
    <w:rsid w:val="002E5DA9"/>
    <w:rsid w:val="002F4184"/>
    <w:rsid w:val="002F4BBD"/>
    <w:rsid w:val="00301FAB"/>
    <w:rsid w:val="00322CDC"/>
    <w:rsid w:val="00325450"/>
    <w:rsid w:val="003279DD"/>
    <w:rsid w:val="003307CC"/>
    <w:rsid w:val="00334878"/>
    <w:rsid w:val="00335ED4"/>
    <w:rsid w:val="0034692E"/>
    <w:rsid w:val="00351283"/>
    <w:rsid w:val="003621C4"/>
    <w:rsid w:val="0036359F"/>
    <w:rsid w:val="003635AB"/>
    <w:rsid w:val="00365D98"/>
    <w:rsid w:val="0036610B"/>
    <w:rsid w:val="003718AB"/>
    <w:rsid w:val="00371927"/>
    <w:rsid w:val="003744C7"/>
    <w:rsid w:val="00380BAC"/>
    <w:rsid w:val="003925DA"/>
    <w:rsid w:val="00393EA0"/>
    <w:rsid w:val="003A60EA"/>
    <w:rsid w:val="003B2D6E"/>
    <w:rsid w:val="003B7FF6"/>
    <w:rsid w:val="003C01C3"/>
    <w:rsid w:val="003D1BA4"/>
    <w:rsid w:val="003E1955"/>
    <w:rsid w:val="003E6A3C"/>
    <w:rsid w:val="003F3D08"/>
    <w:rsid w:val="004026F8"/>
    <w:rsid w:val="00402D95"/>
    <w:rsid w:val="004068A5"/>
    <w:rsid w:val="004139A5"/>
    <w:rsid w:val="00414D2F"/>
    <w:rsid w:val="004256A6"/>
    <w:rsid w:val="00427C14"/>
    <w:rsid w:val="004338D2"/>
    <w:rsid w:val="00437535"/>
    <w:rsid w:val="004429CB"/>
    <w:rsid w:val="004479BE"/>
    <w:rsid w:val="00462624"/>
    <w:rsid w:val="00463F5D"/>
    <w:rsid w:val="004654DC"/>
    <w:rsid w:val="00472283"/>
    <w:rsid w:val="004825D2"/>
    <w:rsid w:val="004835A0"/>
    <w:rsid w:val="004845D4"/>
    <w:rsid w:val="0048775D"/>
    <w:rsid w:val="00490318"/>
    <w:rsid w:val="00496F41"/>
    <w:rsid w:val="004A1307"/>
    <w:rsid w:val="004A1A41"/>
    <w:rsid w:val="004A2A2A"/>
    <w:rsid w:val="004A45B8"/>
    <w:rsid w:val="004A769A"/>
    <w:rsid w:val="004C14E4"/>
    <w:rsid w:val="004C421D"/>
    <w:rsid w:val="004C610B"/>
    <w:rsid w:val="004E0774"/>
    <w:rsid w:val="004F1695"/>
    <w:rsid w:val="004F364D"/>
    <w:rsid w:val="004F42C7"/>
    <w:rsid w:val="00500A32"/>
    <w:rsid w:val="005054A8"/>
    <w:rsid w:val="00511AB2"/>
    <w:rsid w:val="00521B58"/>
    <w:rsid w:val="00524CCF"/>
    <w:rsid w:val="00525895"/>
    <w:rsid w:val="005277D8"/>
    <w:rsid w:val="005324FE"/>
    <w:rsid w:val="0053550D"/>
    <w:rsid w:val="00552EF1"/>
    <w:rsid w:val="00555BB4"/>
    <w:rsid w:val="00556D65"/>
    <w:rsid w:val="00565DBA"/>
    <w:rsid w:val="00572A3E"/>
    <w:rsid w:val="005755B5"/>
    <w:rsid w:val="00575FC1"/>
    <w:rsid w:val="005806E0"/>
    <w:rsid w:val="005964FE"/>
    <w:rsid w:val="005A6E65"/>
    <w:rsid w:val="005C265E"/>
    <w:rsid w:val="005C4A76"/>
    <w:rsid w:val="005C4E79"/>
    <w:rsid w:val="005D03DB"/>
    <w:rsid w:val="005D11BA"/>
    <w:rsid w:val="005D25BB"/>
    <w:rsid w:val="005E2EC4"/>
    <w:rsid w:val="005E45A4"/>
    <w:rsid w:val="005F0521"/>
    <w:rsid w:val="0060158E"/>
    <w:rsid w:val="0060690F"/>
    <w:rsid w:val="006123B8"/>
    <w:rsid w:val="00625432"/>
    <w:rsid w:val="00625872"/>
    <w:rsid w:val="00642926"/>
    <w:rsid w:val="006476D7"/>
    <w:rsid w:val="006513E6"/>
    <w:rsid w:val="00653A13"/>
    <w:rsid w:val="00661190"/>
    <w:rsid w:val="006641C3"/>
    <w:rsid w:val="00672A35"/>
    <w:rsid w:val="00677613"/>
    <w:rsid w:val="0068187F"/>
    <w:rsid w:val="00692367"/>
    <w:rsid w:val="006968C2"/>
    <w:rsid w:val="006A2721"/>
    <w:rsid w:val="006A2E63"/>
    <w:rsid w:val="006B2610"/>
    <w:rsid w:val="006B30EA"/>
    <w:rsid w:val="006B42F0"/>
    <w:rsid w:val="006B684C"/>
    <w:rsid w:val="006C3825"/>
    <w:rsid w:val="006D2C04"/>
    <w:rsid w:val="006D3A4C"/>
    <w:rsid w:val="006D580B"/>
    <w:rsid w:val="006F0DFD"/>
    <w:rsid w:val="006F34CF"/>
    <w:rsid w:val="0070179B"/>
    <w:rsid w:val="00707ECA"/>
    <w:rsid w:val="007102B8"/>
    <w:rsid w:val="00712AB7"/>
    <w:rsid w:val="00713FEB"/>
    <w:rsid w:val="00715822"/>
    <w:rsid w:val="007265C3"/>
    <w:rsid w:val="00726F6C"/>
    <w:rsid w:val="007316CC"/>
    <w:rsid w:val="00755638"/>
    <w:rsid w:val="0076329D"/>
    <w:rsid w:val="007666FB"/>
    <w:rsid w:val="00771B8B"/>
    <w:rsid w:val="00772BD4"/>
    <w:rsid w:val="007A65B6"/>
    <w:rsid w:val="007D102D"/>
    <w:rsid w:val="007D3C99"/>
    <w:rsid w:val="007E2A08"/>
    <w:rsid w:val="007E3354"/>
    <w:rsid w:val="007E6EC2"/>
    <w:rsid w:val="007F36D3"/>
    <w:rsid w:val="00815787"/>
    <w:rsid w:val="00817126"/>
    <w:rsid w:val="008249B9"/>
    <w:rsid w:val="008361D8"/>
    <w:rsid w:val="00844272"/>
    <w:rsid w:val="008653CD"/>
    <w:rsid w:val="008728D0"/>
    <w:rsid w:val="008760AF"/>
    <w:rsid w:val="00881634"/>
    <w:rsid w:val="008859BB"/>
    <w:rsid w:val="00892EDE"/>
    <w:rsid w:val="0089408C"/>
    <w:rsid w:val="00896A91"/>
    <w:rsid w:val="008B3184"/>
    <w:rsid w:val="008B407D"/>
    <w:rsid w:val="008B4308"/>
    <w:rsid w:val="008D09A6"/>
    <w:rsid w:val="008D5820"/>
    <w:rsid w:val="008E2228"/>
    <w:rsid w:val="008E2E5C"/>
    <w:rsid w:val="008E4E94"/>
    <w:rsid w:val="008E7E6C"/>
    <w:rsid w:val="008F29C2"/>
    <w:rsid w:val="0092335A"/>
    <w:rsid w:val="00925318"/>
    <w:rsid w:val="00931DB4"/>
    <w:rsid w:val="00933C48"/>
    <w:rsid w:val="00935F47"/>
    <w:rsid w:val="0094610D"/>
    <w:rsid w:val="009464A0"/>
    <w:rsid w:val="00960272"/>
    <w:rsid w:val="0097327E"/>
    <w:rsid w:val="00973AA2"/>
    <w:rsid w:val="00982F88"/>
    <w:rsid w:val="009A657B"/>
    <w:rsid w:val="009B0726"/>
    <w:rsid w:val="009B2BE3"/>
    <w:rsid w:val="009B52EF"/>
    <w:rsid w:val="009B61A5"/>
    <w:rsid w:val="009B6832"/>
    <w:rsid w:val="009C121F"/>
    <w:rsid w:val="009E3C17"/>
    <w:rsid w:val="009E7C58"/>
    <w:rsid w:val="009F2C84"/>
    <w:rsid w:val="009F41D1"/>
    <w:rsid w:val="00A00E1C"/>
    <w:rsid w:val="00A03DC1"/>
    <w:rsid w:val="00A20CF0"/>
    <w:rsid w:val="00A20E24"/>
    <w:rsid w:val="00A212D1"/>
    <w:rsid w:val="00A228A7"/>
    <w:rsid w:val="00A465FB"/>
    <w:rsid w:val="00A53765"/>
    <w:rsid w:val="00A61C52"/>
    <w:rsid w:val="00A70B33"/>
    <w:rsid w:val="00A74457"/>
    <w:rsid w:val="00A86E08"/>
    <w:rsid w:val="00A907A7"/>
    <w:rsid w:val="00A9160F"/>
    <w:rsid w:val="00A91C85"/>
    <w:rsid w:val="00A95C4A"/>
    <w:rsid w:val="00A97E99"/>
    <w:rsid w:val="00AA29F8"/>
    <w:rsid w:val="00AA50CC"/>
    <w:rsid w:val="00AA6669"/>
    <w:rsid w:val="00AB0D71"/>
    <w:rsid w:val="00AB1C30"/>
    <w:rsid w:val="00AB3AF3"/>
    <w:rsid w:val="00AC1328"/>
    <w:rsid w:val="00AC6193"/>
    <w:rsid w:val="00AC6B76"/>
    <w:rsid w:val="00AD2CCC"/>
    <w:rsid w:val="00AE5E58"/>
    <w:rsid w:val="00AF2167"/>
    <w:rsid w:val="00B03124"/>
    <w:rsid w:val="00B07914"/>
    <w:rsid w:val="00B11524"/>
    <w:rsid w:val="00B1252D"/>
    <w:rsid w:val="00B13DDD"/>
    <w:rsid w:val="00B20521"/>
    <w:rsid w:val="00B24DC6"/>
    <w:rsid w:val="00B373D0"/>
    <w:rsid w:val="00B4147D"/>
    <w:rsid w:val="00B51A20"/>
    <w:rsid w:val="00B524AC"/>
    <w:rsid w:val="00B55798"/>
    <w:rsid w:val="00B56538"/>
    <w:rsid w:val="00B61231"/>
    <w:rsid w:val="00B7306F"/>
    <w:rsid w:val="00B75995"/>
    <w:rsid w:val="00B9233D"/>
    <w:rsid w:val="00B9748E"/>
    <w:rsid w:val="00BA1002"/>
    <w:rsid w:val="00BB0C71"/>
    <w:rsid w:val="00BB7728"/>
    <w:rsid w:val="00BD22E8"/>
    <w:rsid w:val="00BD732B"/>
    <w:rsid w:val="00BD7E15"/>
    <w:rsid w:val="00BE5140"/>
    <w:rsid w:val="00BE5D19"/>
    <w:rsid w:val="00BE67F5"/>
    <w:rsid w:val="00BE6920"/>
    <w:rsid w:val="00BF03EC"/>
    <w:rsid w:val="00BF148F"/>
    <w:rsid w:val="00C00C32"/>
    <w:rsid w:val="00C12898"/>
    <w:rsid w:val="00C231E8"/>
    <w:rsid w:val="00C3367C"/>
    <w:rsid w:val="00C36B1B"/>
    <w:rsid w:val="00C61002"/>
    <w:rsid w:val="00C865DA"/>
    <w:rsid w:val="00C917FC"/>
    <w:rsid w:val="00C94FB8"/>
    <w:rsid w:val="00C95F0E"/>
    <w:rsid w:val="00C97993"/>
    <w:rsid w:val="00CA156D"/>
    <w:rsid w:val="00CB32D4"/>
    <w:rsid w:val="00CB36E0"/>
    <w:rsid w:val="00CC00EA"/>
    <w:rsid w:val="00CC1F22"/>
    <w:rsid w:val="00CC6134"/>
    <w:rsid w:val="00CD0782"/>
    <w:rsid w:val="00CD2519"/>
    <w:rsid w:val="00CD4F78"/>
    <w:rsid w:val="00CE1F37"/>
    <w:rsid w:val="00CF0D74"/>
    <w:rsid w:val="00CF4322"/>
    <w:rsid w:val="00CF6AF1"/>
    <w:rsid w:val="00D35D58"/>
    <w:rsid w:val="00D43C8C"/>
    <w:rsid w:val="00D459BC"/>
    <w:rsid w:val="00D57C36"/>
    <w:rsid w:val="00D632A0"/>
    <w:rsid w:val="00D63C93"/>
    <w:rsid w:val="00D73987"/>
    <w:rsid w:val="00D774B9"/>
    <w:rsid w:val="00D84BDA"/>
    <w:rsid w:val="00D96B68"/>
    <w:rsid w:val="00DA312B"/>
    <w:rsid w:val="00DD2223"/>
    <w:rsid w:val="00DD7630"/>
    <w:rsid w:val="00DE3540"/>
    <w:rsid w:val="00DE6595"/>
    <w:rsid w:val="00E03FC9"/>
    <w:rsid w:val="00E07437"/>
    <w:rsid w:val="00E107AB"/>
    <w:rsid w:val="00E14895"/>
    <w:rsid w:val="00E16827"/>
    <w:rsid w:val="00E17E9C"/>
    <w:rsid w:val="00E25410"/>
    <w:rsid w:val="00E27225"/>
    <w:rsid w:val="00E368D0"/>
    <w:rsid w:val="00E66383"/>
    <w:rsid w:val="00E6775C"/>
    <w:rsid w:val="00E67D47"/>
    <w:rsid w:val="00E75FC9"/>
    <w:rsid w:val="00E808A0"/>
    <w:rsid w:val="00E8164D"/>
    <w:rsid w:val="00E87384"/>
    <w:rsid w:val="00E96AA5"/>
    <w:rsid w:val="00EA2DFD"/>
    <w:rsid w:val="00EB45B6"/>
    <w:rsid w:val="00ED603D"/>
    <w:rsid w:val="00ED7E9C"/>
    <w:rsid w:val="00EE3403"/>
    <w:rsid w:val="00EE500E"/>
    <w:rsid w:val="00EF4214"/>
    <w:rsid w:val="00F169C2"/>
    <w:rsid w:val="00F23F56"/>
    <w:rsid w:val="00F30CC2"/>
    <w:rsid w:val="00F41AF6"/>
    <w:rsid w:val="00F479D1"/>
    <w:rsid w:val="00F52327"/>
    <w:rsid w:val="00F5781C"/>
    <w:rsid w:val="00F57E87"/>
    <w:rsid w:val="00F70B5B"/>
    <w:rsid w:val="00F71B64"/>
    <w:rsid w:val="00F71D9A"/>
    <w:rsid w:val="00F742FC"/>
    <w:rsid w:val="00F919B8"/>
    <w:rsid w:val="00F93365"/>
    <w:rsid w:val="00F959E4"/>
    <w:rsid w:val="00FA007A"/>
    <w:rsid w:val="00FB54CB"/>
    <w:rsid w:val="00FC3DB5"/>
    <w:rsid w:val="00FD1F2C"/>
    <w:rsid w:val="00FE2F6C"/>
    <w:rsid w:val="00FE63DB"/>
    <w:rsid w:val="00FE6E11"/>
    <w:rsid w:val="00FF6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E03"/>
  <w15:chartTrackingRefBased/>
  <w15:docId w15:val="{DAEF3E44-77DB-4311-8592-255DE130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B5"/>
    <w:pPr>
      <w:spacing w:after="0" w:line="312" w:lineRule="auto"/>
      <w:ind w:left="510"/>
      <w:jc w:val="both"/>
    </w:pPr>
    <w:rPr>
      <w:rFonts w:ascii="Calisto MT" w:hAnsi="Calisto MT" w:cs="Arial"/>
    </w:rPr>
  </w:style>
  <w:style w:type="paragraph" w:styleId="Ttulo1">
    <w:name w:val="heading 1"/>
    <w:basedOn w:val="Normal"/>
    <w:next w:val="Normal"/>
    <w:link w:val="Ttulo1Car"/>
    <w:uiPriority w:val="9"/>
    <w:qFormat/>
    <w:rsid w:val="00625432"/>
    <w:pPr>
      <w:numPr>
        <w:numId w:val="4"/>
      </w:numPr>
      <w:spacing w:before="720" w:after="240" w:line="293" w:lineRule="auto"/>
      <w:jc w:val="center"/>
      <w:outlineLvl w:val="0"/>
    </w:pPr>
    <w:rPr>
      <w:rFonts w:ascii="Century Gothic" w:hAnsi="Century Gothic"/>
      <w:b/>
      <w:sz w:val="28"/>
      <w:szCs w:val="23"/>
    </w:rPr>
  </w:style>
  <w:style w:type="paragraph" w:styleId="Ttulo2">
    <w:name w:val="heading 2"/>
    <w:basedOn w:val="Normal"/>
    <w:next w:val="Normal"/>
    <w:link w:val="Ttulo2Car"/>
    <w:uiPriority w:val="9"/>
    <w:unhideWhenUsed/>
    <w:qFormat/>
    <w:rsid w:val="00176188"/>
    <w:pPr>
      <w:numPr>
        <w:ilvl w:val="1"/>
        <w:numId w:val="4"/>
      </w:numPr>
      <w:spacing w:before="240" w:line="293" w:lineRule="auto"/>
      <w:ind w:left="510" w:hanging="510"/>
      <w:outlineLvl w:val="1"/>
    </w:pPr>
    <w:rPr>
      <w:rFonts w:ascii="Century Gothic" w:hAnsi="Century Gothic"/>
      <w:b/>
      <w:bCs/>
      <w:sz w:val="23"/>
      <w:szCs w:val="23"/>
    </w:rPr>
  </w:style>
  <w:style w:type="paragraph" w:styleId="Ttulo3">
    <w:name w:val="heading 3"/>
    <w:basedOn w:val="Normal"/>
    <w:next w:val="Normal"/>
    <w:link w:val="Ttulo3Car"/>
    <w:uiPriority w:val="9"/>
    <w:semiHidden/>
    <w:unhideWhenUsed/>
    <w:qFormat/>
    <w:rsid w:val="005C265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C265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5C265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C265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C265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C265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265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5432"/>
    <w:rPr>
      <w:rFonts w:ascii="Century Gothic" w:hAnsi="Century Gothic" w:cs="Arial"/>
      <w:b/>
      <w:sz w:val="28"/>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1B521F"/>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B521F"/>
    <w:rPr>
      <w:rFonts w:ascii="Arial" w:hAnsi="Arial" w:cs="Arial"/>
      <w:sz w:val="24"/>
    </w:rPr>
  </w:style>
  <w:style w:type="paragraph" w:styleId="Cita">
    <w:name w:val="Quote"/>
    <w:basedOn w:val="Normal"/>
    <w:next w:val="Normal"/>
    <w:link w:val="CitaCar"/>
    <w:uiPriority w:val="29"/>
    <w:qFormat/>
    <w:rsid w:val="006D2C04"/>
    <w:pPr>
      <w:spacing w:before="200" w:after="160" w:line="293" w:lineRule="auto"/>
      <w:ind w:left="1021" w:right="510"/>
    </w:pPr>
    <w:rPr>
      <w:rFonts w:ascii="Century Gothic" w:hAnsi="Century Gothic"/>
      <w:sz w:val="20"/>
      <w:szCs w:val="23"/>
    </w:rPr>
  </w:style>
  <w:style w:type="character" w:customStyle="1" w:styleId="CitaCar">
    <w:name w:val="Cita Car"/>
    <w:basedOn w:val="Fuentedeprrafopredeter"/>
    <w:link w:val="Cita"/>
    <w:uiPriority w:val="29"/>
    <w:rsid w:val="006D2C04"/>
    <w:rPr>
      <w:rFonts w:ascii="Century Gothic" w:hAnsi="Century Gothic" w:cs="Arial"/>
      <w:sz w:val="20"/>
      <w:szCs w:val="23"/>
    </w:rPr>
  </w:style>
  <w:style w:type="paragraph" w:styleId="Encabezado">
    <w:name w:val="header"/>
    <w:basedOn w:val="Normal"/>
    <w:link w:val="EncabezadoCar"/>
    <w:uiPriority w:val="99"/>
    <w:unhideWhenUsed/>
    <w:rsid w:val="001B04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042A"/>
    <w:rPr>
      <w:rFonts w:ascii="Arial" w:hAnsi="Arial" w:cs="Arial"/>
      <w:sz w:val="24"/>
    </w:rPr>
  </w:style>
  <w:style w:type="paragraph" w:styleId="Piedepgina">
    <w:name w:val="footer"/>
    <w:basedOn w:val="Normal"/>
    <w:link w:val="PiedepginaCar"/>
    <w:uiPriority w:val="99"/>
    <w:unhideWhenUsed/>
    <w:rsid w:val="001B04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042A"/>
    <w:rPr>
      <w:rFonts w:ascii="Arial" w:hAnsi="Arial" w:cs="Arial"/>
      <w:sz w:val="24"/>
    </w:rPr>
  </w:style>
  <w:style w:type="table" w:styleId="Tablaconcuadrcula">
    <w:name w:val="Table Grid"/>
    <w:basedOn w:val="Tablanormal"/>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o">
    <w:name w:val="Rubro"/>
    <w:basedOn w:val="Normal"/>
    <w:link w:val="RubroCar"/>
    <w:qFormat/>
    <w:rsid w:val="005E2EC4"/>
    <w:rPr>
      <w:rFonts w:ascii="Century Gothic" w:hAnsi="Century Gothic"/>
      <w:b/>
    </w:rPr>
  </w:style>
  <w:style w:type="character" w:customStyle="1" w:styleId="Ttulo2Car">
    <w:name w:val="Título 2 Car"/>
    <w:basedOn w:val="Fuentedeprrafopredeter"/>
    <w:link w:val="Ttulo2"/>
    <w:uiPriority w:val="9"/>
    <w:rsid w:val="00176188"/>
    <w:rPr>
      <w:rFonts w:ascii="Century Gothic" w:hAnsi="Century Gothic" w:cs="Arial"/>
      <w:b/>
      <w:bCs/>
      <w:sz w:val="23"/>
      <w:szCs w:val="23"/>
    </w:rPr>
  </w:style>
  <w:style w:type="character" w:customStyle="1" w:styleId="RubroCar">
    <w:name w:val="Rubro Car"/>
    <w:basedOn w:val="Fuentedeprrafopredeter"/>
    <w:link w:val="Rubro"/>
    <w:rsid w:val="005E2EC4"/>
    <w:rPr>
      <w:rFonts w:ascii="Century Gothic" w:hAnsi="Century Gothic" w:cs="Arial"/>
      <w:b/>
      <w:sz w:val="24"/>
    </w:rPr>
  </w:style>
  <w:style w:type="character" w:customStyle="1" w:styleId="Ttulo3Car">
    <w:name w:val="Título 3 Car"/>
    <w:basedOn w:val="Fuentedeprrafopredeter"/>
    <w:link w:val="Ttulo3"/>
    <w:uiPriority w:val="9"/>
    <w:semiHidden/>
    <w:rsid w:val="005C265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5C265E"/>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5C265E"/>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5C265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C265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5C265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265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A228A7"/>
    <w:rPr>
      <w:color w:val="0000FF" w:themeColor="hyperlink"/>
      <w:u w:val="single"/>
    </w:rPr>
  </w:style>
  <w:style w:type="paragraph" w:styleId="Textodeglobo">
    <w:name w:val="Balloon Text"/>
    <w:basedOn w:val="Normal"/>
    <w:link w:val="TextodegloboCar"/>
    <w:uiPriority w:val="99"/>
    <w:semiHidden/>
    <w:unhideWhenUsed/>
    <w:rsid w:val="000915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2C63-E480-4259-BAAB-AE24F293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3322</Words>
  <Characters>18272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7</cp:revision>
  <cp:lastPrinted>2023-06-02T20:52:00Z</cp:lastPrinted>
  <dcterms:created xsi:type="dcterms:W3CDTF">2023-06-02T17:52:00Z</dcterms:created>
  <dcterms:modified xsi:type="dcterms:W3CDTF">2023-06-02T20:53:00Z</dcterms:modified>
</cp:coreProperties>
</file>