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4C12C" w14:textId="0A0937EE" w:rsidR="00CB1C40" w:rsidRDefault="00BA41A9" w:rsidP="00BA41A9">
      <w:pPr>
        <w:spacing w:after="0" w:line="281" w:lineRule="auto"/>
        <w:jc w:val="both"/>
        <w:rPr>
          <w:rFonts w:ascii="Arial" w:hAnsi="Arial" w:cs="Arial"/>
          <w:b/>
          <w:sz w:val="24"/>
          <w:szCs w:val="24"/>
        </w:rPr>
      </w:pPr>
      <w:r w:rsidRPr="00BA41A9">
        <w:rPr>
          <w:rFonts w:ascii="Arial" w:hAnsi="Arial" w:cs="Arial"/>
          <w:b/>
          <w:sz w:val="24"/>
          <w:szCs w:val="24"/>
        </w:rPr>
        <w:t>ACUERDO QUE, A PROPUESTA DE LA SECRETARÍA EJECUTIVA, EMITE LA JUNTA ESTATAL EJECUTIVA MEDIANTE EL CUAL DETERMINA EL IMPORTE PARA EL PAGO MENSUAL DE GASTOS DE CAMPO PARA LOS SUPERVISORES Y CAPACITADORES ASISTENTES ELECTORALES LOCALES CON MOTIVO DEL PROCESO ELECTORAL LOCAL ORDINARIO 2023 – 2024</w:t>
      </w:r>
    </w:p>
    <w:p w14:paraId="1EB34BFA" w14:textId="0023FFC8" w:rsidR="00BA41A9" w:rsidRDefault="00BA41A9" w:rsidP="00BA41A9">
      <w:pPr>
        <w:spacing w:after="0" w:line="281" w:lineRule="auto"/>
        <w:jc w:val="both"/>
        <w:rPr>
          <w:rFonts w:ascii="Arial" w:hAnsi="Arial" w:cs="Arial"/>
          <w:b/>
          <w:sz w:val="24"/>
          <w:szCs w:val="24"/>
        </w:rPr>
      </w:pPr>
    </w:p>
    <w:p w14:paraId="001857D4" w14:textId="77777777" w:rsidR="00BA41A9" w:rsidRDefault="00BA41A9" w:rsidP="00BA41A9">
      <w:pPr>
        <w:spacing w:after="0" w:line="281" w:lineRule="auto"/>
        <w:jc w:val="both"/>
        <w:rPr>
          <w:rFonts w:ascii="Arial" w:hAnsi="Arial" w:cs="Arial"/>
          <w:b/>
          <w:sz w:val="24"/>
          <w:szCs w:val="24"/>
        </w:rPr>
      </w:pPr>
    </w:p>
    <w:p w14:paraId="71B1BA78" w14:textId="50597BA8" w:rsidR="00BA41A9" w:rsidRDefault="00D74C2B" w:rsidP="00BA41A9">
      <w:pPr>
        <w:spacing w:after="0" w:line="281" w:lineRule="auto"/>
        <w:jc w:val="both"/>
        <w:rPr>
          <w:rFonts w:ascii="Arial" w:hAnsi="Arial" w:cs="Arial"/>
          <w:sz w:val="23"/>
          <w:szCs w:val="23"/>
        </w:rPr>
      </w:pPr>
      <w:r w:rsidRPr="00BA41A9">
        <w:rPr>
          <w:rFonts w:ascii="Arial" w:hAnsi="Arial" w:cs="Arial"/>
          <w:sz w:val="23"/>
          <w:szCs w:val="23"/>
        </w:rPr>
        <w:t>Para efectos del presente acuerdo se usarán las abreviaturas y definiciones siguientes:</w:t>
      </w:r>
    </w:p>
    <w:p w14:paraId="13E9C6BB" w14:textId="77777777" w:rsidR="00BA41A9" w:rsidRPr="00BA41A9" w:rsidRDefault="00BA41A9" w:rsidP="00BA41A9">
      <w:pPr>
        <w:spacing w:after="0" w:line="281" w:lineRule="auto"/>
        <w:jc w:val="both"/>
        <w:rPr>
          <w:rFonts w:ascii="Arial" w:hAnsi="Arial" w:cs="Arial"/>
          <w:sz w:val="23"/>
          <w:szCs w:val="23"/>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D74C2B" w:rsidRPr="00BA41A9" w14:paraId="61D4845A" w14:textId="77777777" w:rsidTr="00B85D2E">
        <w:trPr>
          <w:trHeight w:val="624"/>
          <w:jc w:val="center"/>
        </w:trPr>
        <w:tc>
          <w:tcPr>
            <w:tcW w:w="2042" w:type="pct"/>
            <w:shd w:val="clear" w:color="auto" w:fill="auto"/>
            <w:vAlign w:val="center"/>
          </w:tcPr>
          <w:p w14:paraId="4FF536C6"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Consejo Estatal:</w:t>
            </w:r>
          </w:p>
        </w:tc>
        <w:tc>
          <w:tcPr>
            <w:tcW w:w="2958" w:type="pct"/>
            <w:shd w:val="clear" w:color="auto" w:fill="auto"/>
            <w:vAlign w:val="center"/>
          </w:tcPr>
          <w:p w14:paraId="0D4316F6"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Consejo Estatal del Instituto Electoral y de Participación Ciudadana de Tabasco.</w:t>
            </w:r>
          </w:p>
        </w:tc>
      </w:tr>
      <w:tr w:rsidR="00D74C2B" w:rsidRPr="00BA41A9" w14:paraId="5D38E96E" w14:textId="77777777" w:rsidTr="00B85D2E">
        <w:trPr>
          <w:trHeight w:val="624"/>
          <w:jc w:val="center"/>
        </w:trPr>
        <w:tc>
          <w:tcPr>
            <w:tcW w:w="2042" w:type="pct"/>
            <w:shd w:val="clear" w:color="auto" w:fill="auto"/>
            <w:vAlign w:val="center"/>
          </w:tcPr>
          <w:p w14:paraId="30E6583F"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Constitución Federal:</w:t>
            </w:r>
          </w:p>
        </w:tc>
        <w:tc>
          <w:tcPr>
            <w:tcW w:w="2958" w:type="pct"/>
            <w:shd w:val="clear" w:color="auto" w:fill="auto"/>
            <w:vAlign w:val="center"/>
          </w:tcPr>
          <w:p w14:paraId="0FD443C7"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Constitución Política de los Estados Unidos Mexicanos.</w:t>
            </w:r>
          </w:p>
        </w:tc>
      </w:tr>
      <w:tr w:rsidR="00D74C2B" w:rsidRPr="00BA41A9" w14:paraId="748365DD" w14:textId="77777777" w:rsidTr="00B85D2E">
        <w:trPr>
          <w:trHeight w:val="624"/>
          <w:jc w:val="center"/>
        </w:trPr>
        <w:tc>
          <w:tcPr>
            <w:tcW w:w="2042" w:type="pct"/>
            <w:shd w:val="clear" w:color="auto" w:fill="auto"/>
            <w:vAlign w:val="center"/>
          </w:tcPr>
          <w:p w14:paraId="6B600D61"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Constitución Local:</w:t>
            </w:r>
          </w:p>
        </w:tc>
        <w:tc>
          <w:tcPr>
            <w:tcW w:w="2958" w:type="pct"/>
            <w:shd w:val="clear" w:color="auto" w:fill="auto"/>
            <w:vAlign w:val="center"/>
          </w:tcPr>
          <w:p w14:paraId="5EEE3C12"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Constitución Política del Estado Libre y Soberano de Tabasco.</w:t>
            </w:r>
          </w:p>
        </w:tc>
      </w:tr>
      <w:tr w:rsidR="00D74C2B" w:rsidRPr="00BA41A9" w14:paraId="6F6AE1CE" w14:textId="77777777" w:rsidTr="00B85D2E">
        <w:trPr>
          <w:trHeight w:val="624"/>
          <w:jc w:val="center"/>
        </w:trPr>
        <w:tc>
          <w:tcPr>
            <w:tcW w:w="2042" w:type="pct"/>
            <w:shd w:val="clear" w:color="auto" w:fill="auto"/>
            <w:vAlign w:val="center"/>
          </w:tcPr>
          <w:p w14:paraId="6FE7BBA1"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INE:</w:t>
            </w:r>
          </w:p>
        </w:tc>
        <w:tc>
          <w:tcPr>
            <w:tcW w:w="2958" w:type="pct"/>
            <w:shd w:val="clear" w:color="auto" w:fill="auto"/>
            <w:vAlign w:val="center"/>
          </w:tcPr>
          <w:p w14:paraId="28160281"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Instituto Nacional Electoral.</w:t>
            </w:r>
          </w:p>
        </w:tc>
      </w:tr>
      <w:tr w:rsidR="00D74C2B" w:rsidRPr="00BA41A9" w14:paraId="16055448" w14:textId="77777777" w:rsidTr="00B85D2E">
        <w:trPr>
          <w:trHeight w:val="624"/>
          <w:jc w:val="center"/>
        </w:trPr>
        <w:tc>
          <w:tcPr>
            <w:tcW w:w="2042" w:type="pct"/>
            <w:shd w:val="clear" w:color="auto" w:fill="auto"/>
            <w:vAlign w:val="center"/>
          </w:tcPr>
          <w:p w14:paraId="72659EF5"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Instituto:</w:t>
            </w:r>
          </w:p>
        </w:tc>
        <w:tc>
          <w:tcPr>
            <w:tcW w:w="2958" w:type="pct"/>
            <w:shd w:val="clear" w:color="auto" w:fill="auto"/>
          </w:tcPr>
          <w:p w14:paraId="3F901869"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Instituto Electoral y de Participación Ciudadana de Tabasco.</w:t>
            </w:r>
          </w:p>
        </w:tc>
      </w:tr>
      <w:tr w:rsidR="00D74C2B" w:rsidRPr="00BA41A9" w14:paraId="14F2F28F" w14:textId="77777777" w:rsidTr="00B85D2E">
        <w:trPr>
          <w:trHeight w:val="624"/>
          <w:jc w:val="center"/>
        </w:trPr>
        <w:tc>
          <w:tcPr>
            <w:tcW w:w="2042" w:type="pct"/>
            <w:shd w:val="clear" w:color="auto" w:fill="auto"/>
            <w:vAlign w:val="center"/>
          </w:tcPr>
          <w:p w14:paraId="657F035A"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Junta Ejecutiva:</w:t>
            </w:r>
          </w:p>
        </w:tc>
        <w:tc>
          <w:tcPr>
            <w:tcW w:w="2958" w:type="pct"/>
            <w:shd w:val="clear" w:color="auto" w:fill="auto"/>
            <w:vAlign w:val="center"/>
          </w:tcPr>
          <w:p w14:paraId="54B0928C"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Junta Estatal Ejecutiva del Instituto Electoral y de Participación Ciudadana de Tabasco.</w:t>
            </w:r>
          </w:p>
        </w:tc>
      </w:tr>
      <w:tr w:rsidR="00D74C2B" w:rsidRPr="00BA41A9" w14:paraId="586F72D4" w14:textId="77777777" w:rsidTr="00B85D2E">
        <w:trPr>
          <w:trHeight w:val="624"/>
          <w:jc w:val="center"/>
        </w:trPr>
        <w:tc>
          <w:tcPr>
            <w:tcW w:w="2042" w:type="pct"/>
            <w:shd w:val="clear" w:color="auto" w:fill="auto"/>
            <w:vAlign w:val="center"/>
          </w:tcPr>
          <w:p w14:paraId="4750086D"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Juntas Distritales:</w:t>
            </w:r>
          </w:p>
        </w:tc>
        <w:tc>
          <w:tcPr>
            <w:tcW w:w="2958" w:type="pct"/>
            <w:shd w:val="clear" w:color="auto" w:fill="auto"/>
            <w:vAlign w:val="center"/>
          </w:tcPr>
          <w:p w14:paraId="64602B71"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Juntas Electorales Distritales del Instituto Electoral y de Participación Ciudadana de Tabasco.</w:t>
            </w:r>
          </w:p>
        </w:tc>
      </w:tr>
      <w:tr w:rsidR="00D74C2B" w:rsidRPr="00BA41A9" w14:paraId="4BF620A8" w14:textId="77777777" w:rsidTr="00B85D2E">
        <w:trPr>
          <w:trHeight w:val="624"/>
          <w:jc w:val="center"/>
        </w:trPr>
        <w:tc>
          <w:tcPr>
            <w:tcW w:w="2042" w:type="pct"/>
            <w:shd w:val="clear" w:color="auto" w:fill="auto"/>
            <w:vAlign w:val="center"/>
          </w:tcPr>
          <w:p w14:paraId="4695149E"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Ley Electoral:</w:t>
            </w:r>
          </w:p>
        </w:tc>
        <w:tc>
          <w:tcPr>
            <w:tcW w:w="2958" w:type="pct"/>
            <w:shd w:val="clear" w:color="auto" w:fill="auto"/>
            <w:vAlign w:val="center"/>
          </w:tcPr>
          <w:p w14:paraId="6044D6ED"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Ley Electoral y de Partidos Políticos del Estado de Tabasco.</w:t>
            </w:r>
          </w:p>
        </w:tc>
      </w:tr>
      <w:tr w:rsidR="00D74C2B" w:rsidRPr="00BA41A9" w14:paraId="2E670410" w14:textId="77777777" w:rsidTr="00B85D2E">
        <w:trPr>
          <w:trHeight w:val="624"/>
          <w:jc w:val="center"/>
        </w:trPr>
        <w:tc>
          <w:tcPr>
            <w:tcW w:w="2042" w:type="pct"/>
            <w:shd w:val="clear" w:color="auto" w:fill="auto"/>
            <w:vAlign w:val="center"/>
          </w:tcPr>
          <w:p w14:paraId="3C4FAFB6"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Ley General:</w:t>
            </w:r>
          </w:p>
        </w:tc>
        <w:tc>
          <w:tcPr>
            <w:tcW w:w="2958" w:type="pct"/>
            <w:shd w:val="clear" w:color="auto" w:fill="auto"/>
            <w:vAlign w:val="center"/>
          </w:tcPr>
          <w:p w14:paraId="5814BB6C"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Ley General de Instituciones y Procedimientos Electorales.</w:t>
            </w:r>
          </w:p>
        </w:tc>
      </w:tr>
      <w:tr w:rsidR="00D74C2B" w:rsidRPr="00BA41A9" w14:paraId="1B5A0C6B" w14:textId="77777777" w:rsidTr="00B85D2E">
        <w:trPr>
          <w:trHeight w:val="624"/>
          <w:jc w:val="center"/>
        </w:trPr>
        <w:tc>
          <w:tcPr>
            <w:tcW w:w="2042" w:type="pct"/>
            <w:shd w:val="clear" w:color="auto" w:fill="auto"/>
            <w:vAlign w:val="center"/>
          </w:tcPr>
          <w:p w14:paraId="4113ADE2"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Organismo electoral:</w:t>
            </w:r>
          </w:p>
        </w:tc>
        <w:tc>
          <w:tcPr>
            <w:tcW w:w="2958" w:type="pct"/>
            <w:shd w:val="clear" w:color="auto" w:fill="auto"/>
            <w:vAlign w:val="center"/>
          </w:tcPr>
          <w:p w14:paraId="2B02894D"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 xml:space="preserve">Organismo(s) público(s) local(es) electoral(es). </w:t>
            </w:r>
          </w:p>
        </w:tc>
      </w:tr>
      <w:tr w:rsidR="00D74C2B" w:rsidRPr="00BA41A9" w14:paraId="5047CAD0" w14:textId="77777777" w:rsidTr="00B85D2E">
        <w:trPr>
          <w:trHeight w:val="624"/>
          <w:jc w:val="center"/>
        </w:trPr>
        <w:tc>
          <w:tcPr>
            <w:tcW w:w="2042" w:type="pct"/>
            <w:shd w:val="clear" w:color="auto" w:fill="auto"/>
            <w:vAlign w:val="center"/>
          </w:tcPr>
          <w:p w14:paraId="689B163F"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Proceso Electoral:</w:t>
            </w:r>
          </w:p>
        </w:tc>
        <w:tc>
          <w:tcPr>
            <w:tcW w:w="2958" w:type="pct"/>
            <w:shd w:val="clear" w:color="auto" w:fill="auto"/>
            <w:vAlign w:val="center"/>
          </w:tcPr>
          <w:p w14:paraId="20B163A1"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Proceso Electoral Local Ordinario 2023-2024.</w:t>
            </w:r>
          </w:p>
        </w:tc>
      </w:tr>
      <w:tr w:rsidR="00D74C2B" w:rsidRPr="00BA41A9" w14:paraId="55218A18" w14:textId="77777777" w:rsidTr="00B85D2E">
        <w:trPr>
          <w:trHeight w:val="624"/>
          <w:jc w:val="center"/>
        </w:trPr>
        <w:tc>
          <w:tcPr>
            <w:tcW w:w="2042" w:type="pct"/>
            <w:shd w:val="clear" w:color="auto" w:fill="auto"/>
            <w:vAlign w:val="center"/>
          </w:tcPr>
          <w:p w14:paraId="6D3C77A9"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t>Secretaría Ejecutiva:</w:t>
            </w:r>
          </w:p>
        </w:tc>
        <w:tc>
          <w:tcPr>
            <w:tcW w:w="2958" w:type="pct"/>
            <w:shd w:val="clear" w:color="auto" w:fill="auto"/>
            <w:vAlign w:val="center"/>
          </w:tcPr>
          <w:p w14:paraId="43C77007"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Secretaría Ejecutiva del Instituto Electoral y de Participación Ciudadana de Tabasco.</w:t>
            </w:r>
          </w:p>
        </w:tc>
      </w:tr>
      <w:tr w:rsidR="00D74C2B" w:rsidRPr="00BA41A9" w14:paraId="2B345A44" w14:textId="77777777" w:rsidTr="00B85D2E">
        <w:trPr>
          <w:trHeight w:val="624"/>
          <w:jc w:val="center"/>
        </w:trPr>
        <w:tc>
          <w:tcPr>
            <w:tcW w:w="2042" w:type="pct"/>
            <w:shd w:val="clear" w:color="auto" w:fill="auto"/>
            <w:vAlign w:val="center"/>
          </w:tcPr>
          <w:p w14:paraId="02BB947D" w14:textId="77777777" w:rsidR="00D74C2B" w:rsidRPr="00BA41A9" w:rsidRDefault="00D74C2B" w:rsidP="00D74C2B">
            <w:pPr>
              <w:widowControl w:val="0"/>
              <w:spacing w:before="40" w:after="40" w:line="281" w:lineRule="auto"/>
              <w:ind w:left="57"/>
              <w:jc w:val="both"/>
              <w:rPr>
                <w:rFonts w:ascii="Arial" w:hAnsi="Arial" w:cs="Arial"/>
                <w:b/>
                <w:sz w:val="20"/>
                <w:szCs w:val="20"/>
              </w:rPr>
            </w:pPr>
            <w:r w:rsidRPr="00BA41A9">
              <w:rPr>
                <w:rFonts w:ascii="Arial" w:hAnsi="Arial" w:cs="Arial"/>
                <w:b/>
                <w:sz w:val="20"/>
                <w:szCs w:val="20"/>
              </w:rPr>
              <w:lastRenderedPageBreak/>
              <w:t>Vocales Distritales:</w:t>
            </w:r>
          </w:p>
        </w:tc>
        <w:tc>
          <w:tcPr>
            <w:tcW w:w="2958" w:type="pct"/>
            <w:shd w:val="clear" w:color="auto" w:fill="auto"/>
            <w:vAlign w:val="center"/>
          </w:tcPr>
          <w:p w14:paraId="713C23BF" w14:textId="77777777" w:rsidR="00D74C2B" w:rsidRPr="00BA41A9" w:rsidRDefault="00D74C2B" w:rsidP="00D74C2B">
            <w:pPr>
              <w:widowControl w:val="0"/>
              <w:spacing w:before="40" w:after="40" w:line="281" w:lineRule="auto"/>
              <w:ind w:left="57"/>
              <w:jc w:val="both"/>
              <w:rPr>
                <w:rFonts w:ascii="Arial" w:hAnsi="Arial" w:cs="Arial"/>
                <w:sz w:val="20"/>
                <w:szCs w:val="20"/>
              </w:rPr>
            </w:pPr>
            <w:r w:rsidRPr="00BA41A9">
              <w:rPr>
                <w:rFonts w:ascii="Arial" w:hAnsi="Arial" w:cs="Arial"/>
                <w:sz w:val="20"/>
                <w:szCs w:val="20"/>
              </w:rPr>
              <w:t>Vocales Electorales integrantes de las Juntas Electorales Distritales del Instituto Electoral y de Participación Ciudadana de Tabasco.</w:t>
            </w:r>
          </w:p>
        </w:tc>
      </w:tr>
    </w:tbl>
    <w:p w14:paraId="1277A145" w14:textId="77777777" w:rsidR="00D74C2B" w:rsidRPr="00BA41A9" w:rsidRDefault="00D74C2B" w:rsidP="00D74C2B">
      <w:pPr>
        <w:pStyle w:val="Ttulo1"/>
        <w:rPr>
          <w:rFonts w:ascii="Arial" w:hAnsi="Arial"/>
          <w:sz w:val="24"/>
          <w:szCs w:val="24"/>
        </w:rPr>
      </w:pPr>
      <w:r w:rsidRPr="00BA41A9">
        <w:rPr>
          <w:rFonts w:ascii="Arial" w:hAnsi="Arial"/>
          <w:sz w:val="24"/>
          <w:szCs w:val="24"/>
        </w:rPr>
        <w:t>Antecedentes</w:t>
      </w:r>
    </w:p>
    <w:p w14:paraId="1272A13F" w14:textId="77777777" w:rsidR="00D74C2B" w:rsidRPr="00BA41A9" w:rsidRDefault="00D74C2B" w:rsidP="00D74C2B">
      <w:pPr>
        <w:pStyle w:val="Ttulo2"/>
        <w:spacing w:line="281" w:lineRule="auto"/>
        <w:rPr>
          <w:rFonts w:ascii="Arial" w:hAnsi="Arial"/>
        </w:rPr>
      </w:pPr>
      <w:r w:rsidRPr="00BA41A9">
        <w:rPr>
          <w:rFonts w:ascii="Arial" w:hAnsi="Arial"/>
        </w:rPr>
        <w:t>Inicio del Proceso Electoral</w:t>
      </w:r>
    </w:p>
    <w:p w14:paraId="52A0A4CF"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El 6 de octubre de la presente anualidad, el Consejo Estatal de conformidad con el artículo 111 de la Ley Electoral declaró el inicio del Proceso Electoral por el que se renovarán los cargos relativos a la Gubernatura del Estado, Diputaciones Locales, Presidencias Municipales y Regidurías.</w:t>
      </w:r>
    </w:p>
    <w:p w14:paraId="77DF7881" w14:textId="77777777" w:rsidR="00D74C2B" w:rsidRPr="00BA41A9" w:rsidRDefault="00D74C2B" w:rsidP="00D74C2B">
      <w:pPr>
        <w:pStyle w:val="Ttulo2"/>
        <w:spacing w:line="281" w:lineRule="auto"/>
        <w:rPr>
          <w:rFonts w:ascii="Arial" w:hAnsi="Arial"/>
        </w:rPr>
      </w:pPr>
      <w:r w:rsidRPr="00BA41A9">
        <w:rPr>
          <w:rFonts w:ascii="Arial" w:hAnsi="Arial"/>
        </w:rPr>
        <w:t>Designación de las Vocalías Distritales</w:t>
      </w:r>
    </w:p>
    <w:p w14:paraId="531EEEDD"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El 9 de diciembre de 2023, mediante acuerdo JEE/2023/015, la Junta Ejecutiva designó a las personas que ocupan las titularidades de las Vocalías Distritales de los órganos desconcentrados.</w:t>
      </w:r>
    </w:p>
    <w:p w14:paraId="64BE73D1" w14:textId="77777777" w:rsidR="00D74C2B" w:rsidRPr="00BA41A9" w:rsidRDefault="00D74C2B" w:rsidP="00D74C2B">
      <w:pPr>
        <w:pStyle w:val="Ttulo2"/>
        <w:keepNext w:val="0"/>
        <w:keepLines w:val="0"/>
        <w:spacing w:line="276" w:lineRule="auto"/>
        <w:rPr>
          <w:rFonts w:ascii="Arial" w:hAnsi="Arial"/>
        </w:rPr>
      </w:pPr>
      <w:r w:rsidRPr="00BA41A9">
        <w:rPr>
          <w:rFonts w:ascii="Arial" w:hAnsi="Arial"/>
        </w:rPr>
        <w:t>Aprobación del Presupuesto Anual correspondiente al ejercicio 2024</w:t>
      </w:r>
    </w:p>
    <w:p w14:paraId="796E0977" w14:textId="77777777" w:rsidR="00D74C2B" w:rsidRPr="00BA41A9" w:rsidRDefault="00D74C2B" w:rsidP="00D74C2B">
      <w:pPr>
        <w:spacing w:before="240" w:after="240" w:line="276" w:lineRule="auto"/>
        <w:jc w:val="both"/>
        <w:rPr>
          <w:rFonts w:ascii="Arial" w:hAnsi="Arial" w:cs="Arial"/>
          <w:sz w:val="23"/>
          <w:szCs w:val="23"/>
        </w:rPr>
      </w:pPr>
      <w:r w:rsidRPr="00BA41A9">
        <w:rPr>
          <w:rFonts w:ascii="Arial" w:hAnsi="Arial" w:cs="Arial"/>
          <w:sz w:val="23"/>
          <w:szCs w:val="23"/>
        </w:rPr>
        <w:t>El 20 de diciembre de 2023, se publicó en el Suplemento “K”, Edición 8482 al Periódico Oficial del Estado número 10565, el decreto 182 relativo al Presupuesto Anual de Egresos aprobado por el H. Congreso del Estado de Tabasco, correspondiente al ejercicio 2024, el cual contiene entre otros aspectos, la política de gasto de los órganos autónomos.</w:t>
      </w:r>
    </w:p>
    <w:p w14:paraId="0D6E13B1" w14:textId="77777777" w:rsidR="00D74C2B" w:rsidRPr="00BA41A9" w:rsidRDefault="00D74C2B" w:rsidP="00D74C2B">
      <w:pPr>
        <w:pStyle w:val="Ttulo2"/>
        <w:keepNext w:val="0"/>
        <w:keepLines w:val="0"/>
        <w:spacing w:line="276" w:lineRule="auto"/>
        <w:rPr>
          <w:rFonts w:ascii="Arial" w:hAnsi="Arial"/>
        </w:rPr>
      </w:pPr>
      <w:r w:rsidRPr="00BA41A9">
        <w:rPr>
          <w:rFonts w:ascii="Arial" w:hAnsi="Arial"/>
        </w:rPr>
        <w:t>Presupuesto del Instituto correspondiente al ejercicio 2024</w:t>
      </w:r>
    </w:p>
    <w:p w14:paraId="2691383F" w14:textId="2D7B5880" w:rsidR="00CB771E" w:rsidRPr="00BA41A9" w:rsidRDefault="00D74C2B" w:rsidP="00CB771E">
      <w:pPr>
        <w:jc w:val="both"/>
        <w:rPr>
          <w:rFonts w:ascii="Arial" w:hAnsi="Arial" w:cs="Arial"/>
          <w:color w:val="000000" w:themeColor="text1"/>
          <w:sz w:val="23"/>
          <w:szCs w:val="23"/>
        </w:rPr>
      </w:pPr>
      <w:r w:rsidRPr="00BA41A9">
        <w:rPr>
          <w:rFonts w:ascii="Arial" w:hAnsi="Arial" w:cs="Arial"/>
          <w:sz w:val="23"/>
          <w:szCs w:val="23"/>
        </w:rPr>
        <w:t>De conformidad con el Presupuesto antes mencionado, el H. Congreso del Estado, para el ejercicio 2024 asignó al Instituto Electoral recursos por la cantidad de $433,400,000.00 (cuatrocientos treinta y tres millones cuatrocientos mil pesos 00/100), cantidad que incluye el gasto previsto para el financiamiento público de los partidos políticos con derecho a éste.</w:t>
      </w:r>
      <w:r w:rsidR="00554EAA" w:rsidRPr="00BA41A9">
        <w:rPr>
          <w:rFonts w:ascii="Arial" w:hAnsi="Arial" w:cs="Arial"/>
          <w:sz w:val="23"/>
          <w:szCs w:val="23"/>
        </w:rPr>
        <w:t xml:space="preserve"> </w:t>
      </w:r>
      <w:r w:rsidR="00554EAA" w:rsidRPr="00BA41A9">
        <w:rPr>
          <w:rFonts w:ascii="Arial" w:hAnsi="Arial" w:cs="Arial"/>
          <w:color w:val="000000" w:themeColor="text1"/>
          <w:sz w:val="23"/>
          <w:szCs w:val="23"/>
        </w:rPr>
        <w:t xml:space="preserve">Adicionalmente se recibieron ampliaciones al presupuesto de Egresos </w:t>
      </w:r>
      <w:r w:rsidR="00CB771E" w:rsidRPr="00BA41A9">
        <w:rPr>
          <w:rFonts w:ascii="Arial" w:hAnsi="Arial" w:cs="Arial"/>
          <w:color w:val="000000" w:themeColor="text1"/>
          <w:sz w:val="23"/>
          <w:szCs w:val="23"/>
        </w:rPr>
        <w:t xml:space="preserve">2024, </w:t>
      </w:r>
      <w:r w:rsidR="009C343E" w:rsidRPr="00BA41A9">
        <w:rPr>
          <w:rFonts w:ascii="Arial" w:hAnsi="Arial" w:cs="Arial"/>
          <w:color w:val="000000" w:themeColor="text1"/>
          <w:sz w:val="23"/>
          <w:szCs w:val="23"/>
        </w:rPr>
        <w:t>por la cantidad de 47 millones 236 mil 320 peso</w:t>
      </w:r>
      <w:r w:rsidR="00A117A3" w:rsidRPr="00BA41A9">
        <w:rPr>
          <w:rFonts w:ascii="Arial" w:hAnsi="Arial" w:cs="Arial"/>
          <w:color w:val="000000" w:themeColor="text1"/>
          <w:sz w:val="23"/>
          <w:szCs w:val="23"/>
        </w:rPr>
        <w:t>s, haciendo un importe total del presupuesto de egresos 2024 de</w:t>
      </w:r>
      <w:r w:rsidR="00CB771E" w:rsidRPr="00BA41A9">
        <w:rPr>
          <w:rFonts w:ascii="Arial" w:hAnsi="Arial" w:cs="Arial"/>
          <w:color w:val="000000" w:themeColor="text1"/>
          <w:sz w:val="23"/>
          <w:szCs w:val="23"/>
        </w:rPr>
        <w:t xml:space="preserve"> $ 480,636,320.00 </w:t>
      </w:r>
      <w:r w:rsidR="00A117A3" w:rsidRPr="00BA41A9">
        <w:rPr>
          <w:rFonts w:ascii="Arial" w:hAnsi="Arial" w:cs="Arial"/>
          <w:color w:val="000000" w:themeColor="text1"/>
          <w:sz w:val="23"/>
          <w:szCs w:val="23"/>
        </w:rPr>
        <w:lastRenderedPageBreak/>
        <w:t>(Cuatrocientos ochenta millones seiscientos treinta y seis mil trescientos veinte pesos 00/100 m.n.).</w:t>
      </w:r>
    </w:p>
    <w:p w14:paraId="719D135C" w14:textId="7A3970DD" w:rsidR="00E93A3E" w:rsidRPr="00BA41A9" w:rsidRDefault="00E93A3E" w:rsidP="00E93A3E">
      <w:pPr>
        <w:pStyle w:val="Ttulo2"/>
        <w:rPr>
          <w:rFonts w:ascii="Arial" w:hAnsi="Arial"/>
        </w:rPr>
      </w:pPr>
      <w:r w:rsidRPr="00BA41A9">
        <w:rPr>
          <w:rFonts w:ascii="Arial" w:hAnsi="Arial"/>
        </w:rPr>
        <w:t>Designación de Supervisores y Capacitadores Asistentes Electorales</w:t>
      </w:r>
    </w:p>
    <w:p w14:paraId="3F37C486" w14:textId="4D6C3EE2" w:rsidR="00E93A3E" w:rsidRPr="00BA41A9" w:rsidRDefault="00E93A3E" w:rsidP="00D74C2B">
      <w:pPr>
        <w:spacing w:before="240" w:after="240" w:line="276" w:lineRule="auto"/>
        <w:jc w:val="both"/>
        <w:rPr>
          <w:rFonts w:ascii="Arial" w:hAnsi="Arial" w:cs="Arial"/>
          <w:sz w:val="23"/>
          <w:szCs w:val="23"/>
        </w:rPr>
      </w:pPr>
      <w:r w:rsidRPr="00BA41A9">
        <w:rPr>
          <w:rFonts w:ascii="Arial" w:hAnsi="Arial" w:cs="Arial"/>
          <w:sz w:val="23"/>
          <w:szCs w:val="23"/>
        </w:rPr>
        <w:t>En el mes de abril de 2024, los veintiún Consejos Electorales Distritales de acuerdo con el procedimiento determinado por el INE, designaron a las personas que, con motivo del Proceso Electoral, fungirán como Supervisores y Capacitadores Asistentes Electorales.</w:t>
      </w:r>
    </w:p>
    <w:p w14:paraId="49DDE6BD" w14:textId="77777777" w:rsidR="00D74C2B" w:rsidRPr="00BA41A9" w:rsidRDefault="00D74C2B" w:rsidP="00D74C2B">
      <w:pPr>
        <w:pStyle w:val="Ttulo2"/>
        <w:spacing w:line="281" w:lineRule="auto"/>
        <w:rPr>
          <w:rFonts w:ascii="Arial" w:hAnsi="Arial"/>
        </w:rPr>
      </w:pPr>
      <w:r w:rsidRPr="00BA41A9">
        <w:rPr>
          <w:rFonts w:ascii="Arial" w:hAnsi="Arial"/>
        </w:rPr>
        <w:t>Jornada Electoral</w:t>
      </w:r>
    </w:p>
    <w:p w14:paraId="60E9AF68"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14:paraId="7FFB254F" w14:textId="77777777" w:rsidR="00D74C2B" w:rsidRPr="00BA41A9" w:rsidRDefault="00D74C2B" w:rsidP="00D74C2B">
      <w:pPr>
        <w:pStyle w:val="Ttulo1"/>
        <w:rPr>
          <w:rFonts w:ascii="Arial" w:hAnsi="Arial"/>
          <w:sz w:val="24"/>
          <w:szCs w:val="24"/>
        </w:rPr>
      </w:pPr>
      <w:r w:rsidRPr="00BA41A9">
        <w:rPr>
          <w:rFonts w:ascii="Arial" w:hAnsi="Arial"/>
          <w:sz w:val="24"/>
          <w:szCs w:val="24"/>
        </w:rPr>
        <w:t>Considerando</w:t>
      </w:r>
    </w:p>
    <w:p w14:paraId="60D3438E" w14:textId="77777777" w:rsidR="00D74C2B" w:rsidRPr="00BA41A9" w:rsidRDefault="00D74C2B" w:rsidP="00D74C2B">
      <w:pPr>
        <w:pStyle w:val="Ttulo2"/>
        <w:spacing w:line="281" w:lineRule="auto"/>
        <w:rPr>
          <w:rFonts w:ascii="Arial" w:hAnsi="Arial"/>
        </w:rPr>
      </w:pPr>
      <w:r w:rsidRPr="00BA41A9">
        <w:rPr>
          <w:rFonts w:ascii="Arial" w:hAnsi="Arial"/>
        </w:rPr>
        <w:t xml:space="preserve">Fines del Instituto </w:t>
      </w:r>
    </w:p>
    <w:p w14:paraId="23D3822B"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4356E76"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 xml:space="preserve">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w:t>
      </w:r>
      <w:r w:rsidRPr="00BA41A9">
        <w:rPr>
          <w:rFonts w:ascii="Arial" w:hAnsi="Arial" w:cs="Arial"/>
          <w:sz w:val="23"/>
          <w:szCs w:val="23"/>
        </w:rPr>
        <w:lastRenderedPageBreak/>
        <w:t>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10DB593F" w14:textId="77777777" w:rsidR="00D74C2B" w:rsidRPr="00BA41A9" w:rsidRDefault="00D74C2B" w:rsidP="00D74C2B">
      <w:pPr>
        <w:pStyle w:val="Ttulo2"/>
        <w:spacing w:line="281" w:lineRule="auto"/>
        <w:rPr>
          <w:rFonts w:ascii="Arial" w:hAnsi="Arial"/>
        </w:rPr>
      </w:pPr>
      <w:r w:rsidRPr="00BA41A9">
        <w:rPr>
          <w:rFonts w:ascii="Arial" w:hAnsi="Arial"/>
        </w:rPr>
        <w:t xml:space="preserve">Órgano Superior de Dirección del Instituto </w:t>
      </w:r>
    </w:p>
    <w:p w14:paraId="49FB7817"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F3AD8A8" w14:textId="77777777" w:rsidR="00D74C2B" w:rsidRPr="00BA41A9" w:rsidRDefault="00D74C2B" w:rsidP="00D74C2B">
      <w:pPr>
        <w:pStyle w:val="Ttulo2"/>
        <w:spacing w:line="281" w:lineRule="auto"/>
        <w:rPr>
          <w:rFonts w:ascii="Arial" w:hAnsi="Arial"/>
        </w:rPr>
      </w:pPr>
      <w:r w:rsidRPr="00BA41A9">
        <w:rPr>
          <w:rFonts w:ascii="Arial" w:hAnsi="Arial"/>
        </w:rPr>
        <w:t xml:space="preserve">Órganos Centrales del Instituto </w:t>
      </w:r>
    </w:p>
    <w:p w14:paraId="1F9677C1"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Que, el artículo 105, de la Ley Electoral, señala que, son órganos centrales del Instituto los siguientes: I. Consejo Estatal; II. Presidencia del Consejo Estatal; III. Junta Ejecutiva; IV. Secretaría Ejecutiva, y V. Órgano Técnico de Fiscalización.</w:t>
      </w:r>
    </w:p>
    <w:p w14:paraId="6A7CEEF8" w14:textId="77777777" w:rsidR="00D74C2B" w:rsidRPr="00BA41A9" w:rsidRDefault="00D74C2B" w:rsidP="00D74C2B">
      <w:pPr>
        <w:pStyle w:val="Ttulo2"/>
        <w:spacing w:line="281" w:lineRule="auto"/>
        <w:rPr>
          <w:rFonts w:ascii="Arial" w:hAnsi="Arial"/>
        </w:rPr>
      </w:pPr>
      <w:r w:rsidRPr="00BA41A9">
        <w:rPr>
          <w:rFonts w:ascii="Arial" w:hAnsi="Arial"/>
        </w:rPr>
        <w:t xml:space="preserve">Administración del Instituto </w:t>
      </w:r>
    </w:p>
    <w:p w14:paraId="55E8815A"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53B72AB1"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34EDAFB4" w14:textId="77777777" w:rsidR="00D74C2B" w:rsidRPr="00BA41A9" w:rsidRDefault="00D74C2B" w:rsidP="00D74C2B">
      <w:pPr>
        <w:pStyle w:val="Ttulo2"/>
        <w:spacing w:line="281" w:lineRule="auto"/>
        <w:rPr>
          <w:rFonts w:ascii="Arial" w:hAnsi="Arial"/>
        </w:rPr>
      </w:pPr>
      <w:r w:rsidRPr="00BA41A9">
        <w:rPr>
          <w:rFonts w:ascii="Arial" w:hAnsi="Arial"/>
        </w:rPr>
        <w:t>Integración de la Junta Ejecutiva</w:t>
      </w:r>
    </w:p>
    <w:p w14:paraId="1D7A5958"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 xml:space="preserve">Que, el artículo 118, numeral 1, de la Ley Electoral, establece que la Junta Ejecutiva será presidida por la Presidencia del Consejo y se integrará con las personas titulares </w:t>
      </w:r>
      <w:r w:rsidRPr="00BA41A9">
        <w:rPr>
          <w:rFonts w:ascii="Arial" w:hAnsi="Arial" w:cs="Arial"/>
          <w:sz w:val="23"/>
          <w:szCs w:val="23"/>
        </w:rPr>
        <w:lastRenderedPageBreak/>
        <w:t>de la Secretaría Ejecutiva, las Direcciones de Organización Electoral y Educación Cívica, y, de Administración.</w:t>
      </w:r>
    </w:p>
    <w:p w14:paraId="79C24D59"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Asimismo, el numeral 2, del artículo mencionado establece que, las o los titulares del Órgano Técnico de Fiscalización y de la Contraloría General podrán participar en las sesiones de la Junta Ejecutiva, a convocatoria de la Presidencia del Consejo.</w:t>
      </w:r>
    </w:p>
    <w:p w14:paraId="2E1E3B01" w14:textId="77777777" w:rsidR="00D74C2B" w:rsidRPr="00BA41A9" w:rsidRDefault="00D74C2B" w:rsidP="00D74C2B">
      <w:pPr>
        <w:pStyle w:val="Ttulo2"/>
        <w:spacing w:line="281" w:lineRule="auto"/>
        <w:rPr>
          <w:rFonts w:ascii="Arial" w:hAnsi="Arial"/>
        </w:rPr>
      </w:pPr>
      <w:r w:rsidRPr="00BA41A9">
        <w:rPr>
          <w:rFonts w:ascii="Arial" w:hAnsi="Arial"/>
        </w:rPr>
        <w:t>Atribuciones de la Junta Ejecutiva</w:t>
      </w:r>
    </w:p>
    <w:p w14:paraId="58CA6FF3"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Que, el numeral 1, del artículo 119, de la Ley Electoral, señala que, la Junta Ejecutiva se reunirá por lo menos una vez al mes y ejercerá las atribuciones siguientes:</w:t>
      </w:r>
    </w:p>
    <w:p w14:paraId="6935AE44"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Proponer al Consejo Estatal las políticas generales y los programas del Instituto Estatal;</w:t>
      </w:r>
    </w:p>
    <w:p w14:paraId="4B6B639C"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Fijar los procedimientos administrativos, conforme a las políticas y programas generales del Instituto;</w:t>
      </w:r>
    </w:p>
    <w:p w14:paraId="71D929A4"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Revisar el cumplimiento de los trabajos relativos a los productos electorales que habrá de aportar el Registro Federal de Electores para el Proceso Local, conforme al convenio y documentos técnicos celebrados con el Instituto Nacional Electoral;</w:t>
      </w:r>
    </w:p>
    <w:p w14:paraId="331F6DD8"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Vigilar el cumplimiento de las normas aplicables a los Partidos Políticos, las agrupaciones políticas y candidatos;</w:t>
      </w:r>
    </w:p>
    <w:p w14:paraId="57C5B549"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Supervisar el cumplimiento de los programas y actividades de las Direcciones del Instituto;</w:t>
      </w:r>
    </w:p>
    <w:p w14:paraId="56C885BD"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65BF83CB"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7F2FDE4E"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lastRenderedPageBreak/>
        <w:t>Conocer de los informes de la Contraloría General respecto de los expedientes relativos a las faltas administrativas y, en su caso, sobre imposición de sanciones a las personas servidoras públicas del Instituto Estatal;</w:t>
      </w:r>
    </w:p>
    <w:p w14:paraId="6A705530"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Formular los estudios y, en su caso, los proyectos de convenio que deban suscribirse entre el Instituto con el INE;</w:t>
      </w:r>
    </w:p>
    <w:p w14:paraId="72810034"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Presentar a consideración del Consejo Estatal el proyecto de dictamen de pérdida de registro de algún partido político local o agrupación política local, que se encuentren en cualquiera de los supuestos establecidos en esta Ley;</w:t>
      </w:r>
    </w:p>
    <w:p w14:paraId="59F1CF10"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Resolver, en el ámbito de su competencia, los medios de impugnación en contra de los actos o resoluciones de la Secretaría Ejecutiva y de las Juntas Distritales del Instituto, en los términos establecidos en la ley de la materia;</w:t>
      </w:r>
    </w:p>
    <w:p w14:paraId="2CA1828A"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Integrar los expedientes relativos a las faltas administrativas en materia electoral y, en su caso, proponer las sanciones, en los términos que establece esta Ley, y</w:t>
      </w:r>
    </w:p>
    <w:p w14:paraId="4B19A6EC" w14:textId="77777777" w:rsidR="00D74C2B" w:rsidRPr="00BA41A9" w:rsidRDefault="00D74C2B" w:rsidP="00D74C2B">
      <w:pPr>
        <w:pStyle w:val="Prrafodelista"/>
        <w:numPr>
          <w:ilvl w:val="0"/>
          <w:numId w:val="2"/>
        </w:numPr>
        <w:ind w:left="510" w:hanging="510"/>
        <w:contextualSpacing w:val="0"/>
        <w:rPr>
          <w:rFonts w:ascii="Arial" w:hAnsi="Arial" w:cs="Arial"/>
        </w:rPr>
      </w:pPr>
      <w:r w:rsidRPr="00BA41A9">
        <w:rPr>
          <w:rFonts w:ascii="Arial" w:hAnsi="Arial" w:cs="Arial"/>
        </w:rPr>
        <w:t>Las demás que le encomiende esta Ley, el Consejo Estatal y el Consejero Presidente.</w:t>
      </w:r>
    </w:p>
    <w:p w14:paraId="32258DD1"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65BE5BD9" w14:textId="77777777" w:rsidR="00D74C2B" w:rsidRPr="00BA41A9" w:rsidRDefault="00D74C2B" w:rsidP="00D74C2B">
      <w:pPr>
        <w:pStyle w:val="Ttulo2"/>
        <w:spacing w:line="281" w:lineRule="auto"/>
        <w:rPr>
          <w:rFonts w:ascii="Arial" w:hAnsi="Arial"/>
        </w:rPr>
      </w:pPr>
      <w:r w:rsidRPr="00BA41A9">
        <w:rPr>
          <w:rFonts w:ascii="Arial" w:hAnsi="Arial"/>
        </w:rPr>
        <w:t xml:space="preserve">Autonomía presupuestaria del Instituto </w:t>
      </w:r>
    </w:p>
    <w:p w14:paraId="52D67444"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Que, el artículo 6 de la Ley de Presupuesto y Responsabilidad Hacendaria del Estado de Tabasco y sus Municipios, sostiene que la autonomía presupuestaria otorgada a los órganos autónomos a través de la Constitución Local comprende:</w:t>
      </w:r>
    </w:p>
    <w:p w14:paraId="083725C7" w14:textId="77777777" w:rsidR="00D74C2B" w:rsidRPr="00BA41A9" w:rsidRDefault="00D74C2B" w:rsidP="00D74C2B">
      <w:pPr>
        <w:pStyle w:val="Prrafodelista"/>
        <w:numPr>
          <w:ilvl w:val="1"/>
          <w:numId w:val="2"/>
        </w:numPr>
        <w:ind w:left="703" w:hanging="703"/>
        <w:contextualSpacing w:val="0"/>
        <w:rPr>
          <w:rFonts w:ascii="Arial" w:hAnsi="Arial" w:cs="Arial"/>
        </w:rPr>
      </w:pPr>
      <w:r w:rsidRPr="00BA41A9">
        <w:rPr>
          <w:rFonts w:ascii="Arial" w:hAnsi="Arial" w:cs="Arial"/>
        </w:rPr>
        <w:t xml:space="preserve">La aprobación de su proyecto de presupuesto y su remisión a la Secretaría de Finanzas para su integración al proyecto de Presupuesto de Egresos, observando los criterios de política económica y demás disposiciones aplicables; </w:t>
      </w:r>
    </w:p>
    <w:p w14:paraId="46B10B4D" w14:textId="77777777" w:rsidR="00D74C2B" w:rsidRPr="00BA41A9" w:rsidRDefault="00D74C2B" w:rsidP="00D74C2B">
      <w:pPr>
        <w:pStyle w:val="Prrafodelista"/>
        <w:numPr>
          <w:ilvl w:val="1"/>
          <w:numId w:val="2"/>
        </w:numPr>
        <w:ind w:left="703" w:hanging="703"/>
        <w:contextualSpacing w:val="0"/>
        <w:rPr>
          <w:rFonts w:ascii="Arial" w:hAnsi="Arial" w:cs="Arial"/>
        </w:rPr>
      </w:pPr>
      <w:r w:rsidRPr="00BA41A9">
        <w:rPr>
          <w:rFonts w:ascii="Arial" w:hAnsi="Arial" w:cs="Arial"/>
        </w:rPr>
        <w:lastRenderedPageBreak/>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10B51CE" w14:textId="77777777" w:rsidR="00D74C2B" w:rsidRPr="00BA41A9" w:rsidRDefault="00D74C2B" w:rsidP="00D74C2B">
      <w:pPr>
        <w:pStyle w:val="Prrafodelista"/>
        <w:numPr>
          <w:ilvl w:val="1"/>
          <w:numId w:val="2"/>
        </w:numPr>
        <w:ind w:left="703" w:hanging="703"/>
        <w:contextualSpacing w:val="0"/>
        <w:rPr>
          <w:rFonts w:ascii="Arial" w:hAnsi="Arial" w:cs="Arial"/>
        </w:rPr>
      </w:pPr>
      <w:r w:rsidRPr="00BA41A9">
        <w:rPr>
          <w:rFonts w:ascii="Arial" w:hAnsi="Arial" w:cs="Arial"/>
        </w:rPr>
        <w:t xml:space="preserve">La autorización de las adecuaciones a sus presupuestos sin requerir la aprobación de la Secretaría de Finanzas, observando las disposiciones de dicha Ley; </w:t>
      </w:r>
    </w:p>
    <w:p w14:paraId="7A4E1497" w14:textId="77777777" w:rsidR="00D74C2B" w:rsidRPr="00BA41A9" w:rsidRDefault="00D74C2B" w:rsidP="00D74C2B">
      <w:pPr>
        <w:pStyle w:val="Prrafodelista"/>
        <w:numPr>
          <w:ilvl w:val="1"/>
          <w:numId w:val="2"/>
        </w:numPr>
        <w:ind w:left="703" w:hanging="703"/>
        <w:contextualSpacing w:val="0"/>
        <w:rPr>
          <w:rFonts w:ascii="Arial" w:hAnsi="Arial" w:cs="Arial"/>
        </w:rPr>
      </w:pPr>
      <w:r w:rsidRPr="00BA41A9">
        <w:rPr>
          <w:rFonts w:ascii="Arial" w:hAnsi="Arial" w:cs="Arial"/>
        </w:rPr>
        <w:t xml:space="preserve">La realización de sus pagos a través de sus respectivas tesorerías o sus equivalentes; </w:t>
      </w:r>
    </w:p>
    <w:p w14:paraId="2078CD02" w14:textId="77777777" w:rsidR="00D74C2B" w:rsidRPr="00BA41A9" w:rsidRDefault="00D74C2B" w:rsidP="00D74C2B">
      <w:pPr>
        <w:pStyle w:val="Prrafodelista"/>
        <w:numPr>
          <w:ilvl w:val="1"/>
          <w:numId w:val="2"/>
        </w:numPr>
        <w:ind w:left="703" w:hanging="703"/>
        <w:contextualSpacing w:val="0"/>
        <w:rPr>
          <w:rFonts w:ascii="Arial" w:hAnsi="Arial" w:cs="Arial"/>
        </w:rPr>
      </w:pPr>
      <w:r w:rsidRPr="00BA41A9">
        <w:rPr>
          <w:rFonts w:ascii="Arial" w:hAnsi="Arial" w:cs="Arial"/>
        </w:rPr>
        <w:t>La determinación de los ajustes que correspondan en sus presupuestos en caso de disminución de ingresos, observando, en lo conducente, lo dispuesto en el artículo 18 de la Ley mencionada; y</w:t>
      </w:r>
    </w:p>
    <w:p w14:paraId="555D8BC9" w14:textId="77777777" w:rsidR="00D74C2B" w:rsidRPr="00BA41A9" w:rsidRDefault="00D74C2B" w:rsidP="00D74C2B">
      <w:pPr>
        <w:pStyle w:val="Prrafodelista"/>
        <w:numPr>
          <w:ilvl w:val="1"/>
          <w:numId w:val="2"/>
        </w:numPr>
        <w:ind w:left="703" w:hanging="703"/>
        <w:contextualSpacing w:val="0"/>
        <w:rPr>
          <w:rFonts w:ascii="Arial" w:hAnsi="Arial" w:cs="Arial"/>
        </w:rPr>
      </w:pPr>
      <w:r w:rsidRPr="00BA41A9">
        <w:rPr>
          <w:rFonts w:ascii="Arial" w:hAnsi="Arial" w:cs="Arial"/>
        </w:rPr>
        <w:t>Llevar la contabilidad y elaborar sus informes conforme a lo previsto en dicha Ley, así como enviarlos a la Secretaría de Finanzas para su integración a los informes trimestrales y a la cuenta pública.</w:t>
      </w:r>
    </w:p>
    <w:p w14:paraId="00C8717E" w14:textId="77777777" w:rsidR="00D74C2B" w:rsidRPr="00BA41A9" w:rsidRDefault="00D74C2B" w:rsidP="00D74C2B">
      <w:pPr>
        <w:pStyle w:val="Ttulo2"/>
        <w:spacing w:line="281" w:lineRule="auto"/>
        <w:rPr>
          <w:rFonts w:ascii="Arial" w:hAnsi="Arial"/>
        </w:rPr>
      </w:pPr>
      <w:r w:rsidRPr="00BA41A9">
        <w:rPr>
          <w:rFonts w:ascii="Arial" w:hAnsi="Arial"/>
        </w:rPr>
        <w:t>Administración de los recursos financieros y materiales del Instituto</w:t>
      </w:r>
    </w:p>
    <w:p w14:paraId="24B6AF97" w14:textId="77777777" w:rsidR="00D74C2B" w:rsidRPr="00BA41A9" w:rsidRDefault="00D74C2B" w:rsidP="00D74C2B">
      <w:pPr>
        <w:spacing w:line="281" w:lineRule="auto"/>
        <w:jc w:val="both"/>
        <w:rPr>
          <w:rFonts w:ascii="Arial" w:hAnsi="Arial" w:cs="Arial"/>
          <w:sz w:val="23"/>
          <w:szCs w:val="23"/>
        </w:rPr>
      </w:pPr>
      <w:r w:rsidRPr="00BA41A9">
        <w:rPr>
          <w:rFonts w:ascii="Arial" w:hAnsi="Arial" w:cs="Arial"/>
          <w:sz w:val="23"/>
          <w:szCs w:val="23"/>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3FDB79CC" w14:textId="4F5FBAEF" w:rsidR="00B0786C" w:rsidRPr="00BA41A9" w:rsidRDefault="00822ACD" w:rsidP="00B0786C">
      <w:pPr>
        <w:pStyle w:val="Ttulo2"/>
        <w:rPr>
          <w:rFonts w:ascii="Arial" w:hAnsi="Arial"/>
        </w:rPr>
      </w:pPr>
      <w:r w:rsidRPr="00BA41A9">
        <w:rPr>
          <w:rFonts w:ascii="Arial" w:hAnsi="Arial"/>
        </w:rPr>
        <w:t>Asignación de gastos de campo</w:t>
      </w:r>
    </w:p>
    <w:p w14:paraId="3DCDC5E4" w14:textId="0067A0A9" w:rsidR="00822ACD" w:rsidRPr="00BA41A9" w:rsidRDefault="00B0786C" w:rsidP="00822ACD">
      <w:pPr>
        <w:spacing w:line="281" w:lineRule="auto"/>
        <w:jc w:val="both"/>
        <w:rPr>
          <w:rFonts w:ascii="Arial" w:hAnsi="Arial" w:cs="Arial"/>
          <w:sz w:val="23"/>
          <w:szCs w:val="23"/>
        </w:rPr>
      </w:pPr>
      <w:r w:rsidRPr="00BA41A9">
        <w:rPr>
          <w:rFonts w:ascii="Arial" w:hAnsi="Arial" w:cs="Arial"/>
          <w:sz w:val="23"/>
          <w:szCs w:val="23"/>
        </w:rPr>
        <w:t xml:space="preserve">Que, </w:t>
      </w:r>
      <w:r w:rsidR="00822ACD" w:rsidRPr="00BA41A9">
        <w:rPr>
          <w:rFonts w:ascii="Arial" w:hAnsi="Arial" w:cs="Arial"/>
          <w:sz w:val="23"/>
          <w:szCs w:val="23"/>
        </w:rPr>
        <w:t xml:space="preserve">conforme a los Lineamientos para el reclutamiento, selección y contratación aprobado por el INE, el período de contratación de las y los Supervisores Electorales Locales y Capacitadores-Asistentes Electorales Locales es del 28 de abril al 11 </w:t>
      </w:r>
      <w:r w:rsidR="009D06DE" w:rsidRPr="00BA41A9">
        <w:rPr>
          <w:rFonts w:ascii="Arial" w:hAnsi="Arial" w:cs="Arial"/>
          <w:sz w:val="23"/>
          <w:szCs w:val="23"/>
        </w:rPr>
        <w:t>de junio</w:t>
      </w:r>
      <w:r w:rsidR="00822ACD" w:rsidRPr="00BA41A9">
        <w:rPr>
          <w:rFonts w:ascii="Arial" w:hAnsi="Arial" w:cs="Arial"/>
          <w:sz w:val="23"/>
          <w:szCs w:val="23"/>
        </w:rPr>
        <w:t xml:space="preserve"> de 2024.</w:t>
      </w:r>
    </w:p>
    <w:p w14:paraId="289EDFBF" w14:textId="2F235CBD" w:rsidR="00822ACD" w:rsidRPr="00BA41A9" w:rsidRDefault="00822ACD" w:rsidP="00822ACD">
      <w:pPr>
        <w:spacing w:line="281" w:lineRule="auto"/>
        <w:jc w:val="both"/>
        <w:rPr>
          <w:rFonts w:ascii="Arial" w:hAnsi="Arial" w:cs="Arial"/>
          <w:sz w:val="23"/>
          <w:szCs w:val="23"/>
        </w:rPr>
      </w:pPr>
      <w:r w:rsidRPr="00BA41A9">
        <w:rPr>
          <w:rFonts w:ascii="Arial" w:hAnsi="Arial" w:cs="Arial"/>
          <w:sz w:val="23"/>
          <w:szCs w:val="23"/>
        </w:rPr>
        <w:t xml:space="preserve">Asimismo, el periodo de contratación podrá variar por + - 5 días de acuerdo con lo previsto por cada organismo electoral, sin embargo, éstos deberán abarcar el desarrollo de cómputos locales con base en la legislación de cada entidad. De existir </w:t>
      </w:r>
      <w:r w:rsidRPr="00BA41A9">
        <w:rPr>
          <w:rFonts w:ascii="Arial" w:hAnsi="Arial" w:cs="Arial"/>
          <w:sz w:val="23"/>
          <w:szCs w:val="23"/>
        </w:rPr>
        <w:lastRenderedPageBreak/>
        <w:t>modificaciones a los periodos establecidos, los organismos electorales deberán comunicarlo a la correspondiente Junta Local del INE en la entidad.</w:t>
      </w:r>
    </w:p>
    <w:p w14:paraId="48127FB6" w14:textId="0C92362E" w:rsidR="00192F77" w:rsidRPr="00BA41A9" w:rsidRDefault="00822ACD" w:rsidP="00192F77">
      <w:pPr>
        <w:spacing w:line="281" w:lineRule="auto"/>
        <w:jc w:val="both"/>
        <w:rPr>
          <w:rFonts w:ascii="Arial" w:hAnsi="Arial" w:cs="Arial"/>
          <w:sz w:val="23"/>
          <w:szCs w:val="23"/>
        </w:rPr>
      </w:pPr>
      <w:r w:rsidRPr="00BA41A9">
        <w:rPr>
          <w:rFonts w:ascii="Arial" w:hAnsi="Arial" w:cs="Arial"/>
          <w:sz w:val="23"/>
          <w:szCs w:val="23"/>
        </w:rPr>
        <w:t xml:space="preserve">En ese sentido, considerando </w:t>
      </w:r>
      <w:r w:rsidR="00954898" w:rsidRPr="00BA41A9">
        <w:rPr>
          <w:rFonts w:ascii="Arial" w:hAnsi="Arial" w:cs="Arial"/>
          <w:sz w:val="23"/>
          <w:szCs w:val="23"/>
        </w:rPr>
        <w:t xml:space="preserve">las actividades específicas que el Reglamento de Elecciones y su anexo, </w:t>
      </w:r>
      <w:r w:rsidR="00192F77" w:rsidRPr="00BA41A9">
        <w:rPr>
          <w:rFonts w:ascii="Arial" w:hAnsi="Arial" w:cs="Arial"/>
          <w:sz w:val="23"/>
          <w:szCs w:val="23"/>
        </w:rPr>
        <w:t>señalados incluso en los Lineamientos para el reclutamiento, selección y contratación de Supervisores/as Electorales Locales y Capacitadores/as-Asistentes Electorales Locales aprobado por el INE, resulta indispensable asignar los gastos de campo requeridos para el desarrollo de sus funciones.</w:t>
      </w:r>
    </w:p>
    <w:p w14:paraId="0705C1A3" w14:textId="0E987185" w:rsidR="001775A5" w:rsidRPr="00BA41A9" w:rsidRDefault="001775A5" w:rsidP="00192F77">
      <w:pPr>
        <w:spacing w:line="281" w:lineRule="auto"/>
        <w:jc w:val="both"/>
        <w:rPr>
          <w:rFonts w:ascii="Arial" w:hAnsi="Arial" w:cs="Arial"/>
          <w:sz w:val="23"/>
          <w:szCs w:val="23"/>
        </w:rPr>
      </w:pPr>
      <w:r w:rsidRPr="00BA41A9">
        <w:rPr>
          <w:rFonts w:ascii="Arial" w:hAnsi="Arial" w:cs="Arial"/>
          <w:sz w:val="23"/>
          <w:szCs w:val="23"/>
        </w:rPr>
        <w:t>Al respecto, los gastos de campo constituyen recursos asignados directamente a los servidores públicos, en este caso los Supervisores Electorales Locales y Capacitadores-Asistentes Electorales Locales, destinados para cubrir los recorridos, traslado y aquellos gastos menores relacionados con el desarrollo de su actividad.</w:t>
      </w:r>
    </w:p>
    <w:p w14:paraId="6C747EB0" w14:textId="67391EC7" w:rsidR="002F65F8" w:rsidRPr="00BA41A9" w:rsidRDefault="002F65F8" w:rsidP="00192F77">
      <w:pPr>
        <w:spacing w:line="281" w:lineRule="auto"/>
        <w:jc w:val="both"/>
        <w:rPr>
          <w:rFonts w:ascii="Arial" w:hAnsi="Arial" w:cs="Arial"/>
          <w:sz w:val="23"/>
          <w:szCs w:val="23"/>
        </w:rPr>
      </w:pPr>
      <w:r w:rsidRPr="00BA41A9">
        <w:rPr>
          <w:rFonts w:ascii="Arial" w:hAnsi="Arial" w:cs="Arial"/>
          <w:sz w:val="23"/>
          <w:szCs w:val="23"/>
        </w:rPr>
        <w:t xml:space="preserve">En ese sentido, </w:t>
      </w:r>
      <w:r w:rsidR="00981F5C" w:rsidRPr="00BA41A9">
        <w:rPr>
          <w:rFonts w:ascii="Arial" w:hAnsi="Arial" w:cs="Arial"/>
          <w:sz w:val="23"/>
          <w:szCs w:val="23"/>
        </w:rPr>
        <w:t xml:space="preserve">considerando la asignación presupuestal del presente ejercicio para el Instituto, </w:t>
      </w:r>
      <w:r w:rsidRPr="00BA41A9">
        <w:rPr>
          <w:rFonts w:ascii="Arial" w:hAnsi="Arial" w:cs="Arial"/>
          <w:sz w:val="23"/>
          <w:szCs w:val="23"/>
        </w:rPr>
        <w:t>la Secretaría Ejecutiva propone que los gastos de campo que se otorguen a las y los 828 servidores públicos contratados sea el siguiente:</w:t>
      </w:r>
    </w:p>
    <w:tbl>
      <w:tblPr>
        <w:tblStyle w:val="Tablaconcuadrcula"/>
        <w:tblW w:w="0" w:type="auto"/>
        <w:tblLook w:val="04A0" w:firstRow="1" w:lastRow="0" w:firstColumn="1" w:lastColumn="0" w:noHBand="0" w:noVBand="1"/>
      </w:tblPr>
      <w:tblGrid>
        <w:gridCol w:w="1401"/>
        <w:gridCol w:w="1426"/>
        <w:gridCol w:w="1392"/>
        <w:gridCol w:w="1426"/>
        <w:gridCol w:w="1496"/>
        <w:gridCol w:w="1496"/>
      </w:tblGrid>
      <w:tr w:rsidR="002F65F8" w:rsidRPr="00BA41A9" w14:paraId="6A08233C" w14:textId="77777777" w:rsidTr="002F65F8">
        <w:tc>
          <w:tcPr>
            <w:tcW w:w="1471" w:type="dxa"/>
            <w:vAlign w:val="center"/>
          </w:tcPr>
          <w:p w14:paraId="473405FB" w14:textId="011F6F8A" w:rsidR="002F65F8" w:rsidRPr="00BA41A9" w:rsidRDefault="002F65F8" w:rsidP="002F65F8">
            <w:pPr>
              <w:spacing w:line="271" w:lineRule="auto"/>
              <w:jc w:val="center"/>
              <w:rPr>
                <w:rFonts w:ascii="Arial" w:hAnsi="Arial" w:cs="Arial"/>
                <w:b/>
                <w:bCs/>
                <w:sz w:val="16"/>
                <w:szCs w:val="16"/>
              </w:rPr>
            </w:pPr>
            <w:r w:rsidRPr="00BA41A9">
              <w:rPr>
                <w:rFonts w:ascii="Arial" w:hAnsi="Arial" w:cs="Arial"/>
                <w:b/>
                <w:bCs/>
                <w:sz w:val="16"/>
                <w:szCs w:val="16"/>
              </w:rPr>
              <w:t>Total de SE/CAEL</w:t>
            </w:r>
          </w:p>
        </w:tc>
        <w:tc>
          <w:tcPr>
            <w:tcW w:w="1471" w:type="dxa"/>
            <w:vAlign w:val="center"/>
          </w:tcPr>
          <w:p w14:paraId="31D63D4F" w14:textId="010A25C3" w:rsidR="002F65F8" w:rsidRPr="00BA41A9" w:rsidRDefault="002F65F8" w:rsidP="002F65F8">
            <w:pPr>
              <w:spacing w:line="271" w:lineRule="auto"/>
              <w:jc w:val="center"/>
              <w:rPr>
                <w:rFonts w:ascii="Arial" w:hAnsi="Arial" w:cs="Arial"/>
                <w:b/>
                <w:bCs/>
                <w:sz w:val="16"/>
                <w:szCs w:val="16"/>
              </w:rPr>
            </w:pPr>
            <w:r w:rsidRPr="00BA41A9">
              <w:rPr>
                <w:rFonts w:ascii="Arial" w:hAnsi="Arial" w:cs="Arial"/>
                <w:b/>
                <w:bCs/>
                <w:sz w:val="16"/>
                <w:szCs w:val="16"/>
              </w:rPr>
              <w:t>Importe bruto</w:t>
            </w:r>
          </w:p>
        </w:tc>
        <w:tc>
          <w:tcPr>
            <w:tcW w:w="1471" w:type="dxa"/>
            <w:vAlign w:val="center"/>
          </w:tcPr>
          <w:p w14:paraId="02FAD259" w14:textId="6F766D74" w:rsidR="002F65F8" w:rsidRPr="00BA41A9" w:rsidRDefault="002F65F8" w:rsidP="002F65F8">
            <w:pPr>
              <w:spacing w:line="271" w:lineRule="auto"/>
              <w:jc w:val="center"/>
              <w:rPr>
                <w:rFonts w:ascii="Arial" w:hAnsi="Arial" w:cs="Arial"/>
                <w:b/>
                <w:bCs/>
                <w:sz w:val="16"/>
                <w:szCs w:val="16"/>
              </w:rPr>
            </w:pPr>
            <w:r w:rsidRPr="00BA41A9">
              <w:rPr>
                <w:rFonts w:ascii="Arial" w:hAnsi="Arial" w:cs="Arial"/>
                <w:b/>
                <w:bCs/>
                <w:sz w:val="16"/>
                <w:szCs w:val="16"/>
              </w:rPr>
              <w:t>ISR</w:t>
            </w:r>
          </w:p>
        </w:tc>
        <w:tc>
          <w:tcPr>
            <w:tcW w:w="1471" w:type="dxa"/>
            <w:vAlign w:val="center"/>
          </w:tcPr>
          <w:p w14:paraId="6B646138" w14:textId="242F1285" w:rsidR="002F65F8" w:rsidRPr="00BA41A9" w:rsidRDefault="002F65F8" w:rsidP="002F65F8">
            <w:pPr>
              <w:spacing w:line="271" w:lineRule="auto"/>
              <w:jc w:val="center"/>
              <w:rPr>
                <w:rFonts w:ascii="Arial" w:hAnsi="Arial" w:cs="Arial"/>
                <w:b/>
                <w:bCs/>
                <w:sz w:val="16"/>
                <w:szCs w:val="16"/>
              </w:rPr>
            </w:pPr>
            <w:r w:rsidRPr="00BA41A9">
              <w:rPr>
                <w:rFonts w:ascii="Arial" w:hAnsi="Arial" w:cs="Arial"/>
                <w:b/>
                <w:bCs/>
                <w:sz w:val="16"/>
                <w:szCs w:val="16"/>
              </w:rPr>
              <w:t>Importe neto</w:t>
            </w:r>
          </w:p>
        </w:tc>
        <w:tc>
          <w:tcPr>
            <w:tcW w:w="1472" w:type="dxa"/>
            <w:vAlign w:val="center"/>
          </w:tcPr>
          <w:p w14:paraId="04F286BA" w14:textId="7000CEB8" w:rsidR="002F65F8" w:rsidRPr="00BA41A9" w:rsidRDefault="002F65F8" w:rsidP="002F65F8">
            <w:pPr>
              <w:spacing w:line="271" w:lineRule="auto"/>
              <w:jc w:val="center"/>
              <w:rPr>
                <w:rFonts w:ascii="Arial" w:hAnsi="Arial" w:cs="Arial"/>
                <w:b/>
                <w:bCs/>
                <w:sz w:val="16"/>
                <w:szCs w:val="16"/>
              </w:rPr>
            </w:pPr>
            <w:r w:rsidRPr="00BA41A9">
              <w:rPr>
                <w:rFonts w:ascii="Arial" w:hAnsi="Arial" w:cs="Arial"/>
                <w:b/>
                <w:bCs/>
                <w:sz w:val="16"/>
                <w:szCs w:val="16"/>
              </w:rPr>
              <w:t>Total mensual bruto</w:t>
            </w:r>
          </w:p>
        </w:tc>
        <w:tc>
          <w:tcPr>
            <w:tcW w:w="1472" w:type="dxa"/>
            <w:vAlign w:val="center"/>
          </w:tcPr>
          <w:p w14:paraId="67274ED5" w14:textId="077738FF" w:rsidR="002F65F8" w:rsidRPr="00BA41A9" w:rsidRDefault="002F65F8" w:rsidP="002F65F8">
            <w:pPr>
              <w:spacing w:line="271" w:lineRule="auto"/>
              <w:jc w:val="center"/>
              <w:rPr>
                <w:rFonts w:ascii="Arial" w:hAnsi="Arial" w:cs="Arial"/>
                <w:b/>
                <w:bCs/>
                <w:sz w:val="16"/>
                <w:szCs w:val="16"/>
              </w:rPr>
            </w:pPr>
            <w:r w:rsidRPr="00BA41A9">
              <w:rPr>
                <w:rFonts w:ascii="Arial" w:hAnsi="Arial" w:cs="Arial"/>
                <w:b/>
                <w:bCs/>
                <w:sz w:val="16"/>
                <w:szCs w:val="16"/>
              </w:rPr>
              <w:t>Total mensual neto</w:t>
            </w:r>
          </w:p>
        </w:tc>
      </w:tr>
      <w:tr w:rsidR="002F65F8" w:rsidRPr="00BA41A9" w14:paraId="25DD0D7E" w14:textId="77777777" w:rsidTr="002F65F8">
        <w:tc>
          <w:tcPr>
            <w:tcW w:w="1471" w:type="dxa"/>
            <w:vAlign w:val="center"/>
          </w:tcPr>
          <w:p w14:paraId="67EC5E0B" w14:textId="6FB150A0" w:rsidR="002F65F8" w:rsidRPr="00BA41A9" w:rsidRDefault="002F65F8" w:rsidP="00981F5C">
            <w:pPr>
              <w:spacing w:line="271" w:lineRule="auto"/>
              <w:jc w:val="center"/>
              <w:rPr>
                <w:rFonts w:ascii="Arial" w:hAnsi="Arial" w:cs="Arial"/>
                <w:b/>
                <w:bCs/>
                <w:sz w:val="20"/>
                <w:szCs w:val="20"/>
              </w:rPr>
            </w:pPr>
            <w:r w:rsidRPr="00BA41A9">
              <w:rPr>
                <w:rFonts w:ascii="Arial" w:hAnsi="Arial" w:cs="Arial"/>
                <w:b/>
                <w:bCs/>
                <w:sz w:val="20"/>
                <w:szCs w:val="20"/>
              </w:rPr>
              <w:t>828</w:t>
            </w:r>
          </w:p>
        </w:tc>
        <w:tc>
          <w:tcPr>
            <w:tcW w:w="1471" w:type="dxa"/>
            <w:vAlign w:val="center"/>
          </w:tcPr>
          <w:p w14:paraId="71E0C288" w14:textId="4B923B3F" w:rsidR="002F65F8" w:rsidRPr="00BA41A9" w:rsidRDefault="002F65F8" w:rsidP="00981F5C">
            <w:pPr>
              <w:spacing w:line="271" w:lineRule="auto"/>
              <w:jc w:val="center"/>
              <w:rPr>
                <w:rFonts w:ascii="Arial" w:hAnsi="Arial" w:cs="Arial"/>
                <w:b/>
                <w:bCs/>
                <w:sz w:val="20"/>
                <w:szCs w:val="20"/>
              </w:rPr>
            </w:pPr>
            <w:r w:rsidRPr="00BA41A9">
              <w:rPr>
                <w:rFonts w:ascii="Arial" w:hAnsi="Arial" w:cs="Arial"/>
                <w:b/>
                <w:bCs/>
                <w:sz w:val="20"/>
                <w:szCs w:val="20"/>
              </w:rPr>
              <w:t>$4,006.00</w:t>
            </w:r>
          </w:p>
        </w:tc>
        <w:tc>
          <w:tcPr>
            <w:tcW w:w="1471" w:type="dxa"/>
            <w:vAlign w:val="center"/>
          </w:tcPr>
          <w:p w14:paraId="5693C2E2" w14:textId="1D2EBD90" w:rsidR="002F65F8" w:rsidRPr="00BA41A9" w:rsidRDefault="002F65F8" w:rsidP="00981F5C">
            <w:pPr>
              <w:spacing w:line="271" w:lineRule="auto"/>
              <w:jc w:val="center"/>
              <w:rPr>
                <w:rFonts w:ascii="Arial" w:hAnsi="Arial" w:cs="Arial"/>
                <w:b/>
                <w:bCs/>
                <w:sz w:val="20"/>
                <w:szCs w:val="20"/>
              </w:rPr>
            </w:pPr>
            <w:r w:rsidRPr="00BA41A9">
              <w:rPr>
                <w:rFonts w:ascii="Arial" w:hAnsi="Arial" w:cs="Arial"/>
                <w:b/>
                <w:bCs/>
                <w:sz w:val="20"/>
                <w:szCs w:val="20"/>
              </w:rPr>
              <w:t>222.96</w:t>
            </w:r>
          </w:p>
        </w:tc>
        <w:tc>
          <w:tcPr>
            <w:tcW w:w="1471" w:type="dxa"/>
            <w:vAlign w:val="center"/>
          </w:tcPr>
          <w:p w14:paraId="7DA82C18" w14:textId="62973F0A" w:rsidR="002F65F8" w:rsidRPr="00BA41A9" w:rsidRDefault="002F65F8" w:rsidP="00981F5C">
            <w:pPr>
              <w:spacing w:line="271" w:lineRule="auto"/>
              <w:jc w:val="center"/>
              <w:rPr>
                <w:rFonts w:ascii="Arial" w:hAnsi="Arial" w:cs="Arial"/>
                <w:b/>
                <w:bCs/>
                <w:sz w:val="20"/>
                <w:szCs w:val="20"/>
              </w:rPr>
            </w:pPr>
            <w:r w:rsidRPr="00BA41A9">
              <w:rPr>
                <w:rFonts w:ascii="Arial" w:hAnsi="Arial" w:cs="Arial"/>
                <w:b/>
                <w:bCs/>
                <w:sz w:val="20"/>
                <w:szCs w:val="20"/>
              </w:rPr>
              <w:t>$</w:t>
            </w:r>
            <w:r w:rsidR="00D5479A" w:rsidRPr="00BA41A9">
              <w:rPr>
                <w:rFonts w:ascii="Arial" w:hAnsi="Arial" w:cs="Arial"/>
                <w:b/>
                <w:bCs/>
                <w:sz w:val="20"/>
                <w:szCs w:val="20"/>
              </w:rPr>
              <w:t>3,78</w:t>
            </w:r>
            <w:r w:rsidR="009D06DE" w:rsidRPr="00BA41A9">
              <w:rPr>
                <w:rFonts w:ascii="Arial" w:hAnsi="Arial" w:cs="Arial"/>
                <w:b/>
                <w:bCs/>
                <w:sz w:val="20"/>
                <w:szCs w:val="20"/>
              </w:rPr>
              <w:t>3</w:t>
            </w:r>
            <w:r w:rsidR="00D5479A" w:rsidRPr="00BA41A9">
              <w:rPr>
                <w:rFonts w:ascii="Arial" w:hAnsi="Arial" w:cs="Arial"/>
                <w:b/>
                <w:bCs/>
                <w:sz w:val="20"/>
                <w:szCs w:val="20"/>
              </w:rPr>
              <w:t>.04</w:t>
            </w:r>
          </w:p>
        </w:tc>
        <w:tc>
          <w:tcPr>
            <w:tcW w:w="1472" w:type="dxa"/>
            <w:vAlign w:val="center"/>
          </w:tcPr>
          <w:p w14:paraId="37B08650" w14:textId="7F76DC5B" w:rsidR="002F65F8" w:rsidRPr="00BA41A9" w:rsidRDefault="00D5479A" w:rsidP="00981F5C">
            <w:pPr>
              <w:spacing w:line="271" w:lineRule="auto"/>
              <w:jc w:val="center"/>
              <w:rPr>
                <w:rFonts w:ascii="Arial" w:hAnsi="Arial" w:cs="Arial"/>
                <w:b/>
                <w:bCs/>
                <w:sz w:val="20"/>
                <w:szCs w:val="20"/>
              </w:rPr>
            </w:pPr>
            <w:r w:rsidRPr="00BA41A9">
              <w:rPr>
                <w:rFonts w:ascii="Arial" w:hAnsi="Arial" w:cs="Arial"/>
                <w:b/>
                <w:bCs/>
                <w:sz w:val="20"/>
                <w:szCs w:val="20"/>
              </w:rPr>
              <w:t>$3’316</w:t>
            </w:r>
            <w:r w:rsidR="00981F5C" w:rsidRPr="00BA41A9">
              <w:rPr>
                <w:rFonts w:ascii="Arial" w:hAnsi="Arial" w:cs="Arial"/>
                <w:b/>
                <w:bCs/>
                <w:sz w:val="20"/>
                <w:szCs w:val="20"/>
              </w:rPr>
              <w:t>,</w:t>
            </w:r>
            <w:r w:rsidRPr="00BA41A9">
              <w:rPr>
                <w:rFonts w:ascii="Arial" w:hAnsi="Arial" w:cs="Arial"/>
                <w:b/>
                <w:bCs/>
                <w:sz w:val="20"/>
                <w:szCs w:val="20"/>
              </w:rPr>
              <w:t>968.00</w:t>
            </w:r>
          </w:p>
        </w:tc>
        <w:tc>
          <w:tcPr>
            <w:tcW w:w="1472" w:type="dxa"/>
            <w:vAlign w:val="center"/>
          </w:tcPr>
          <w:p w14:paraId="0A1D6CA1" w14:textId="573AA272" w:rsidR="002F65F8" w:rsidRPr="00BA41A9" w:rsidRDefault="00D5479A" w:rsidP="00981F5C">
            <w:pPr>
              <w:spacing w:line="271" w:lineRule="auto"/>
              <w:jc w:val="center"/>
              <w:rPr>
                <w:rFonts w:ascii="Arial" w:hAnsi="Arial" w:cs="Arial"/>
                <w:b/>
                <w:bCs/>
                <w:sz w:val="20"/>
                <w:szCs w:val="20"/>
              </w:rPr>
            </w:pPr>
            <w:r w:rsidRPr="00BA41A9">
              <w:rPr>
                <w:rFonts w:ascii="Arial" w:hAnsi="Arial" w:cs="Arial"/>
                <w:b/>
                <w:bCs/>
                <w:sz w:val="20"/>
                <w:szCs w:val="20"/>
              </w:rPr>
              <w:t>$3</w:t>
            </w:r>
            <w:r w:rsidR="00981F5C" w:rsidRPr="00BA41A9">
              <w:rPr>
                <w:rFonts w:ascii="Arial" w:hAnsi="Arial" w:cs="Arial"/>
                <w:b/>
                <w:bCs/>
                <w:sz w:val="20"/>
                <w:szCs w:val="20"/>
              </w:rPr>
              <w:t>’</w:t>
            </w:r>
            <w:r w:rsidRPr="00BA41A9">
              <w:rPr>
                <w:rFonts w:ascii="Arial" w:hAnsi="Arial" w:cs="Arial"/>
                <w:b/>
                <w:bCs/>
                <w:sz w:val="20"/>
                <w:szCs w:val="20"/>
              </w:rPr>
              <w:t>132</w:t>
            </w:r>
            <w:r w:rsidR="00981F5C" w:rsidRPr="00BA41A9">
              <w:rPr>
                <w:rFonts w:ascii="Arial" w:hAnsi="Arial" w:cs="Arial"/>
                <w:b/>
                <w:bCs/>
                <w:sz w:val="20"/>
                <w:szCs w:val="20"/>
              </w:rPr>
              <w:t>,357.12</w:t>
            </w:r>
          </w:p>
        </w:tc>
      </w:tr>
    </w:tbl>
    <w:p w14:paraId="1C989086" w14:textId="77777777" w:rsidR="002F65F8" w:rsidRPr="00BA41A9" w:rsidRDefault="002F65F8" w:rsidP="00192F77">
      <w:pPr>
        <w:spacing w:line="281" w:lineRule="auto"/>
        <w:jc w:val="both"/>
        <w:rPr>
          <w:rFonts w:ascii="Arial" w:hAnsi="Arial" w:cs="Arial"/>
          <w:sz w:val="23"/>
          <w:szCs w:val="23"/>
        </w:rPr>
      </w:pPr>
    </w:p>
    <w:p w14:paraId="6DEFB0C5" w14:textId="0D30AD8D" w:rsidR="00981F5C" w:rsidRPr="00BA41A9" w:rsidRDefault="00981F5C" w:rsidP="00F53452">
      <w:pPr>
        <w:spacing w:before="240" w:after="240" w:line="281" w:lineRule="auto"/>
        <w:jc w:val="both"/>
        <w:rPr>
          <w:rFonts w:ascii="Arial" w:hAnsi="Arial" w:cs="Arial"/>
          <w:sz w:val="23"/>
          <w:szCs w:val="23"/>
        </w:rPr>
      </w:pPr>
      <w:r w:rsidRPr="00BA41A9">
        <w:rPr>
          <w:rFonts w:ascii="Arial" w:hAnsi="Arial" w:cs="Arial"/>
          <w:sz w:val="23"/>
          <w:szCs w:val="23"/>
        </w:rPr>
        <w:t xml:space="preserve">Es importante señalar que, la cantidad determinada </w:t>
      </w:r>
      <w:r w:rsidR="008761FF" w:rsidRPr="00BA41A9">
        <w:rPr>
          <w:rFonts w:ascii="Arial" w:hAnsi="Arial" w:cs="Arial"/>
          <w:sz w:val="23"/>
          <w:szCs w:val="23"/>
        </w:rPr>
        <w:t>por concepto de gastos de campo no rebasa los establecidos por el INE para las figuras federales, de acuerdo con los Lineamientos para el reclutamiento, selección y contratación de Supervisores/as Electorales Locales y Capacitadores/as-Asistentes Electorales Locales aprobado por la autoridad nacional.</w:t>
      </w:r>
    </w:p>
    <w:p w14:paraId="339852A5" w14:textId="34D0D724" w:rsidR="00F53452" w:rsidRDefault="00F53452" w:rsidP="00F53452">
      <w:pPr>
        <w:spacing w:before="240" w:after="240" w:line="281" w:lineRule="auto"/>
        <w:jc w:val="both"/>
        <w:rPr>
          <w:rFonts w:ascii="Arial" w:hAnsi="Arial" w:cs="Arial"/>
          <w:sz w:val="23"/>
          <w:szCs w:val="23"/>
        </w:rPr>
      </w:pPr>
      <w:r w:rsidRPr="00BA41A9">
        <w:rPr>
          <w:rFonts w:ascii="Arial" w:hAnsi="Arial" w:cs="Arial"/>
          <w:sz w:val="23"/>
          <w:szCs w:val="23"/>
        </w:rPr>
        <w:t>Sobre la base de las consideraciones señaladas, esta Junta Ejecutiva emite el siguiente:</w:t>
      </w:r>
    </w:p>
    <w:p w14:paraId="4ADA4AA2" w14:textId="77777777" w:rsidR="00BA41A9" w:rsidRPr="00BA41A9" w:rsidRDefault="00BA41A9" w:rsidP="00F53452">
      <w:pPr>
        <w:spacing w:before="240" w:after="240" w:line="281" w:lineRule="auto"/>
        <w:jc w:val="both"/>
        <w:rPr>
          <w:rFonts w:ascii="Arial" w:hAnsi="Arial" w:cs="Arial"/>
          <w:sz w:val="23"/>
          <w:szCs w:val="23"/>
        </w:rPr>
      </w:pPr>
    </w:p>
    <w:p w14:paraId="75A75B3B" w14:textId="00533477" w:rsidR="00F53452" w:rsidRDefault="00F53452" w:rsidP="00F53452">
      <w:pPr>
        <w:pStyle w:val="Ttulo1"/>
        <w:spacing w:before="240"/>
        <w:ind w:left="432" w:hanging="432"/>
        <w:rPr>
          <w:rFonts w:ascii="Arial" w:hAnsi="Arial"/>
          <w:sz w:val="24"/>
          <w:szCs w:val="24"/>
        </w:rPr>
      </w:pPr>
      <w:r w:rsidRPr="00BA41A9">
        <w:rPr>
          <w:rFonts w:ascii="Arial" w:hAnsi="Arial"/>
          <w:sz w:val="24"/>
          <w:szCs w:val="24"/>
        </w:rPr>
        <w:t>Acuerdo</w:t>
      </w:r>
    </w:p>
    <w:p w14:paraId="42F6EA40" w14:textId="511A5402" w:rsidR="006708A5" w:rsidRDefault="00F53452" w:rsidP="00F53452">
      <w:pPr>
        <w:spacing w:before="240" w:after="240" w:line="281" w:lineRule="auto"/>
        <w:jc w:val="both"/>
        <w:rPr>
          <w:rFonts w:ascii="Arial" w:hAnsi="Arial" w:cs="Arial"/>
          <w:sz w:val="23"/>
          <w:szCs w:val="23"/>
        </w:rPr>
      </w:pPr>
      <w:r w:rsidRPr="00BA41A9">
        <w:rPr>
          <w:rFonts w:ascii="Arial" w:hAnsi="Arial" w:cs="Arial"/>
          <w:b/>
          <w:sz w:val="23"/>
          <w:szCs w:val="23"/>
        </w:rPr>
        <w:t>Primero.</w:t>
      </w:r>
      <w:r w:rsidRPr="00BA41A9">
        <w:rPr>
          <w:rFonts w:ascii="Arial" w:hAnsi="Arial" w:cs="Arial"/>
          <w:sz w:val="23"/>
          <w:szCs w:val="23"/>
        </w:rPr>
        <w:t xml:space="preserve"> </w:t>
      </w:r>
      <w:r w:rsidR="00B0786C" w:rsidRPr="00BA41A9">
        <w:rPr>
          <w:rFonts w:ascii="Arial" w:hAnsi="Arial" w:cs="Arial"/>
          <w:sz w:val="23"/>
          <w:szCs w:val="23"/>
        </w:rPr>
        <w:t xml:space="preserve">Se </w:t>
      </w:r>
      <w:r w:rsidR="006708A5" w:rsidRPr="00BA41A9">
        <w:rPr>
          <w:rFonts w:ascii="Arial" w:hAnsi="Arial" w:cs="Arial"/>
          <w:sz w:val="23"/>
          <w:szCs w:val="23"/>
        </w:rPr>
        <w:t>determina el importe para el pago mensual de Gastos de Campo para los Supervisores y Capacitadores Asistentes Electorales Locales con motivo del Proceso Electoral Local Ordinario 2023 – 2024 de conformidad con lo siguiente:</w:t>
      </w:r>
    </w:p>
    <w:p w14:paraId="7A15A1DF" w14:textId="77777777" w:rsidR="00BA41A9" w:rsidRPr="00BA41A9" w:rsidRDefault="00BA41A9" w:rsidP="00F53452">
      <w:pPr>
        <w:spacing w:before="240" w:after="240" w:line="281" w:lineRule="auto"/>
        <w:jc w:val="both"/>
        <w:rPr>
          <w:rFonts w:ascii="Arial" w:hAnsi="Arial" w:cs="Arial"/>
          <w:sz w:val="23"/>
          <w:szCs w:val="23"/>
        </w:rPr>
      </w:pPr>
    </w:p>
    <w:tbl>
      <w:tblPr>
        <w:tblStyle w:val="Tablaconcuadrcula"/>
        <w:tblW w:w="0" w:type="auto"/>
        <w:tblLook w:val="04A0" w:firstRow="1" w:lastRow="0" w:firstColumn="1" w:lastColumn="0" w:noHBand="0" w:noVBand="1"/>
      </w:tblPr>
      <w:tblGrid>
        <w:gridCol w:w="1401"/>
        <w:gridCol w:w="1426"/>
        <w:gridCol w:w="1392"/>
        <w:gridCol w:w="1426"/>
        <w:gridCol w:w="1496"/>
        <w:gridCol w:w="1496"/>
      </w:tblGrid>
      <w:tr w:rsidR="006708A5" w:rsidRPr="00BA41A9" w14:paraId="55ED4E3B" w14:textId="77777777" w:rsidTr="00856206">
        <w:tc>
          <w:tcPr>
            <w:tcW w:w="1471" w:type="dxa"/>
            <w:vAlign w:val="center"/>
          </w:tcPr>
          <w:p w14:paraId="3C385854" w14:textId="77777777" w:rsidR="006708A5" w:rsidRPr="00BA41A9" w:rsidRDefault="006708A5" w:rsidP="00856206">
            <w:pPr>
              <w:spacing w:line="271" w:lineRule="auto"/>
              <w:jc w:val="center"/>
              <w:rPr>
                <w:rFonts w:ascii="Arial" w:hAnsi="Arial" w:cs="Arial"/>
                <w:b/>
                <w:bCs/>
                <w:sz w:val="16"/>
                <w:szCs w:val="16"/>
              </w:rPr>
            </w:pPr>
            <w:r w:rsidRPr="00BA41A9">
              <w:rPr>
                <w:rFonts w:ascii="Arial" w:hAnsi="Arial" w:cs="Arial"/>
                <w:b/>
                <w:bCs/>
                <w:sz w:val="16"/>
                <w:szCs w:val="16"/>
              </w:rPr>
              <w:lastRenderedPageBreak/>
              <w:t>Total de SE/CAEL</w:t>
            </w:r>
          </w:p>
        </w:tc>
        <w:tc>
          <w:tcPr>
            <w:tcW w:w="1471" w:type="dxa"/>
            <w:vAlign w:val="center"/>
          </w:tcPr>
          <w:p w14:paraId="58A16129" w14:textId="77777777" w:rsidR="006708A5" w:rsidRPr="00BA41A9" w:rsidRDefault="006708A5" w:rsidP="00856206">
            <w:pPr>
              <w:spacing w:line="271" w:lineRule="auto"/>
              <w:jc w:val="center"/>
              <w:rPr>
                <w:rFonts w:ascii="Arial" w:hAnsi="Arial" w:cs="Arial"/>
                <w:b/>
                <w:bCs/>
                <w:sz w:val="16"/>
                <w:szCs w:val="16"/>
              </w:rPr>
            </w:pPr>
            <w:r w:rsidRPr="00BA41A9">
              <w:rPr>
                <w:rFonts w:ascii="Arial" w:hAnsi="Arial" w:cs="Arial"/>
                <w:b/>
                <w:bCs/>
                <w:sz w:val="16"/>
                <w:szCs w:val="16"/>
              </w:rPr>
              <w:t>Importe bruto</w:t>
            </w:r>
          </w:p>
        </w:tc>
        <w:tc>
          <w:tcPr>
            <w:tcW w:w="1471" w:type="dxa"/>
            <w:vAlign w:val="center"/>
          </w:tcPr>
          <w:p w14:paraId="42194925" w14:textId="77777777" w:rsidR="006708A5" w:rsidRPr="00BA41A9" w:rsidRDefault="006708A5" w:rsidP="00856206">
            <w:pPr>
              <w:spacing w:line="271" w:lineRule="auto"/>
              <w:jc w:val="center"/>
              <w:rPr>
                <w:rFonts w:ascii="Arial" w:hAnsi="Arial" w:cs="Arial"/>
                <w:b/>
                <w:bCs/>
                <w:sz w:val="16"/>
                <w:szCs w:val="16"/>
              </w:rPr>
            </w:pPr>
            <w:r w:rsidRPr="00BA41A9">
              <w:rPr>
                <w:rFonts w:ascii="Arial" w:hAnsi="Arial" w:cs="Arial"/>
                <w:b/>
                <w:bCs/>
                <w:sz w:val="16"/>
                <w:szCs w:val="16"/>
              </w:rPr>
              <w:t>ISR</w:t>
            </w:r>
          </w:p>
        </w:tc>
        <w:tc>
          <w:tcPr>
            <w:tcW w:w="1471" w:type="dxa"/>
            <w:vAlign w:val="center"/>
          </w:tcPr>
          <w:p w14:paraId="5F17F5D1" w14:textId="77777777" w:rsidR="006708A5" w:rsidRPr="00BA41A9" w:rsidRDefault="006708A5" w:rsidP="00856206">
            <w:pPr>
              <w:spacing w:line="271" w:lineRule="auto"/>
              <w:jc w:val="center"/>
              <w:rPr>
                <w:rFonts w:ascii="Arial" w:hAnsi="Arial" w:cs="Arial"/>
                <w:b/>
                <w:bCs/>
                <w:sz w:val="16"/>
                <w:szCs w:val="16"/>
              </w:rPr>
            </w:pPr>
            <w:r w:rsidRPr="00BA41A9">
              <w:rPr>
                <w:rFonts w:ascii="Arial" w:hAnsi="Arial" w:cs="Arial"/>
                <w:b/>
                <w:bCs/>
                <w:sz w:val="16"/>
                <w:szCs w:val="16"/>
              </w:rPr>
              <w:t>Importe neto</w:t>
            </w:r>
          </w:p>
        </w:tc>
        <w:tc>
          <w:tcPr>
            <w:tcW w:w="1472" w:type="dxa"/>
            <w:vAlign w:val="center"/>
          </w:tcPr>
          <w:p w14:paraId="353E49EA" w14:textId="77777777" w:rsidR="006708A5" w:rsidRPr="00BA41A9" w:rsidRDefault="006708A5" w:rsidP="00856206">
            <w:pPr>
              <w:spacing w:line="271" w:lineRule="auto"/>
              <w:jc w:val="center"/>
              <w:rPr>
                <w:rFonts w:ascii="Arial" w:hAnsi="Arial" w:cs="Arial"/>
                <w:b/>
                <w:bCs/>
                <w:sz w:val="16"/>
                <w:szCs w:val="16"/>
              </w:rPr>
            </w:pPr>
            <w:r w:rsidRPr="00BA41A9">
              <w:rPr>
                <w:rFonts w:ascii="Arial" w:hAnsi="Arial" w:cs="Arial"/>
                <w:b/>
                <w:bCs/>
                <w:sz w:val="16"/>
                <w:szCs w:val="16"/>
              </w:rPr>
              <w:t>Total mensual bruto</w:t>
            </w:r>
          </w:p>
        </w:tc>
        <w:tc>
          <w:tcPr>
            <w:tcW w:w="1472" w:type="dxa"/>
            <w:vAlign w:val="center"/>
          </w:tcPr>
          <w:p w14:paraId="31A65A92" w14:textId="77777777" w:rsidR="006708A5" w:rsidRPr="00BA41A9" w:rsidRDefault="006708A5" w:rsidP="00856206">
            <w:pPr>
              <w:spacing w:line="271" w:lineRule="auto"/>
              <w:jc w:val="center"/>
              <w:rPr>
                <w:rFonts w:ascii="Arial" w:hAnsi="Arial" w:cs="Arial"/>
                <w:b/>
                <w:bCs/>
                <w:sz w:val="16"/>
                <w:szCs w:val="16"/>
              </w:rPr>
            </w:pPr>
            <w:r w:rsidRPr="00BA41A9">
              <w:rPr>
                <w:rFonts w:ascii="Arial" w:hAnsi="Arial" w:cs="Arial"/>
                <w:b/>
                <w:bCs/>
                <w:sz w:val="16"/>
                <w:szCs w:val="16"/>
              </w:rPr>
              <w:t>Total mensual neto</w:t>
            </w:r>
          </w:p>
        </w:tc>
      </w:tr>
      <w:tr w:rsidR="006708A5" w:rsidRPr="00BA41A9" w14:paraId="38784550" w14:textId="77777777" w:rsidTr="00856206">
        <w:tc>
          <w:tcPr>
            <w:tcW w:w="1471" w:type="dxa"/>
            <w:vAlign w:val="center"/>
          </w:tcPr>
          <w:p w14:paraId="0BDF1A4F" w14:textId="77777777" w:rsidR="006708A5" w:rsidRPr="00BA41A9" w:rsidRDefault="006708A5" w:rsidP="00856206">
            <w:pPr>
              <w:spacing w:line="271" w:lineRule="auto"/>
              <w:jc w:val="center"/>
              <w:rPr>
                <w:rFonts w:ascii="Arial" w:hAnsi="Arial" w:cs="Arial"/>
                <w:b/>
                <w:bCs/>
                <w:sz w:val="20"/>
                <w:szCs w:val="20"/>
              </w:rPr>
            </w:pPr>
            <w:r w:rsidRPr="00BA41A9">
              <w:rPr>
                <w:rFonts w:ascii="Arial" w:hAnsi="Arial" w:cs="Arial"/>
                <w:b/>
                <w:bCs/>
                <w:sz w:val="20"/>
                <w:szCs w:val="20"/>
              </w:rPr>
              <w:t>828</w:t>
            </w:r>
          </w:p>
        </w:tc>
        <w:tc>
          <w:tcPr>
            <w:tcW w:w="1471" w:type="dxa"/>
            <w:vAlign w:val="center"/>
          </w:tcPr>
          <w:p w14:paraId="0900F942" w14:textId="77777777" w:rsidR="006708A5" w:rsidRPr="00BA41A9" w:rsidRDefault="006708A5" w:rsidP="00856206">
            <w:pPr>
              <w:spacing w:line="271" w:lineRule="auto"/>
              <w:jc w:val="center"/>
              <w:rPr>
                <w:rFonts w:ascii="Arial" w:hAnsi="Arial" w:cs="Arial"/>
                <w:b/>
                <w:bCs/>
                <w:sz w:val="20"/>
                <w:szCs w:val="20"/>
              </w:rPr>
            </w:pPr>
            <w:r w:rsidRPr="00BA41A9">
              <w:rPr>
                <w:rFonts w:ascii="Arial" w:hAnsi="Arial" w:cs="Arial"/>
                <w:b/>
                <w:bCs/>
                <w:sz w:val="20"/>
                <w:szCs w:val="20"/>
              </w:rPr>
              <w:t>$4,006.00</w:t>
            </w:r>
          </w:p>
        </w:tc>
        <w:tc>
          <w:tcPr>
            <w:tcW w:w="1471" w:type="dxa"/>
            <w:vAlign w:val="center"/>
          </w:tcPr>
          <w:p w14:paraId="05670111" w14:textId="77777777" w:rsidR="006708A5" w:rsidRPr="00BA41A9" w:rsidRDefault="006708A5" w:rsidP="00856206">
            <w:pPr>
              <w:spacing w:line="271" w:lineRule="auto"/>
              <w:jc w:val="center"/>
              <w:rPr>
                <w:rFonts w:ascii="Arial" w:hAnsi="Arial" w:cs="Arial"/>
                <w:b/>
                <w:bCs/>
                <w:sz w:val="20"/>
                <w:szCs w:val="20"/>
              </w:rPr>
            </w:pPr>
            <w:r w:rsidRPr="00BA41A9">
              <w:rPr>
                <w:rFonts w:ascii="Arial" w:hAnsi="Arial" w:cs="Arial"/>
                <w:b/>
                <w:bCs/>
                <w:sz w:val="20"/>
                <w:szCs w:val="20"/>
              </w:rPr>
              <w:t>222.96</w:t>
            </w:r>
          </w:p>
        </w:tc>
        <w:tc>
          <w:tcPr>
            <w:tcW w:w="1471" w:type="dxa"/>
            <w:vAlign w:val="center"/>
          </w:tcPr>
          <w:p w14:paraId="5BA0A378" w14:textId="27B432C1" w:rsidR="006708A5" w:rsidRPr="00BA41A9" w:rsidRDefault="006708A5" w:rsidP="00856206">
            <w:pPr>
              <w:spacing w:line="271" w:lineRule="auto"/>
              <w:jc w:val="center"/>
              <w:rPr>
                <w:rFonts w:ascii="Arial" w:hAnsi="Arial" w:cs="Arial"/>
                <w:b/>
                <w:bCs/>
                <w:sz w:val="20"/>
                <w:szCs w:val="20"/>
              </w:rPr>
            </w:pPr>
            <w:r w:rsidRPr="00BA41A9">
              <w:rPr>
                <w:rFonts w:ascii="Arial" w:hAnsi="Arial" w:cs="Arial"/>
                <w:b/>
                <w:bCs/>
                <w:sz w:val="20"/>
                <w:szCs w:val="20"/>
              </w:rPr>
              <w:t>$3,78</w:t>
            </w:r>
            <w:r w:rsidR="009D06DE" w:rsidRPr="00BA41A9">
              <w:rPr>
                <w:rFonts w:ascii="Arial" w:hAnsi="Arial" w:cs="Arial"/>
                <w:b/>
                <w:bCs/>
                <w:sz w:val="20"/>
                <w:szCs w:val="20"/>
              </w:rPr>
              <w:t>3</w:t>
            </w:r>
            <w:r w:rsidRPr="00BA41A9">
              <w:rPr>
                <w:rFonts w:ascii="Arial" w:hAnsi="Arial" w:cs="Arial"/>
                <w:b/>
                <w:bCs/>
                <w:sz w:val="20"/>
                <w:szCs w:val="20"/>
              </w:rPr>
              <w:t>.04</w:t>
            </w:r>
          </w:p>
        </w:tc>
        <w:tc>
          <w:tcPr>
            <w:tcW w:w="1472" w:type="dxa"/>
            <w:vAlign w:val="center"/>
          </w:tcPr>
          <w:p w14:paraId="3CAC1892" w14:textId="77777777" w:rsidR="006708A5" w:rsidRPr="00BA41A9" w:rsidRDefault="006708A5" w:rsidP="00856206">
            <w:pPr>
              <w:spacing w:line="271" w:lineRule="auto"/>
              <w:jc w:val="center"/>
              <w:rPr>
                <w:rFonts w:ascii="Arial" w:hAnsi="Arial" w:cs="Arial"/>
                <w:b/>
                <w:bCs/>
                <w:sz w:val="20"/>
                <w:szCs w:val="20"/>
              </w:rPr>
            </w:pPr>
            <w:r w:rsidRPr="00BA41A9">
              <w:rPr>
                <w:rFonts w:ascii="Arial" w:hAnsi="Arial" w:cs="Arial"/>
                <w:b/>
                <w:bCs/>
                <w:sz w:val="20"/>
                <w:szCs w:val="20"/>
              </w:rPr>
              <w:t>$3’316,968.00</w:t>
            </w:r>
          </w:p>
        </w:tc>
        <w:tc>
          <w:tcPr>
            <w:tcW w:w="1472" w:type="dxa"/>
            <w:vAlign w:val="center"/>
          </w:tcPr>
          <w:p w14:paraId="31377B0C" w14:textId="77777777" w:rsidR="006708A5" w:rsidRPr="00BA41A9" w:rsidRDefault="006708A5" w:rsidP="00856206">
            <w:pPr>
              <w:spacing w:line="271" w:lineRule="auto"/>
              <w:jc w:val="center"/>
              <w:rPr>
                <w:rFonts w:ascii="Arial" w:hAnsi="Arial" w:cs="Arial"/>
                <w:b/>
                <w:bCs/>
                <w:sz w:val="20"/>
                <w:szCs w:val="20"/>
              </w:rPr>
            </w:pPr>
            <w:r w:rsidRPr="00BA41A9">
              <w:rPr>
                <w:rFonts w:ascii="Arial" w:hAnsi="Arial" w:cs="Arial"/>
                <w:b/>
                <w:bCs/>
                <w:sz w:val="20"/>
                <w:szCs w:val="20"/>
              </w:rPr>
              <w:t>$3’132,357.12</w:t>
            </w:r>
          </w:p>
        </w:tc>
      </w:tr>
    </w:tbl>
    <w:p w14:paraId="0157C6A0" w14:textId="70A3FF18" w:rsidR="00F53452" w:rsidRPr="00BA41A9" w:rsidRDefault="00F53452" w:rsidP="000476D1">
      <w:pPr>
        <w:spacing w:before="240" w:after="240" w:line="281" w:lineRule="auto"/>
        <w:jc w:val="both"/>
        <w:rPr>
          <w:rFonts w:ascii="Arial" w:hAnsi="Arial" w:cs="Arial"/>
          <w:sz w:val="23"/>
          <w:szCs w:val="23"/>
        </w:rPr>
      </w:pPr>
      <w:r w:rsidRPr="00BA41A9">
        <w:rPr>
          <w:rFonts w:ascii="Arial" w:hAnsi="Arial" w:cs="Arial"/>
          <w:b/>
          <w:sz w:val="23"/>
          <w:szCs w:val="23"/>
        </w:rPr>
        <w:t>Segundo.</w:t>
      </w:r>
      <w:r w:rsidRPr="00BA41A9">
        <w:rPr>
          <w:rFonts w:ascii="Arial" w:hAnsi="Arial" w:cs="Arial"/>
          <w:sz w:val="23"/>
          <w:szCs w:val="23"/>
        </w:rPr>
        <w:t xml:space="preserve"> </w:t>
      </w:r>
      <w:r w:rsidR="000476D1" w:rsidRPr="00BA41A9">
        <w:rPr>
          <w:rFonts w:ascii="Arial" w:hAnsi="Arial" w:cs="Arial"/>
          <w:sz w:val="23"/>
          <w:szCs w:val="23"/>
        </w:rPr>
        <w:t>S</w:t>
      </w:r>
      <w:r w:rsidRPr="00BA41A9">
        <w:rPr>
          <w:rFonts w:ascii="Arial" w:hAnsi="Arial" w:cs="Arial"/>
          <w:sz w:val="23"/>
          <w:szCs w:val="23"/>
        </w:rPr>
        <w:t>e instruye a la Dirección de Administración realice los trámites administrativos correspondientes para dar cumplimiento al presente acuerdo.</w:t>
      </w:r>
    </w:p>
    <w:p w14:paraId="1F6BA99D" w14:textId="248A3663" w:rsidR="00F53452" w:rsidRPr="00BA41A9" w:rsidRDefault="00F53452" w:rsidP="00F53452">
      <w:pPr>
        <w:spacing w:before="240" w:after="240" w:line="281" w:lineRule="auto"/>
        <w:jc w:val="both"/>
        <w:rPr>
          <w:rFonts w:ascii="Arial" w:hAnsi="Arial" w:cs="Arial"/>
          <w:sz w:val="23"/>
          <w:szCs w:val="23"/>
        </w:rPr>
      </w:pPr>
      <w:r w:rsidRPr="00BA41A9">
        <w:rPr>
          <w:rFonts w:ascii="Arial" w:hAnsi="Arial" w:cs="Arial"/>
          <w:sz w:val="23"/>
          <w:szCs w:val="23"/>
        </w:rPr>
        <w:t xml:space="preserve">El presente acuerdo fue aprobado en sesión ordinaria efectuada el </w:t>
      </w:r>
      <w:r w:rsidR="00BA41A9">
        <w:rPr>
          <w:rFonts w:ascii="Arial" w:hAnsi="Arial" w:cs="Arial"/>
          <w:sz w:val="23"/>
          <w:szCs w:val="23"/>
        </w:rPr>
        <w:t>veintinueve</w:t>
      </w:r>
      <w:r w:rsidRPr="00BA41A9">
        <w:rPr>
          <w:rFonts w:ascii="Arial" w:hAnsi="Arial" w:cs="Arial"/>
          <w:sz w:val="23"/>
          <w:szCs w:val="23"/>
        </w:rPr>
        <w:t xml:space="preserve"> de </w:t>
      </w:r>
      <w:r w:rsidR="00BA41A9">
        <w:rPr>
          <w:rFonts w:ascii="Arial" w:hAnsi="Arial" w:cs="Arial"/>
          <w:sz w:val="23"/>
          <w:szCs w:val="23"/>
        </w:rPr>
        <w:t>mayo</w:t>
      </w:r>
      <w:r w:rsidRPr="00BA41A9">
        <w:rPr>
          <w:rFonts w:ascii="Arial" w:hAnsi="Arial" w:cs="Arial"/>
          <w:sz w:val="23"/>
          <w:szCs w:val="23"/>
        </w:rPr>
        <w:t xml:space="preserve"> del año dos mil veinticuatro, por votación </w:t>
      </w:r>
      <w:r w:rsidR="00BA41A9">
        <w:rPr>
          <w:rFonts w:ascii="Arial" w:hAnsi="Arial" w:cs="Arial"/>
          <w:sz w:val="23"/>
          <w:szCs w:val="23"/>
        </w:rPr>
        <w:t>unánime</w:t>
      </w:r>
      <w:r w:rsidRPr="00BA41A9">
        <w:rPr>
          <w:rFonts w:ascii="Arial" w:hAnsi="Arial" w:cs="Arial"/>
          <w:sz w:val="23"/>
          <w:szCs w:val="23"/>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14:paraId="0056BC70" w14:textId="77777777" w:rsidR="00F53452" w:rsidRPr="00BA41A9" w:rsidRDefault="00F53452" w:rsidP="00F53452">
      <w:pPr>
        <w:spacing w:before="240" w:after="240" w:line="281" w:lineRule="auto"/>
        <w:jc w:val="both"/>
        <w:rPr>
          <w:rFonts w:ascii="Arial" w:hAnsi="Arial" w:cs="Arial"/>
          <w:sz w:val="23"/>
          <w:szCs w:val="23"/>
        </w:rPr>
      </w:pPr>
    </w:p>
    <w:p w14:paraId="1A87CFD9" w14:textId="77777777" w:rsidR="00F53452" w:rsidRPr="00BA41A9" w:rsidRDefault="00F53452" w:rsidP="00F53452">
      <w:pPr>
        <w:spacing w:before="240" w:after="240" w:line="281" w:lineRule="auto"/>
        <w:jc w:val="both"/>
        <w:rPr>
          <w:rFonts w:ascii="Arial" w:hAnsi="Arial" w:cs="Arial"/>
          <w:sz w:val="23"/>
          <w:szCs w:val="23"/>
        </w:rPr>
      </w:pPr>
    </w:p>
    <w:p w14:paraId="673D67AC" w14:textId="77777777" w:rsidR="00F53452" w:rsidRPr="00BA41A9" w:rsidRDefault="00F53452" w:rsidP="00F53452">
      <w:pPr>
        <w:spacing w:before="240" w:after="240" w:line="281" w:lineRule="auto"/>
        <w:jc w:val="both"/>
        <w:rPr>
          <w:rFonts w:ascii="Arial" w:hAnsi="Arial" w:cs="Arial"/>
          <w:sz w:val="23"/>
          <w:szCs w:val="23"/>
        </w:rPr>
      </w:pPr>
    </w:p>
    <w:tbl>
      <w:tblPr>
        <w:tblStyle w:val="Tablaconcuadrcula"/>
        <w:tblW w:w="9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792"/>
        <w:gridCol w:w="4483"/>
      </w:tblGrid>
      <w:tr w:rsidR="00F53452" w:rsidRPr="00BA41A9" w14:paraId="438FB2F0" w14:textId="77777777" w:rsidTr="00BA41A9">
        <w:trPr>
          <w:trHeight w:val="945"/>
        </w:trPr>
        <w:tc>
          <w:tcPr>
            <w:tcW w:w="4587" w:type="dxa"/>
          </w:tcPr>
          <w:p w14:paraId="39BF2C03" w14:textId="77777777" w:rsidR="00F53452" w:rsidRPr="00BA41A9" w:rsidRDefault="00F53452" w:rsidP="004C1655">
            <w:pPr>
              <w:spacing w:line="281" w:lineRule="auto"/>
              <w:jc w:val="center"/>
              <w:rPr>
                <w:rFonts w:ascii="Arial" w:hAnsi="Arial" w:cs="Arial"/>
                <w:b/>
                <w:sz w:val="23"/>
                <w:szCs w:val="23"/>
              </w:rPr>
            </w:pPr>
            <w:r w:rsidRPr="00BA41A9">
              <w:rPr>
                <w:rFonts w:ascii="Arial" w:hAnsi="Arial" w:cs="Arial"/>
                <w:b/>
                <w:sz w:val="23"/>
                <w:szCs w:val="23"/>
              </w:rPr>
              <w:t>MTRA. ELIZABETH NAVA GUTIÉRREZ</w:t>
            </w:r>
          </w:p>
          <w:p w14:paraId="76084062" w14:textId="77777777" w:rsidR="00F53452" w:rsidRPr="00BA41A9" w:rsidRDefault="00F53452" w:rsidP="004C1655">
            <w:pPr>
              <w:spacing w:line="281" w:lineRule="auto"/>
              <w:jc w:val="center"/>
              <w:rPr>
                <w:rFonts w:ascii="Arial" w:hAnsi="Arial" w:cs="Arial"/>
                <w:b/>
                <w:sz w:val="23"/>
                <w:szCs w:val="23"/>
              </w:rPr>
            </w:pPr>
            <w:r w:rsidRPr="00BA41A9">
              <w:rPr>
                <w:rFonts w:ascii="Arial" w:hAnsi="Arial" w:cs="Arial"/>
                <w:b/>
                <w:sz w:val="23"/>
                <w:szCs w:val="23"/>
              </w:rPr>
              <w:t>CONSEJERA PRESIDENTA</w:t>
            </w:r>
          </w:p>
        </w:tc>
        <w:tc>
          <w:tcPr>
            <w:tcW w:w="792" w:type="dxa"/>
          </w:tcPr>
          <w:p w14:paraId="359AF2E0" w14:textId="77777777" w:rsidR="00F53452" w:rsidRPr="00BA41A9" w:rsidRDefault="00F53452" w:rsidP="004C1655">
            <w:pPr>
              <w:spacing w:line="281" w:lineRule="auto"/>
              <w:jc w:val="center"/>
              <w:rPr>
                <w:rFonts w:ascii="Arial" w:hAnsi="Arial" w:cs="Arial"/>
                <w:b/>
                <w:sz w:val="23"/>
                <w:szCs w:val="23"/>
              </w:rPr>
            </w:pPr>
          </w:p>
        </w:tc>
        <w:tc>
          <w:tcPr>
            <w:tcW w:w="4483" w:type="dxa"/>
          </w:tcPr>
          <w:p w14:paraId="14645E35" w14:textId="77777777" w:rsidR="00F53452" w:rsidRPr="00BA41A9" w:rsidRDefault="00F53452" w:rsidP="004C1655">
            <w:pPr>
              <w:spacing w:line="281" w:lineRule="auto"/>
              <w:jc w:val="center"/>
              <w:rPr>
                <w:rFonts w:ascii="Arial" w:hAnsi="Arial" w:cs="Arial"/>
                <w:b/>
                <w:sz w:val="23"/>
                <w:szCs w:val="23"/>
              </w:rPr>
            </w:pPr>
            <w:r w:rsidRPr="00BA41A9">
              <w:rPr>
                <w:rFonts w:ascii="Arial" w:hAnsi="Arial" w:cs="Arial"/>
                <w:b/>
                <w:sz w:val="23"/>
                <w:szCs w:val="23"/>
              </w:rPr>
              <w:t>LIC. JORGE ALBERTO ZAVALA FRÍAS</w:t>
            </w:r>
          </w:p>
          <w:p w14:paraId="697EE122" w14:textId="77777777" w:rsidR="00F53452" w:rsidRPr="00BA41A9" w:rsidRDefault="00F53452" w:rsidP="004C1655">
            <w:pPr>
              <w:spacing w:line="281" w:lineRule="auto"/>
              <w:jc w:val="center"/>
              <w:rPr>
                <w:rFonts w:ascii="Arial" w:hAnsi="Arial" w:cs="Arial"/>
                <w:b/>
                <w:sz w:val="23"/>
                <w:szCs w:val="23"/>
              </w:rPr>
            </w:pPr>
            <w:r w:rsidRPr="00BA41A9">
              <w:rPr>
                <w:rFonts w:ascii="Arial" w:hAnsi="Arial" w:cs="Arial"/>
                <w:b/>
                <w:sz w:val="23"/>
                <w:szCs w:val="23"/>
              </w:rPr>
              <w:t>SECRETARIO EJECUTIVO</w:t>
            </w:r>
          </w:p>
        </w:tc>
      </w:tr>
    </w:tbl>
    <w:p w14:paraId="7AD07601" w14:textId="77777777" w:rsidR="00F53452" w:rsidRPr="00BA41A9" w:rsidRDefault="00F53452" w:rsidP="007E4BCC">
      <w:pPr>
        <w:spacing w:before="240" w:after="240" w:line="281" w:lineRule="auto"/>
        <w:jc w:val="both"/>
        <w:rPr>
          <w:rFonts w:ascii="Arial" w:hAnsi="Arial" w:cs="Arial"/>
          <w:sz w:val="23"/>
          <w:szCs w:val="23"/>
        </w:rPr>
      </w:pPr>
    </w:p>
    <w:sectPr w:rsidR="00F53452" w:rsidRPr="00BA41A9" w:rsidSect="00BA41A9">
      <w:headerReference w:type="even" r:id="rId7"/>
      <w:headerReference w:type="default" r:id="rId8"/>
      <w:footerReference w:type="even" r:id="rId9"/>
      <w:footerReference w:type="default" r:id="rId10"/>
      <w:headerReference w:type="first" r:id="rId11"/>
      <w:footerReference w:type="first" r:id="rId12"/>
      <w:pgSz w:w="12240" w:h="15840" w:code="1"/>
      <w:pgMar w:top="2694" w:right="1892"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83FC4" w14:textId="77777777" w:rsidR="0001445A" w:rsidRDefault="0001445A" w:rsidP="009B25C6">
      <w:pPr>
        <w:spacing w:after="0" w:line="240" w:lineRule="auto"/>
      </w:pPr>
      <w:r>
        <w:separator/>
      </w:r>
    </w:p>
  </w:endnote>
  <w:endnote w:type="continuationSeparator" w:id="0">
    <w:p w14:paraId="3212BD7A" w14:textId="77777777" w:rsidR="0001445A" w:rsidRDefault="0001445A" w:rsidP="009B2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3AB5BD-A630-4D92-B458-0F5D94C89958}"/>
    <w:embedBold r:id="rId2" w:fontKey="{FBF5BE06-CFED-438C-8805-9D44A11F1833}"/>
  </w:font>
  <w:font w:name="Exo">
    <w:altName w:val="Times New Roman"/>
    <w:charset w:val="00"/>
    <w:family w:val="auto"/>
    <w:pitch w:val="variable"/>
    <w:sig w:usb0="A00000FF" w:usb1="4000204B" w:usb2="00000000" w:usb3="00000000" w:csb0="00000193" w:csb1="00000000"/>
    <w:embedRegular r:id="rId3" w:fontKey="{1AC6A539-18B2-4843-B9CA-4E4F6123C06D}"/>
    <w:embedBold r:id="rId4" w:fontKey="{C91A6B43-7A4F-4CF8-9D00-8CF4F17E586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B160D70-FD36-4DA9-B77C-17A0B5E0C60A}"/>
    <w:embedItalic r:id="rId6" w:fontKey="{80E983C6-A69E-4DE5-BDA7-8C1B79FE2698}"/>
  </w:font>
  <w:font w:name="Segoe UI">
    <w:panose1 w:val="020B0502040204020203"/>
    <w:charset w:val="00"/>
    <w:family w:val="swiss"/>
    <w:pitch w:val="variable"/>
    <w:sig w:usb0="E4002EFF" w:usb1="C000E47F" w:usb2="00000009" w:usb3="00000000" w:csb0="000001FF" w:csb1="00000000"/>
    <w:embedRegular r:id="rId7" w:fontKey="{47EF06DA-5DF7-4F95-B450-65C3C241FD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5353A" w14:textId="77777777" w:rsidR="005149AF" w:rsidRDefault="005149A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Exo" w:hAnsi="Exo"/>
        <w:b/>
        <w:bCs/>
        <w:color w:val="660033"/>
        <w:sz w:val="24"/>
        <w:lang w:val="es-ES"/>
      </w:rPr>
      <w:id w:val="-2020453798"/>
      <w:docPartObj>
        <w:docPartGallery w:val="Page Numbers (Bottom of Page)"/>
        <w:docPartUnique/>
      </w:docPartObj>
    </w:sdtPr>
    <w:sdtEndPr>
      <w:rPr>
        <w:sz w:val="22"/>
        <w:szCs w:val="20"/>
      </w:rPr>
    </w:sdtEndPr>
    <w:sdtContent>
      <w:p w14:paraId="2CE7F7A7" w14:textId="2722F050" w:rsidR="00E62846" w:rsidRPr="00E62846" w:rsidRDefault="00E62846" w:rsidP="00E62846">
        <w:pPr>
          <w:pStyle w:val="Piedepgina"/>
          <w:jc w:val="right"/>
          <w:rPr>
            <w:rFonts w:ascii="Exo" w:hAnsi="Exo"/>
            <w:b/>
            <w:bCs/>
            <w:color w:val="660033"/>
            <w:szCs w:val="20"/>
            <w:lang w:val="es-ES"/>
          </w:rPr>
        </w:pPr>
        <w:r w:rsidRPr="0051289A">
          <w:rPr>
            <w:rFonts w:ascii="Exo" w:hAnsi="Exo"/>
            <w:b/>
            <w:bCs/>
            <w:color w:val="660033"/>
            <w:szCs w:val="20"/>
            <w:lang w:val="es-ES"/>
          </w:rPr>
          <w:t xml:space="preserve">Página  </w:t>
        </w:r>
        <w:r w:rsidRPr="0051289A">
          <w:rPr>
            <w:rFonts w:ascii="Exo" w:hAnsi="Exo"/>
            <w:b/>
            <w:bCs/>
            <w:color w:val="660033"/>
            <w:szCs w:val="20"/>
          </w:rPr>
          <w:fldChar w:fldCharType="begin"/>
        </w:r>
        <w:r w:rsidRPr="0051289A">
          <w:rPr>
            <w:rFonts w:ascii="Exo" w:hAnsi="Exo"/>
            <w:b/>
            <w:bCs/>
            <w:color w:val="660033"/>
            <w:szCs w:val="20"/>
          </w:rPr>
          <w:instrText>PAGE   \* MERGEFORMAT</w:instrText>
        </w:r>
        <w:r w:rsidRPr="0051289A">
          <w:rPr>
            <w:rFonts w:ascii="Exo" w:hAnsi="Exo"/>
            <w:b/>
            <w:bCs/>
            <w:color w:val="660033"/>
            <w:szCs w:val="20"/>
          </w:rPr>
          <w:fldChar w:fldCharType="separate"/>
        </w:r>
        <w:r w:rsidR="005149AF">
          <w:rPr>
            <w:rFonts w:ascii="Exo" w:hAnsi="Exo"/>
            <w:b/>
            <w:bCs/>
            <w:noProof/>
            <w:color w:val="660033"/>
            <w:szCs w:val="20"/>
          </w:rPr>
          <w:t>1</w:t>
        </w:r>
        <w:r w:rsidRPr="0051289A">
          <w:rPr>
            <w:rFonts w:ascii="Exo" w:hAnsi="Exo"/>
            <w:b/>
            <w:bCs/>
            <w:color w:val="660033"/>
            <w:szCs w:val="20"/>
          </w:rPr>
          <w:fldChar w:fldCharType="end"/>
        </w:r>
        <w:r w:rsidRPr="0051289A">
          <w:rPr>
            <w:rFonts w:ascii="Exo" w:hAnsi="Exo"/>
            <w:b/>
            <w:bCs/>
            <w:color w:val="660033"/>
            <w:szCs w:val="20"/>
            <w:lang w:val="es-ES"/>
          </w:rPr>
          <w:t xml:space="preserve"> | </w:t>
        </w:r>
        <w:r w:rsidRPr="0051289A">
          <w:rPr>
            <w:rFonts w:ascii="Exo" w:hAnsi="Exo"/>
            <w:b/>
            <w:bCs/>
            <w:color w:val="660033"/>
            <w:szCs w:val="20"/>
            <w:lang w:val="es-ES"/>
          </w:rPr>
          <w:fldChar w:fldCharType="begin"/>
        </w:r>
        <w:r w:rsidRPr="0051289A">
          <w:rPr>
            <w:rFonts w:ascii="Exo" w:hAnsi="Exo"/>
            <w:b/>
            <w:bCs/>
            <w:color w:val="660033"/>
            <w:szCs w:val="20"/>
            <w:lang w:val="es-ES"/>
          </w:rPr>
          <w:instrText xml:space="preserve"> NUMPAGES   \* MERGEFORMAT </w:instrText>
        </w:r>
        <w:r w:rsidRPr="0051289A">
          <w:rPr>
            <w:rFonts w:ascii="Exo" w:hAnsi="Exo"/>
            <w:b/>
            <w:bCs/>
            <w:color w:val="660033"/>
            <w:szCs w:val="20"/>
            <w:lang w:val="es-ES"/>
          </w:rPr>
          <w:fldChar w:fldCharType="separate"/>
        </w:r>
        <w:r w:rsidR="005149AF">
          <w:rPr>
            <w:rFonts w:ascii="Exo" w:hAnsi="Exo"/>
            <w:b/>
            <w:bCs/>
            <w:noProof/>
            <w:color w:val="660033"/>
            <w:szCs w:val="20"/>
            <w:lang w:val="es-ES"/>
          </w:rPr>
          <w:t>9</w:t>
        </w:r>
        <w:r w:rsidRPr="0051289A">
          <w:rPr>
            <w:rFonts w:ascii="Exo" w:hAnsi="Exo"/>
            <w:b/>
            <w:bCs/>
            <w:color w:val="660033"/>
            <w:szCs w:val="20"/>
            <w:lang w:val="es-ES"/>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B687" w14:textId="77777777" w:rsidR="005149AF" w:rsidRDefault="005149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1F0D6" w14:textId="77777777" w:rsidR="0001445A" w:rsidRDefault="0001445A" w:rsidP="009B25C6">
      <w:pPr>
        <w:spacing w:after="0" w:line="240" w:lineRule="auto"/>
      </w:pPr>
      <w:r>
        <w:separator/>
      </w:r>
    </w:p>
  </w:footnote>
  <w:footnote w:type="continuationSeparator" w:id="0">
    <w:p w14:paraId="683462E6" w14:textId="77777777" w:rsidR="0001445A" w:rsidRDefault="0001445A" w:rsidP="009B2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0A338" w14:textId="77777777" w:rsidR="005149AF" w:rsidRDefault="005149A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37"/>
      <w:gridCol w:w="1701"/>
    </w:tblGrid>
    <w:tr w:rsidR="009B25C6" w:rsidRPr="00CD4F78" w14:paraId="7AAD4DBE" w14:textId="77777777" w:rsidTr="00D2270D">
      <w:tc>
        <w:tcPr>
          <w:tcW w:w="1418" w:type="dxa"/>
        </w:tcPr>
        <w:p w14:paraId="1FE33E91" w14:textId="77777777" w:rsidR="009B25C6" w:rsidRPr="00CD4F78" w:rsidRDefault="009B25C6" w:rsidP="009B25C6">
          <w:pPr>
            <w:pStyle w:val="Encabezado"/>
            <w:ind w:left="-170"/>
            <w:rPr>
              <w:rFonts w:ascii="Arial" w:hAnsi="Arial"/>
            </w:rPr>
          </w:pPr>
          <w:r w:rsidRPr="00CD4F78">
            <w:rPr>
              <w:rFonts w:ascii="Arial" w:hAnsi="Arial"/>
              <w:b/>
              <w:noProof/>
              <w:sz w:val="32"/>
              <w:lang w:eastAsia="es-MX"/>
            </w:rPr>
            <w:drawing>
              <wp:inline distT="0" distB="0" distL="0" distR="0" wp14:anchorId="4BA481C6" wp14:editId="01136EFC">
                <wp:extent cx="1014331" cy="1199403"/>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37" w:type="dxa"/>
        </w:tcPr>
        <w:p w14:paraId="6BE40203" w14:textId="77777777" w:rsidR="009B25C6" w:rsidRPr="00BA41A9" w:rsidRDefault="009B25C6" w:rsidP="009B25C6">
          <w:pPr>
            <w:pStyle w:val="Encabezado"/>
            <w:spacing w:before="720"/>
            <w:jc w:val="center"/>
            <w:rPr>
              <w:rFonts w:ascii="Arial" w:hAnsi="Arial" w:cs="Arial"/>
              <w:b/>
              <w:bCs/>
              <w:sz w:val="24"/>
              <w:szCs w:val="24"/>
            </w:rPr>
          </w:pPr>
          <w:r w:rsidRPr="00BA41A9">
            <w:rPr>
              <w:rFonts w:ascii="Arial" w:hAnsi="Arial" w:cs="Arial"/>
              <w:b/>
              <w:bCs/>
              <w:sz w:val="24"/>
              <w:szCs w:val="24"/>
            </w:rPr>
            <w:t>INSTITUTO ELECTORAL Y DE PARTICIPACIÓN CIUDADANA DE TABASCO</w:t>
          </w:r>
        </w:p>
        <w:p w14:paraId="252E15EB" w14:textId="77777777" w:rsidR="009B25C6" w:rsidRPr="00CD4F78" w:rsidRDefault="009B25C6" w:rsidP="009B25C6">
          <w:pPr>
            <w:pStyle w:val="Encabezado"/>
            <w:jc w:val="center"/>
            <w:rPr>
              <w:rFonts w:ascii="Arial" w:hAnsi="Arial"/>
              <w:sz w:val="25"/>
              <w:szCs w:val="25"/>
            </w:rPr>
          </w:pPr>
          <w:r w:rsidRPr="00BA41A9">
            <w:rPr>
              <w:rFonts w:ascii="Arial" w:hAnsi="Arial" w:cs="Arial"/>
              <w:sz w:val="24"/>
              <w:szCs w:val="24"/>
            </w:rPr>
            <w:t>JUNTA ESTATAL EJECUTIVA</w:t>
          </w:r>
        </w:p>
      </w:tc>
      <w:tc>
        <w:tcPr>
          <w:tcW w:w="1701" w:type="dxa"/>
        </w:tcPr>
        <w:p w14:paraId="740B9057" w14:textId="77777777" w:rsidR="009B25C6" w:rsidRPr="00CD4F78" w:rsidRDefault="009B25C6" w:rsidP="009B25C6">
          <w:pPr>
            <w:pStyle w:val="Encabezado"/>
            <w:spacing w:before="480"/>
            <w:rPr>
              <w:rFonts w:ascii="Arial" w:hAnsi="Arial"/>
            </w:rPr>
          </w:pPr>
          <w:r>
            <w:rPr>
              <w:rFonts w:ascii="Arial" w:hAnsi="Arial"/>
              <w:noProof/>
              <w:lang w:eastAsia="es-MX"/>
            </w:rPr>
            <w:drawing>
              <wp:inline distT="0" distB="0" distL="0" distR="0" wp14:anchorId="61957C28" wp14:editId="3EC8F6BB">
                <wp:extent cx="942975" cy="774065"/>
                <wp:effectExtent l="0" t="0" r="952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58C60D7" w14:textId="1DAEE5FF" w:rsidR="009B25C6" w:rsidRDefault="005149AF" w:rsidP="00BA41A9">
    <w:pPr>
      <w:pStyle w:val="Encabezado"/>
      <w:jc w:val="right"/>
      <w:rPr>
        <w:rFonts w:ascii="Arial" w:hAnsi="Arial" w:cs="Arial"/>
        <w:b/>
        <w:sz w:val="24"/>
        <w:szCs w:val="24"/>
      </w:rPr>
    </w:pPr>
    <w:r>
      <w:rPr>
        <w:rFonts w:ascii="Arial" w:hAnsi="Arial" w:cs="Arial"/>
        <w:b/>
        <w:sz w:val="24"/>
        <w:szCs w:val="24"/>
      </w:rPr>
      <w:t>J</w:t>
    </w:r>
    <w:bookmarkStart w:id="0" w:name="_GoBack"/>
    <w:bookmarkEnd w:id="0"/>
    <w:r w:rsidR="00BA41A9" w:rsidRPr="00BA41A9">
      <w:rPr>
        <w:rFonts w:ascii="Arial" w:hAnsi="Arial" w:cs="Arial"/>
        <w:b/>
        <w:sz w:val="24"/>
        <w:szCs w:val="24"/>
      </w:rPr>
      <w:t>EE/2024/012</w:t>
    </w:r>
  </w:p>
  <w:p w14:paraId="5BFF5CAD" w14:textId="77777777" w:rsidR="00BA41A9" w:rsidRPr="00BA41A9" w:rsidRDefault="00BA41A9" w:rsidP="00BA41A9">
    <w:pPr>
      <w:pStyle w:val="Encabezado"/>
      <w:jc w:val="right"/>
      <w:rPr>
        <w:rFonts w:ascii="Arial" w:hAnsi="Arial" w:cs="Arial"/>
        <w:b/>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D689" w14:textId="77777777" w:rsidR="005149AF" w:rsidRDefault="005149A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626578"/>
    <w:multiLevelType w:val="multilevel"/>
    <w:tmpl w:val="DBF4BE7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66B02FF1"/>
    <w:multiLevelType w:val="hybridMultilevel"/>
    <w:tmpl w:val="F3C8E5EE"/>
    <w:lvl w:ilvl="0" w:tplc="909C3AA2">
      <w:start w:val="1"/>
      <w:numFmt w:val="upperRoman"/>
      <w:lvlText w:val="%1."/>
      <w:lvlJc w:val="left"/>
      <w:pPr>
        <w:ind w:left="1080" w:hanging="720"/>
      </w:pPr>
      <w:rPr>
        <w:rFonts w:hint="default"/>
      </w:rPr>
    </w:lvl>
    <w:lvl w:ilvl="1" w:tplc="836EA5F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2B"/>
    <w:rsid w:val="00002BF2"/>
    <w:rsid w:val="000138FA"/>
    <w:rsid w:val="0001445A"/>
    <w:rsid w:val="00026D22"/>
    <w:rsid w:val="000476D1"/>
    <w:rsid w:val="00054211"/>
    <w:rsid w:val="00076036"/>
    <w:rsid w:val="000A5A57"/>
    <w:rsid w:val="000B21F3"/>
    <w:rsid w:val="000D3DAB"/>
    <w:rsid w:val="001775A5"/>
    <w:rsid w:val="00192F77"/>
    <w:rsid w:val="001A2437"/>
    <w:rsid w:val="001C71A7"/>
    <w:rsid w:val="001D565F"/>
    <w:rsid w:val="00244208"/>
    <w:rsid w:val="002564F0"/>
    <w:rsid w:val="002E233D"/>
    <w:rsid w:val="002F65F8"/>
    <w:rsid w:val="00355BE1"/>
    <w:rsid w:val="00437935"/>
    <w:rsid w:val="00442BDB"/>
    <w:rsid w:val="00460D23"/>
    <w:rsid w:val="00484473"/>
    <w:rsid w:val="004B2345"/>
    <w:rsid w:val="004C1655"/>
    <w:rsid w:val="004E797D"/>
    <w:rsid w:val="00503F3C"/>
    <w:rsid w:val="005149AF"/>
    <w:rsid w:val="005519B6"/>
    <w:rsid w:val="00554EAA"/>
    <w:rsid w:val="0056799C"/>
    <w:rsid w:val="0057385D"/>
    <w:rsid w:val="005A0585"/>
    <w:rsid w:val="00615C79"/>
    <w:rsid w:val="006378A2"/>
    <w:rsid w:val="006708A5"/>
    <w:rsid w:val="006855FD"/>
    <w:rsid w:val="00693EA1"/>
    <w:rsid w:val="006A2A71"/>
    <w:rsid w:val="006D72A6"/>
    <w:rsid w:val="006E7624"/>
    <w:rsid w:val="006F4E7D"/>
    <w:rsid w:val="007E4BCC"/>
    <w:rsid w:val="00806835"/>
    <w:rsid w:val="00822ACD"/>
    <w:rsid w:val="00850C46"/>
    <w:rsid w:val="008761FF"/>
    <w:rsid w:val="008D5452"/>
    <w:rsid w:val="009509AF"/>
    <w:rsid w:val="009529CC"/>
    <w:rsid w:val="00954898"/>
    <w:rsid w:val="009601BF"/>
    <w:rsid w:val="00981F5C"/>
    <w:rsid w:val="009B25C6"/>
    <w:rsid w:val="009B3A7E"/>
    <w:rsid w:val="009C343E"/>
    <w:rsid w:val="009D06DE"/>
    <w:rsid w:val="00A117A3"/>
    <w:rsid w:val="00A15784"/>
    <w:rsid w:val="00A500A4"/>
    <w:rsid w:val="00A86312"/>
    <w:rsid w:val="00A973B9"/>
    <w:rsid w:val="00AB4A36"/>
    <w:rsid w:val="00AD7887"/>
    <w:rsid w:val="00AE6422"/>
    <w:rsid w:val="00B07514"/>
    <w:rsid w:val="00B0786C"/>
    <w:rsid w:val="00B7746D"/>
    <w:rsid w:val="00B87641"/>
    <w:rsid w:val="00BA41A9"/>
    <w:rsid w:val="00C104D3"/>
    <w:rsid w:val="00C7109F"/>
    <w:rsid w:val="00CA0530"/>
    <w:rsid w:val="00CA7E5E"/>
    <w:rsid w:val="00CB1C40"/>
    <w:rsid w:val="00CB771E"/>
    <w:rsid w:val="00CB77A2"/>
    <w:rsid w:val="00D5479A"/>
    <w:rsid w:val="00D74C2B"/>
    <w:rsid w:val="00DC1867"/>
    <w:rsid w:val="00E045F4"/>
    <w:rsid w:val="00E14339"/>
    <w:rsid w:val="00E62846"/>
    <w:rsid w:val="00E845B6"/>
    <w:rsid w:val="00E93A3E"/>
    <w:rsid w:val="00EB70A7"/>
    <w:rsid w:val="00F15C45"/>
    <w:rsid w:val="00F53452"/>
    <w:rsid w:val="00F839AB"/>
    <w:rsid w:val="00F85F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621E4"/>
  <w15:chartTrackingRefBased/>
  <w15:docId w15:val="{DF2B9C34-B1C5-4C88-AA92-7E9AC0E5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74C2B"/>
    <w:pPr>
      <w:keepNext/>
      <w:keepLines/>
      <w:numPr>
        <w:numId w:val="1"/>
      </w:numPr>
      <w:spacing w:before="600" w:after="240" w:line="281" w:lineRule="auto"/>
      <w:ind w:left="431" w:hanging="431"/>
      <w:jc w:val="center"/>
      <w:outlineLvl w:val="0"/>
    </w:pPr>
    <w:rPr>
      <w:rFonts w:ascii="Exo" w:eastAsiaTheme="majorEastAsia" w:hAnsi="Exo" w:cs="Arial"/>
      <w:b/>
      <w:bCs/>
      <w:kern w:val="2"/>
      <w:sz w:val="28"/>
      <w:szCs w:val="23"/>
      <w14:ligatures w14:val="standardContextual"/>
    </w:rPr>
  </w:style>
  <w:style w:type="paragraph" w:styleId="Ttulo2">
    <w:name w:val="heading 2"/>
    <w:basedOn w:val="Normal"/>
    <w:next w:val="Normal"/>
    <w:link w:val="Ttulo2Car"/>
    <w:uiPriority w:val="9"/>
    <w:unhideWhenUsed/>
    <w:qFormat/>
    <w:rsid w:val="00D74C2B"/>
    <w:pPr>
      <w:keepNext/>
      <w:keepLines/>
      <w:numPr>
        <w:ilvl w:val="1"/>
        <w:numId w:val="1"/>
      </w:numPr>
      <w:spacing w:before="480" w:after="240" w:line="264" w:lineRule="auto"/>
      <w:jc w:val="both"/>
      <w:outlineLvl w:val="1"/>
    </w:pPr>
    <w:rPr>
      <w:rFonts w:ascii="Exo" w:eastAsiaTheme="majorEastAsia" w:hAnsi="Exo" w:cs="Arial"/>
      <w:b/>
      <w:bCs/>
      <w:kern w:val="2"/>
      <w:sz w:val="23"/>
      <w:szCs w:val="23"/>
      <w14:ligatures w14:val="standardContextual"/>
    </w:rPr>
  </w:style>
  <w:style w:type="paragraph" w:styleId="Ttulo3">
    <w:name w:val="heading 3"/>
    <w:basedOn w:val="Normal"/>
    <w:next w:val="Normal"/>
    <w:link w:val="Ttulo3Car"/>
    <w:uiPriority w:val="9"/>
    <w:unhideWhenUsed/>
    <w:qFormat/>
    <w:rsid w:val="00D74C2B"/>
    <w:pPr>
      <w:keepNext/>
      <w:keepLines/>
      <w:numPr>
        <w:ilvl w:val="2"/>
        <w:numId w:val="1"/>
      </w:numPr>
      <w:spacing w:before="600" w:after="240" w:line="288" w:lineRule="auto"/>
      <w:jc w:val="both"/>
      <w:outlineLvl w:val="2"/>
    </w:pPr>
    <w:rPr>
      <w:rFonts w:ascii="Arial" w:eastAsiaTheme="majorEastAsia" w:hAnsi="Arial" w:cs="Arial"/>
      <w:b/>
      <w:bCs/>
      <w:kern w:val="2"/>
      <w:sz w:val="24"/>
      <w:szCs w:val="24"/>
      <w14:ligatures w14:val="standardContextual"/>
    </w:rPr>
  </w:style>
  <w:style w:type="paragraph" w:styleId="Ttulo4">
    <w:name w:val="heading 4"/>
    <w:basedOn w:val="Normal"/>
    <w:next w:val="Normal"/>
    <w:link w:val="Ttulo4Car"/>
    <w:uiPriority w:val="9"/>
    <w:semiHidden/>
    <w:unhideWhenUsed/>
    <w:qFormat/>
    <w:rsid w:val="00D74C2B"/>
    <w:pPr>
      <w:keepNext/>
      <w:keepLines/>
      <w:numPr>
        <w:ilvl w:val="3"/>
        <w:numId w:val="1"/>
      </w:numPr>
      <w:spacing w:before="40" w:after="0" w:line="288" w:lineRule="auto"/>
      <w:jc w:val="both"/>
      <w:outlineLvl w:val="3"/>
    </w:pPr>
    <w:rPr>
      <w:rFonts w:asciiTheme="majorHAnsi" w:eastAsiaTheme="majorEastAsia" w:hAnsiTheme="maj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D74C2B"/>
    <w:pPr>
      <w:keepNext/>
      <w:keepLines/>
      <w:numPr>
        <w:ilvl w:val="4"/>
        <w:numId w:val="1"/>
      </w:numPr>
      <w:spacing w:before="40" w:after="0" w:line="288" w:lineRule="auto"/>
      <w:jc w:val="both"/>
      <w:outlineLvl w:val="4"/>
    </w:pPr>
    <w:rPr>
      <w:rFonts w:asciiTheme="majorHAnsi" w:eastAsiaTheme="majorEastAsia" w:hAnsiTheme="maj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D74C2B"/>
    <w:pPr>
      <w:keepNext/>
      <w:keepLines/>
      <w:numPr>
        <w:ilvl w:val="5"/>
        <w:numId w:val="1"/>
      </w:numPr>
      <w:spacing w:before="40" w:after="0" w:line="288" w:lineRule="auto"/>
      <w:jc w:val="both"/>
      <w:outlineLvl w:val="5"/>
    </w:pPr>
    <w:rPr>
      <w:rFonts w:asciiTheme="majorHAnsi" w:eastAsiaTheme="majorEastAsia" w:hAnsiTheme="majorHAnsi" w:cstheme="majorBidi"/>
      <w:color w:val="1F4D78" w:themeColor="accent1" w:themeShade="7F"/>
      <w:kern w:val="2"/>
      <w:sz w:val="24"/>
      <w:szCs w:val="24"/>
      <w14:ligatures w14:val="standardContextual"/>
    </w:rPr>
  </w:style>
  <w:style w:type="paragraph" w:styleId="Ttulo7">
    <w:name w:val="heading 7"/>
    <w:basedOn w:val="Normal"/>
    <w:next w:val="Normal"/>
    <w:link w:val="Ttulo7Car"/>
    <w:uiPriority w:val="9"/>
    <w:semiHidden/>
    <w:unhideWhenUsed/>
    <w:qFormat/>
    <w:rsid w:val="00D74C2B"/>
    <w:pPr>
      <w:keepNext/>
      <w:keepLines/>
      <w:numPr>
        <w:ilvl w:val="6"/>
        <w:numId w:val="1"/>
      </w:numPr>
      <w:spacing w:before="40" w:after="0" w:line="288" w:lineRule="auto"/>
      <w:jc w:val="both"/>
      <w:outlineLvl w:val="6"/>
    </w:pPr>
    <w:rPr>
      <w:rFonts w:asciiTheme="majorHAnsi" w:eastAsiaTheme="majorEastAsia" w:hAnsiTheme="majorHAnsi" w:cstheme="majorBidi"/>
      <w:i/>
      <w:iCs/>
      <w:color w:val="1F4D78" w:themeColor="accent1" w:themeShade="7F"/>
      <w:kern w:val="2"/>
      <w:sz w:val="24"/>
      <w:szCs w:val="24"/>
      <w14:ligatures w14:val="standardContextual"/>
    </w:rPr>
  </w:style>
  <w:style w:type="paragraph" w:styleId="Ttulo8">
    <w:name w:val="heading 8"/>
    <w:basedOn w:val="Normal"/>
    <w:next w:val="Normal"/>
    <w:link w:val="Ttulo8Car"/>
    <w:uiPriority w:val="9"/>
    <w:semiHidden/>
    <w:unhideWhenUsed/>
    <w:qFormat/>
    <w:rsid w:val="00D74C2B"/>
    <w:pPr>
      <w:keepNext/>
      <w:keepLines/>
      <w:numPr>
        <w:ilvl w:val="7"/>
        <w:numId w:val="1"/>
      </w:numPr>
      <w:spacing w:before="40" w:after="0" w:line="288" w:lineRule="auto"/>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Ttulo9">
    <w:name w:val="heading 9"/>
    <w:basedOn w:val="Normal"/>
    <w:next w:val="Normal"/>
    <w:link w:val="Ttulo9Car"/>
    <w:uiPriority w:val="9"/>
    <w:semiHidden/>
    <w:unhideWhenUsed/>
    <w:qFormat/>
    <w:rsid w:val="00D74C2B"/>
    <w:pPr>
      <w:keepNext/>
      <w:keepLines/>
      <w:numPr>
        <w:ilvl w:val="8"/>
        <w:numId w:val="1"/>
      </w:numPr>
      <w:spacing w:before="40" w:after="0" w:line="288" w:lineRule="auto"/>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4C2B"/>
    <w:rPr>
      <w:rFonts w:ascii="Exo" w:eastAsiaTheme="majorEastAsia" w:hAnsi="Exo" w:cs="Arial"/>
      <w:b/>
      <w:bCs/>
      <w:kern w:val="2"/>
      <w:sz w:val="28"/>
      <w:szCs w:val="23"/>
      <w14:ligatures w14:val="standardContextual"/>
    </w:rPr>
  </w:style>
  <w:style w:type="character" w:customStyle="1" w:styleId="Ttulo2Car">
    <w:name w:val="Título 2 Car"/>
    <w:basedOn w:val="Fuentedeprrafopredeter"/>
    <w:link w:val="Ttulo2"/>
    <w:uiPriority w:val="9"/>
    <w:rsid w:val="00D74C2B"/>
    <w:rPr>
      <w:rFonts w:ascii="Exo" w:eastAsiaTheme="majorEastAsia" w:hAnsi="Exo" w:cs="Arial"/>
      <w:b/>
      <w:bCs/>
      <w:kern w:val="2"/>
      <w:sz w:val="23"/>
      <w:szCs w:val="23"/>
      <w14:ligatures w14:val="standardContextual"/>
    </w:rPr>
  </w:style>
  <w:style w:type="character" w:customStyle="1" w:styleId="Ttulo3Car">
    <w:name w:val="Título 3 Car"/>
    <w:basedOn w:val="Fuentedeprrafopredeter"/>
    <w:link w:val="Ttulo3"/>
    <w:uiPriority w:val="9"/>
    <w:rsid w:val="00D74C2B"/>
    <w:rPr>
      <w:rFonts w:ascii="Arial" w:eastAsiaTheme="majorEastAsia" w:hAnsi="Arial" w:cs="Arial"/>
      <w:b/>
      <w:bCs/>
      <w:kern w:val="2"/>
      <w:sz w:val="24"/>
      <w:szCs w:val="24"/>
      <w14:ligatures w14:val="standardContextual"/>
    </w:rPr>
  </w:style>
  <w:style w:type="character" w:customStyle="1" w:styleId="Ttulo4Car">
    <w:name w:val="Título 4 Car"/>
    <w:basedOn w:val="Fuentedeprrafopredeter"/>
    <w:link w:val="Ttulo4"/>
    <w:uiPriority w:val="9"/>
    <w:semiHidden/>
    <w:rsid w:val="00D74C2B"/>
    <w:rPr>
      <w:rFonts w:asciiTheme="majorHAnsi" w:eastAsiaTheme="majorEastAsia" w:hAnsiTheme="majorHAnsi" w:cstheme="majorBidi"/>
      <w:i/>
      <w:iCs/>
      <w:color w:val="2E74B5"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D74C2B"/>
    <w:rPr>
      <w:rFonts w:asciiTheme="majorHAnsi" w:eastAsiaTheme="majorEastAsia" w:hAnsiTheme="majorHAnsi" w:cstheme="majorBidi"/>
      <w:color w:val="2E74B5" w:themeColor="accent1" w:themeShade="BF"/>
      <w:kern w:val="2"/>
      <w:sz w:val="24"/>
      <w:szCs w:val="24"/>
      <w14:ligatures w14:val="standardContextual"/>
    </w:rPr>
  </w:style>
  <w:style w:type="character" w:customStyle="1" w:styleId="Ttulo6Car">
    <w:name w:val="Título 6 Car"/>
    <w:basedOn w:val="Fuentedeprrafopredeter"/>
    <w:link w:val="Ttulo6"/>
    <w:uiPriority w:val="9"/>
    <w:semiHidden/>
    <w:rsid w:val="00D74C2B"/>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Ttulo7Car">
    <w:name w:val="Título 7 Car"/>
    <w:basedOn w:val="Fuentedeprrafopredeter"/>
    <w:link w:val="Ttulo7"/>
    <w:uiPriority w:val="9"/>
    <w:semiHidden/>
    <w:rsid w:val="00D74C2B"/>
    <w:rPr>
      <w:rFonts w:asciiTheme="majorHAnsi" w:eastAsiaTheme="majorEastAsia" w:hAnsiTheme="majorHAnsi" w:cstheme="majorBidi"/>
      <w:i/>
      <w:iCs/>
      <w:color w:val="1F4D78" w:themeColor="accent1" w:themeShade="7F"/>
      <w:kern w:val="2"/>
      <w:sz w:val="24"/>
      <w:szCs w:val="24"/>
      <w14:ligatures w14:val="standardContextual"/>
    </w:rPr>
  </w:style>
  <w:style w:type="character" w:customStyle="1" w:styleId="Ttulo8Car">
    <w:name w:val="Título 8 Car"/>
    <w:basedOn w:val="Fuentedeprrafopredeter"/>
    <w:link w:val="Ttulo8"/>
    <w:uiPriority w:val="9"/>
    <w:semiHidden/>
    <w:rsid w:val="00D74C2B"/>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Ttulo9Car">
    <w:name w:val="Título 9 Car"/>
    <w:basedOn w:val="Fuentedeprrafopredeter"/>
    <w:link w:val="Ttulo9"/>
    <w:uiPriority w:val="9"/>
    <w:semiHidden/>
    <w:rsid w:val="00D74C2B"/>
    <w:rPr>
      <w:rFonts w:asciiTheme="majorHAnsi" w:eastAsiaTheme="majorEastAsia" w:hAnsiTheme="majorHAnsi" w:cstheme="majorBidi"/>
      <w:i/>
      <w:iCs/>
      <w:color w:val="272727" w:themeColor="text1" w:themeTint="D8"/>
      <w:kern w:val="2"/>
      <w:sz w:val="21"/>
      <w:szCs w:val="21"/>
      <w14:ligatures w14:val="standardContextual"/>
    </w:rPr>
  </w:style>
  <w:style w:type="paragraph" w:styleId="Prrafodelista">
    <w:name w:val="List Paragraph"/>
    <w:basedOn w:val="Normal"/>
    <w:uiPriority w:val="34"/>
    <w:qFormat/>
    <w:rsid w:val="00D74C2B"/>
    <w:pPr>
      <w:spacing w:before="240" w:after="240" w:line="281" w:lineRule="auto"/>
      <w:ind w:left="720"/>
      <w:contextualSpacing/>
      <w:jc w:val="both"/>
    </w:pPr>
    <w:rPr>
      <w:rFonts w:ascii="Exo" w:hAnsi="Exo"/>
      <w:sz w:val="23"/>
      <w:szCs w:val="23"/>
      <w:lang w:val="es-ES"/>
    </w:rPr>
  </w:style>
  <w:style w:type="table" w:styleId="Tablaconcuadrcula">
    <w:name w:val="Table Grid"/>
    <w:basedOn w:val="Tablanormal"/>
    <w:uiPriority w:val="39"/>
    <w:rsid w:val="00F53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2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25C6"/>
  </w:style>
  <w:style w:type="paragraph" w:styleId="Piedepgina">
    <w:name w:val="footer"/>
    <w:basedOn w:val="Normal"/>
    <w:link w:val="PiedepginaCar"/>
    <w:uiPriority w:val="99"/>
    <w:unhideWhenUsed/>
    <w:rsid w:val="009B2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25C6"/>
  </w:style>
  <w:style w:type="character" w:styleId="Refdecomentario">
    <w:name w:val="annotation reference"/>
    <w:basedOn w:val="Fuentedeprrafopredeter"/>
    <w:uiPriority w:val="99"/>
    <w:semiHidden/>
    <w:unhideWhenUsed/>
    <w:rsid w:val="000D3DAB"/>
    <w:rPr>
      <w:sz w:val="16"/>
      <w:szCs w:val="16"/>
    </w:rPr>
  </w:style>
  <w:style w:type="paragraph" w:styleId="Textocomentario">
    <w:name w:val="annotation text"/>
    <w:basedOn w:val="Normal"/>
    <w:link w:val="TextocomentarioCar"/>
    <w:uiPriority w:val="99"/>
    <w:semiHidden/>
    <w:unhideWhenUsed/>
    <w:rsid w:val="000D3D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3DAB"/>
    <w:rPr>
      <w:sz w:val="20"/>
      <w:szCs w:val="20"/>
    </w:rPr>
  </w:style>
  <w:style w:type="paragraph" w:styleId="Textodeglobo">
    <w:name w:val="Balloon Text"/>
    <w:basedOn w:val="Normal"/>
    <w:link w:val="TextodegloboCar"/>
    <w:uiPriority w:val="99"/>
    <w:semiHidden/>
    <w:unhideWhenUsed/>
    <w:rsid w:val="00850C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0C46"/>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C343E"/>
    <w:rPr>
      <w:b/>
      <w:bCs/>
    </w:rPr>
  </w:style>
  <w:style w:type="character" w:customStyle="1" w:styleId="AsuntodelcomentarioCar">
    <w:name w:val="Asunto del comentario Car"/>
    <w:basedOn w:val="TextocomentarioCar"/>
    <w:link w:val="Asuntodelcomentario"/>
    <w:uiPriority w:val="99"/>
    <w:semiHidden/>
    <w:rsid w:val="009C34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2399</Words>
  <Characters>13200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7</cp:revision>
  <dcterms:created xsi:type="dcterms:W3CDTF">2024-05-31T18:48:00Z</dcterms:created>
  <dcterms:modified xsi:type="dcterms:W3CDTF">2024-05-31T19:59:00Z</dcterms:modified>
</cp:coreProperties>
</file>