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B9639" w14:textId="09486499" w:rsidR="009601BF" w:rsidRDefault="004E6C97" w:rsidP="00D74C2B">
      <w:pPr>
        <w:spacing w:before="240" w:after="240" w:line="281" w:lineRule="auto"/>
        <w:jc w:val="both"/>
        <w:rPr>
          <w:rFonts w:ascii="Arial" w:hAnsi="Arial" w:cs="Arial"/>
          <w:b/>
          <w:sz w:val="24"/>
          <w:szCs w:val="24"/>
        </w:rPr>
      </w:pPr>
      <w:r w:rsidRPr="004E6C97">
        <w:rPr>
          <w:rFonts w:ascii="Arial" w:hAnsi="Arial" w:cs="Arial"/>
          <w:b/>
          <w:sz w:val="24"/>
          <w:szCs w:val="24"/>
        </w:rPr>
        <w:t>ACUERDO QUE, A PROPUESTA DE LA SECRETARÍA EJECUTIVA, EMITE LA JUNTA ESTATAL EJECUTIVA MEDIANTE EL CUAL AUTORIZA EL EJERCICIO DE LOS PRODUCTOS FINANCIEROS PARA SU INCORPORACIÓN AL PROGRAMA PRESUPUESTARIO R003.- CONTINGENTE DEL PROCESO ELECTORAL LOCAL ORDINARIO 2023 – 2024</w:t>
      </w:r>
    </w:p>
    <w:p w14:paraId="6181E9DA" w14:textId="77777777" w:rsidR="00D74C2B" w:rsidRPr="004E6C97" w:rsidRDefault="00D74C2B" w:rsidP="00D74C2B">
      <w:pPr>
        <w:spacing w:line="281" w:lineRule="auto"/>
        <w:jc w:val="both"/>
        <w:rPr>
          <w:rFonts w:ascii="Arial" w:hAnsi="Arial" w:cs="Arial"/>
          <w:sz w:val="23"/>
          <w:szCs w:val="23"/>
        </w:rPr>
      </w:pPr>
      <w:r w:rsidRPr="004E6C97">
        <w:rPr>
          <w:rFonts w:ascii="Arial" w:hAnsi="Arial" w:cs="Arial"/>
          <w:sz w:val="23"/>
          <w:szCs w:val="23"/>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D74C2B" w:rsidRPr="004E6C97" w14:paraId="61D4845A" w14:textId="77777777" w:rsidTr="00B85D2E">
        <w:trPr>
          <w:trHeight w:val="624"/>
          <w:jc w:val="center"/>
        </w:trPr>
        <w:tc>
          <w:tcPr>
            <w:tcW w:w="2042" w:type="pct"/>
            <w:shd w:val="clear" w:color="auto" w:fill="auto"/>
            <w:vAlign w:val="center"/>
          </w:tcPr>
          <w:p w14:paraId="4FF536C6"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Consejo Estatal:</w:t>
            </w:r>
          </w:p>
        </w:tc>
        <w:tc>
          <w:tcPr>
            <w:tcW w:w="2958" w:type="pct"/>
            <w:shd w:val="clear" w:color="auto" w:fill="auto"/>
            <w:vAlign w:val="center"/>
          </w:tcPr>
          <w:p w14:paraId="0D4316F6"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Consejo Estatal del Instituto Electoral y de Participación Ciudadana de Tabasco.</w:t>
            </w:r>
          </w:p>
        </w:tc>
      </w:tr>
      <w:tr w:rsidR="00D74C2B" w:rsidRPr="004E6C97" w14:paraId="5D38E96E" w14:textId="77777777" w:rsidTr="00B85D2E">
        <w:trPr>
          <w:trHeight w:val="624"/>
          <w:jc w:val="center"/>
        </w:trPr>
        <w:tc>
          <w:tcPr>
            <w:tcW w:w="2042" w:type="pct"/>
            <w:shd w:val="clear" w:color="auto" w:fill="auto"/>
            <w:vAlign w:val="center"/>
          </w:tcPr>
          <w:p w14:paraId="30E6583F"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Constitución Federal:</w:t>
            </w:r>
          </w:p>
        </w:tc>
        <w:tc>
          <w:tcPr>
            <w:tcW w:w="2958" w:type="pct"/>
            <w:shd w:val="clear" w:color="auto" w:fill="auto"/>
            <w:vAlign w:val="center"/>
          </w:tcPr>
          <w:p w14:paraId="0FD443C7"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Constitución Política de los Estados Unidos Mexicanos.</w:t>
            </w:r>
          </w:p>
        </w:tc>
      </w:tr>
      <w:tr w:rsidR="00D74C2B" w:rsidRPr="004E6C97" w14:paraId="748365DD" w14:textId="77777777" w:rsidTr="00B85D2E">
        <w:trPr>
          <w:trHeight w:val="624"/>
          <w:jc w:val="center"/>
        </w:trPr>
        <w:tc>
          <w:tcPr>
            <w:tcW w:w="2042" w:type="pct"/>
            <w:shd w:val="clear" w:color="auto" w:fill="auto"/>
            <w:vAlign w:val="center"/>
          </w:tcPr>
          <w:p w14:paraId="6B600D61"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Constitución Local:</w:t>
            </w:r>
          </w:p>
        </w:tc>
        <w:tc>
          <w:tcPr>
            <w:tcW w:w="2958" w:type="pct"/>
            <w:shd w:val="clear" w:color="auto" w:fill="auto"/>
            <w:vAlign w:val="center"/>
          </w:tcPr>
          <w:p w14:paraId="5EEE3C12"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Constitución Política del Estado Libre y Soberano de Tabasco.</w:t>
            </w:r>
          </w:p>
        </w:tc>
      </w:tr>
      <w:tr w:rsidR="00D74C2B" w:rsidRPr="004E6C97" w14:paraId="6F6AE1CE" w14:textId="77777777" w:rsidTr="00B85D2E">
        <w:trPr>
          <w:trHeight w:val="624"/>
          <w:jc w:val="center"/>
        </w:trPr>
        <w:tc>
          <w:tcPr>
            <w:tcW w:w="2042" w:type="pct"/>
            <w:shd w:val="clear" w:color="auto" w:fill="auto"/>
            <w:vAlign w:val="center"/>
          </w:tcPr>
          <w:p w14:paraId="6FE7BBA1"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INE:</w:t>
            </w:r>
          </w:p>
        </w:tc>
        <w:tc>
          <w:tcPr>
            <w:tcW w:w="2958" w:type="pct"/>
            <w:shd w:val="clear" w:color="auto" w:fill="auto"/>
            <w:vAlign w:val="center"/>
          </w:tcPr>
          <w:p w14:paraId="28160281"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Instituto Nacional Electoral.</w:t>
            </w:r>
          </w:p>
        </w:tc>
      </w:tr>
      <w:tr w:rsidR="00D74C2B" w:rsidRPr="004E6C97" w14:paraId="16055448" w14:textId="77777777" w:rsidTr="00B85D2E">
        <w:trPr>
          <w:trHeight w:val="624"/>
          <w:jc w:val="center"/>
        </w:trPr>
        <w:tc>
          <w:tcPr>
            <w:tcW w:w="2042" w:type="pct"/>
            <w:shd w:val="clear" w:color="auto" w:fill="auto"/>
            <w:vAlign w:val="center"/>
          </w:tcPr>
          <w:p w14:paraId="72659EF5"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Instituto:</w:t>
            </w:r>
          </w:p>
        </w:tc>
        <w:tc>
          <w:tcPr>
            <w:tcW w:w="2958" w:type="pct"/>
            <w:shd w:val="clear" w:color="auto" w:fill="auto"/>
          </w:tcPr>
          <w:p w14:paraId="3F901869"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Instituto Electoral y de Participación Ciudadana de Tabasco.</w:t>
            </w:r>
          </w:p>
        </w:tc>
      </w:tr>
      <w:tr w:rsidR="00D74C2B" w:rsidRPr="004E6C97" w14:paraId="14F2F28F" w14:textId="77777777" w:rsidTr="00B85D2E">
        <w:trPr>
          <w:trHeight w:val="624"/>
          <w:jc w:val="center"/>
        </w:trPr>
        <w:tc>
          <w:tcPr>
            <w:tcW w:w="2042" w:type="pct"/>
            <w:shd w:val="clear" w:color="auto" w:fill="auto"/>
            <w:vAlign w:val="center"/>
          </w:tcPr>
          <w:p w14:paraId="657F035A"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Junta Ejecutiva:</w:t>
            </w:r>
          </w:p>
        </w:tc>
        <w:tc>
          <w:tcPr>
            <w:tcW w:w="2958" w:type="pct"/>
            <w:shd w:val="clear" w:color="auto" w:fill="auto"/>
            <w:vAlign w:val="center"/>
          </w:tcPr>
          <w:p w14:paraId="54B0928C"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Junta Estatal Ejecutiva del Instituto Electoral y de Participación Ciudadana de Tabasco.</w:t>
            </w:r>
          </w:p>
        </w:tc>
      </w:tr>
      <w:tr w:rsidR="00D74C2B" w:rsidRPr="004E6C97" w14:paraId="586F72D4" w14:textId="77777777" w:rsidTr="00B85D2E">
        <w:trPr>
          <w:trHeight w:val="624"/>
          <w:jc w:val="center"/>
        </w:trPr>
        <w:tc>
          <w:tcPr>
            <w:tcW w:w="2042" w:type="pct"/>
            <w:shd w:val="clear" w:color="auto" w:fill="auto"/>
            <w:vAlign w:val="center"/>
          </w:tcPr>
          <w:p w14:paraId="4750086D"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Juntas Distritales:</w:t>
            </w:r>
          </w:p>
        </w:tc>
        <w:tc>
          <w:tcPr>
            <w:tcW w:w="2958" w:type="pct"/>
            <w:shd w:val="clear" w:color="auto" w:fill="auto"/>
            <w:vAlign w:val="center"/>
          </w:tcPr>
          <w:p w14:paraId="64602B71"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Juntas Electorales Distritales del Instituto Electoral y de Participación Ciudadana de Tabasco.</w:t>
            </w:r>
          </w:p>
        </w:tc>
      </w:tr>
      <w:tr w:rsidR="00D74C2B" w:rsidRPr="004E6C97" w14:paraId="4BF620A8" w14:textId="77777777" w:rsidTr="00B85D2E">
        <w:trPr>
          <w:trHeight w:val="624"/>
          <w:jc w:val="center"/>
        </w:trPr>
        <w:tc>
          <w:tcPr>
            <w:tcW w:w="2042" w:type="pct"/>
            <w:shd w:val="clear" w:color="auto" w:fill="auto"/>
            <w:vAlign w:val="center"/>
          </w:tcPr>
          <w:p w14:paraId="4695149E"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Ley Electoral:</w:t>
            </w:r>
          </w:p>
        </w:tc>
        <w:tc>
          <w:tcPr>
            <w:tcW w:w="2958" w:type="pct"/>
            <w:shd w:val="clear" w:color="auto" w:fill="auto"/>
            <w:vAlign w:val="center"/>
          </w:tcPr>
          <w:p w14:paraId="6044D6ED"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Ley Electoral y de Partidos Políticos del Estado de Tabasco.</w:t>
            </w:r>
          </w:p>
        </w:tc>
      </w:tr>
      <w:tr w:rsidR="00D74C2B" w:rsidRPr="004E6C97" w14:paraId="2E670410" w14:textId="77777777" w:rsidTr="00B85D2E">
        <w:trPr>
          <w:trHeight w:val="624"/>
          <w:jc w:val="center"/>
        </w:trPr>
        <w:tc>
          <w:tcPr>
            <w:tcW w:w="2042" w:type="pct"/>
            <w:shd w:val="clear" w:color="auto" w:fill="auto"/>
            <w:vAlign w:val="center"/>
          </w:tcPr>
          <w:p w14:paraId="3C4FAFB6"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Ley General:</w:t>
            </w:r>
          </w:p>
        </w:tc>
        <w:tc>
          <w:tcPr>
            <w:tcW w:w="2958" w:type="pct"/>
            <w:shd w:val="clear" w:color="auto" w:fill="auto"/>
            <w:vAlign w:val="center"/>
          </w:tcPr>
          <w:p w14:paraId="5814BB6C"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Ley General de Instituciones y Procedimientos Electorales.</w:t>
            </w:r>
          </w:p>
        </w:tc>
      </w:tr>
      <w:tr w:rsidR="00D74C2B" w:rsidRPr="004E6C97" w14:paraId="1B5A0C6B" w14:textId="77777777" w:rsidTr="00B85D2E">
        <w:trPr>
          <w:trHeight w:val="624"/>
          <w:jc w:val="center"/>
        </w:trPr>
        <w:tc>
          <w:tcPr>
            <w:tcW w:w="2042" w:type="pct"/>
            <w:shd w:val="clear" w:color="auto" w:fill="auto"/>
            <w:vAlign w:val="center"/>
          </w:tcPr>
          <w:p w14:paraId="4113ADE2"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Organismo electoral:</w:t>
            </w:r>
          </w:p>
        </w:tc>
        <w:tc>
          <w:tcPr>
            <w:tcW w:w="2958" w:type="pct"/>
            <w:shd w:val="clear" w:color="auto" w:fill="auto"/>
            <w:vAlign w:val="center"/>
          </w:tcPr>
          <w:p w14:paraId="2B02894D"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 xml:space="preserve">Organismo(s) público(s) local(es) electoral(es). </w:t>
            </w:r>
          </w:p>
        </w:tc>
      </w:tr>
      <w:tr w:rsidR="00D74C2B" w:rsidRPr="004E6C97" w14:paraId="5047CAD0" w14:textId="77777777" w:rsidTr="00B85D2E">
        <w:trPr>
          <w:trHeight w:val="624"/>
          <w:jc w:val="center"/>
        </w:trPr>
        <w:tc>
          <w:tcPr>
            <w:tcW w:w="2042" w:type="pct"/>
            <w:shd w:val="clear" w:color="auto" w:fill="auto"/>
            <w:vAlign w:val="center"/>
          </w:tcPr>
          <w:p w14:paraId="689B163F"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Proceso Electoral:</w:t>
            </w:r>
          </w:p>
        </w:tc>
        <w:tc>
          <w:tcPr>
            <w:tcW w:w="2958" w:type="pct"/>
            <w:shd w:val="clear" w:color="auto" w:fill="auto"/>
            <w:vAlign w:val="center"/>
          </w:tcPr>
          <w:p w14:paraId="20B163A1"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Proceso Electoral Local Ordinario 2023-2024.</w:t>
            </w:r>
          </w:p>
        </w:tc>
      </w:tr>
      <w:tr w:rsidR="00D74C2B" w:rsidRPr="004E6C97" w14:paraId="55218A18" w14:textId="77777777" w:rsidTr="00B85D2E">
        <w:trPr>
          <w:trHeight w:val="624"/>
          <w:jc w:val="center"/>
        </w:trPr>
        <w:tc>
          <w:tcPr>
            <w:tcW w:w="2042" w:type="pct"/>
            <w:shd w:val="clear" w:color="auto" w:fill="auto"/>
            <w:vAlign w:val="center"/>
          </w:tcPr>
          <w:p w14:paraId="6D3C77A9"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Secretaría Ejecutiva:</w:t>
            </w:r>
          </w:p>
        </w:tc>
        <w:tc>
          <w:tcPr>
            <w:tcW w:w="2958" w:type="pct"/>
            <w:shd w:val="clear" w:color="auto" w:fill="auto"/>
            <w:vAlign w:val="center"/>
          </w:tcPr>
          <w:p w14:paraId="43C77007"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Secretaría Ejecutiva del Instituto Electoral y de Participación Ciudadana de Tabasco.</w:t>
            </w:r>
          </w:p>
        </w:tc>
      </w:tr>
      <w:tr w:rsidR="00D74C2B" w:rsidRPr="004E6C97" w14:paraId="2B345A44" w14:textId="77777777" w:rsidTr="00B85D2E">
        <w:trPr>
          <w:trHeight w:val="624"/>
          <w:jc w:val="center"/>
        </w:trPr>
        <w:tc>
          <w:tcPr>
            <w:tcW w:w="2042" w:type="pct"/>
            <w:shd w:val="clear" w:color="auto" w:fill="auto"/>
            <w:vAlign w:val="center"/>
          </w:tcPr>
          <w:p w14:paraId="02BB947D" w14:textId="77777777" w:rsidR="00D74C2B" w:rsidRPr="004E6C97" w:rsidRDefault="00D74C2B" w:rsidP="00D74C2B">
            <w:pPr>
              <w:widowControl w:val="0"/>
              <w:spacing w:before="40" w:after="40" w:line="281" w:lineRule="auto"/>
              <w:ind w:left="57"/>
              <w:jc w:val="both"/>
              <w:rPr>
                <w:rFonts w:ascii="Arial" w:hAnsi="Arial" w:cs="Arial"/>
                <w:b/>
                <w:sz w:val="20"/>
                <w:szCs w:val="20"/>
              </w:rPr>
            </w:pPr>
            <w:r w:rsidRPr="004E6C97">
              <w:rPr>
                <w:rFonts w:ascii="Arial" w:hAnsi="Arial" w:cs="Arial"/>
                <w:b/>
                <w:sz w:val="20"/>
                <w:szCs w:val="20"/>
              </w:rPr>
              <w:t>Vocales Distritales:</w:t>
            </w:r>
          </w:p>
        </w:tc>
        <w:tc>
          <w:tcPr>
            <w:tcW w:w="2958" w:type="pct"/>
            <w:shd w:val="clear" w:color="auto" w:fill="auto"/>
            <w:vAlign w:val="center"/>
          </w:tcPr>
          <w:p w14:paraId="713C23BF" w14:textId="77777777" w:rsidR="00D74C2B" w:rsidRPr="004E6C97" w:rsidRDefault="00D74C2B" w:rsidP="00D74C2B">
            <w:pPr>
              <w:widowControl w:val="0"/>
              <w:spacing w:before="40" w:after="40" w:line="281" w:lineRule="auto"/>
              <w:ind w:left="57"/>
              <w:jc w:val="both"/>
              <w:rPr>
                <w:rFonts w:ascii="Arial" w:hAnsi="Arial" w:cs="Arial"/>
                <w:sz w:val="20"/>
                <w:szCs w:val="20"/>
              </w:rPr>
            </w:pPr>
            <w:r w:rsidRPr="004E6C97">
              <w:rPr>
                <w:rFonts w:ascii="Arial" w:hAnsi="Arial" w:cs="Arial"/>
                <w:sz w:val="20"/>
                <w:szCs w:val="20"/>
              </w:rPr>
              <w:t>Vocales Electorales integrantes de las Juntas Electorales Distritales del Instituto Electoral y de Participación Ciudadana de Tabasco.</w:t>
            </w:r>
          </w:p>
        </w:tc>
      </w:tr>
    </w:tbl>
    <w:p w14:paraId="1277A145" w14:textId="77777777" w:rsidR="00D74C2B" w:rsidRPr="00405973" w:rsidRDefault="00D74C2B" w:rsidP="00D74C2B">
      <w:pPr>
        <w:pStyle w:val="Ttulo1"/>
        <w:rPr>
          <w:rFonts w:ascii="Arial" w:hAnsi="Arial"/>
          <w:sz w:val="24"/>
          <w:szCs w:val="24"/>
        </w:rPr>
      </w:pPr>
      <w:r w:rsidRPr="00405973">
        <w:rPr>
          <w:rFonts w:ascii="Arial" w:hAnsi="Arial"/>
          <w:sz w:val="24"/>
          <w:szCs w:val="24"/>
        </w:rPr>
        <w:lastRenderedPageBreak/>
        <w:t>Antecedentes</w:t>
      </w:r>
    </w:p>
    <w:p w14:paraId="1272A13F" w14:textId="77777777" w:rsidR="00D74C2B" w:rsidRPr="004E6C97" w:rsidRDefault="00D74C2B" w:rsidP="00D74C2B">
      <w:pPr>
        <w:pStyle w:val="Ttulo2"/>
        <w:spacing w:line="281" w:lineRule="auto"/>
        <w:rPr>
          <w:rFonts w:ascii="Arial" w:hAnsi="Arial"/>
        </w:rPr>
      </w:pPr>
      <w:r w:rsidRPr="004E6C97">
        <w:rPr>
          <w:rFonts w:ascii="Arial" w:hAnsi="Arial"/>
        </w:rPr>
        <w:t>Inicio del Proceso Electoral</w:t>
      </w:r>
    </w:p>
    <w:p w14:paraId="52A0A4CF" w14:textId="77777777" w:rsidR="00D74C2B" w:rsidRPr="004E6C97" w:rsidRDefault="00D74C2B" w:rsidP="00D74C2B">
      <w:pPr>
        <w:spacing w:line="281" w:lineRule="auto"/>
        <w:jc w:val="both"/>
        <w:rPr>
          <w:rFonts w:ascii="Arial" w:hAnsi="Arial" w:cs="Arial"/>
          <w:sz w:val="23"/>
          <w:szCs w:val="23"/>
        </w:rPr>
      </w:pPr>
      <w:r w:rsidRPr="004E6C97">
        <w:rPr>
          <w:rFonts w:ascii="Arial" w:hAnsi="Arial" w:cs="Arial"/>
          <w:sz w:val="23"/>
          <w:szCs w:val="23"/>
        </w:rPr>
        <w:t>El 6 de octubre de la presente anualidad, el Consejo Estatal de conformidad con el artículo 111 de la Ley Electoral declaró el inicio del Proceso Electoral por el que se renovarán los cargos relativos a la Gubernatura del Estado, Diputaciones Locales, Presidencias Municipales y Regidurías.</w:t>
      </w:r>
    </w:p>
    <w:p w14:paraId="77DF7881" w14:textId="77777777" w:rsidR="00D74C2B" w:rsidRPr="004E6C97" w:rsidRDefault="00D74C2B" w:rsidP="00D74C2B">
      <w:pPr>
        <w:pStyle w:val="Ttulo2"/>
        <w:spacing w:line="281" w:lineRule="auto"/>
        <w:rPr>
          <w:rFonts w:ascii="Arial" w:hAnsi="Arial"/>
        </w:rPr>
      </w:pPr>
      <w:r w:rsidRPr="004E6C97">
        <w:rPr>
          <w:rFonts w:ascii="Arial" w:hAnsi="Arial"/>
        </w:rPr>
        <w:t>Designación de las Vocalías Distritales</w:t>
      </w:r>
    </w:p>
    <w:p w14:paraId="531EEEDD" w14:textId="77777777" w:rsidR="00D74C2B" w:rsidRPr="004E6C97" w:rsidRDefault="00D74C2B" w:rsidP="00D74C2B">
      <w:pPr>
        <w:spacing w:line="281" w:lineRule="auto"/>
        <w:jc w:val="both"/>
        <w:rPr>
          <w:rFonts w:ascii="Arial" w:hAnsi="Arial" w:cs="Arial"/>
          <w:sz w:val="23"/>
          <w:szCs w:val="23"/>
        </w:rPr>
      </w:pPr>
      <w:r w:rsidRPr="004E6C97">
        <w:rPr>
          <w:rFonts w:ascii="Arial" w:hAnsi="Arial" w:cs="Arial"/>
          <w:sz w:val="23"/>
          <w:szCs w:val="23"/>
        </w:rPr>
        <w:t>El 9 de diciembre de 2023, mediante acuerdo JEE/2023/015, la Junta Ejecutiva designó a las personas que ocupan las titularidades de las Vocalías Distritales de los órganos desconcentrados.</w:t>
      </w:r>
    </w:p>
    <w:p w14:paraId="64BE73D1" w14:textId="77777777" w:rsidR="00D74C2B" w:rsidRPr="004E6C97" w:rsidRDefault="00D74C2B" w:rsidP="00D74C2B">
      <w:pPr>
        <w:pStyle w:val="Ttulo2"/>
        <w:keepNext w:val="0"/>
        <w:keepLines w:val="0"/>
        <w:spacing w:line="276" w:lineRule="auto"/>
        <w:rPr>
          <w:rFonts w:ascii="Arial" w:hAnsi="Arial"/>
        </w:rPr>
      </w:pPr>
      <w:r w:rsidRPr="004E6C97">
        <w:rPr>
          <w:rFonts w:ascii="Arial" w:hAnsi="Arial"/>
        </w:rPr>
        <w:t>Aprobación del Presupuesto Anual correspondiente al ejercicio 2024</w:t>
      </w:r>
    </w:p>
    <w:p w14:paraId="796E0977" w14:textId="77777777" w:rsidR="00D74C2B" w:rsidRPr="004E6C97" w:rsidRDefault="00D74C2B" w:rsidP="00D74C2B">
      <w:pPr>
        <w:spacing w:before="240" w:after="240" w:line="276" w:lineRule="auto"/>
        <w:jc w:val="both"/>
        <w:rPr>
          <w:rFonts w:ascii="Arial" w:hAnsi="Arial" w:cs="Arial"/>
          <w:sz w:val="23"/>
          <w:szCs w:val="23"/>
        </w:rPr>
      </w:pPr>
      <w:r w:rsidRPr="004E6C97">
        <w:rPr>
          <w:rFonts w:ascii="Arial" w:hAnsi="Arial" w:cs="Arial"/>
          <w:sz w:val="23"/>
          <w:szCs w:val="23"/>
        </w:rPr>
        <w:t>El 20 de diciembre de 2023, se publicó en el Suplemento “K”, Edición 8482 al Periódico Oficial del Estado número 10565, el decreto 182 relativo al Presupuesto Anual de Egresos aprobado por el H. Congreso del Estado de Tabasco, correspondiente al ejercicio 2024, el cual contiene entre otros aspectos, la política de gasto de los órganos autónomos.</w:t>
      </w:r>
    </w:p>
    <w:p w14:paraId="0D6E13B1" w14:textId="77777777" w:rsidR="00D74C2B" w:rsidRPr="004E6C97" w:rsidRDefault="00D74C2B" w:rsidP="00D74C2B">
      <w:pPr>
        <w:pStyle w:val="Ttulo2"/>
        <w:keepNext w:val="0"/>
        <w:keepLines w:val="0"/>
        <w:spacing w:line="276" w:lineRule="auto"/>
        <w:rPr>
          <w:rFonts w:ascii="Arial" w:hAnsi="Arial"/>
        </w:rPr>
      </w:pPr>
      <w:r w:rsidRPr="004E6C97">
        <w:rPr>
          <w:rFonts w:ascii="Arial" w:hAnsi="Arial"/>
        </w:rPr>
        <w:t>Presupuesto del Instituto correspondiente al ejercicio 2024</w:t>
      </w:r>
    </w:p>
    <w:p w14:paraId="52F631B6" w14:textId="77777777" w:rsidR="00D74C2B" w:rsidRPr="004E6C97" w:rsidRDefault="00D74C2B" w:rsidP="00D74C2B">
      <w:pPr>
        <w:spacing w:before="240" w:after="240" w:line="276" w:lineRule="auto"/>
        <w:jc w:val="both"/>
        <w:rPr>
          <w:rFonts w:ascii="Arial" w:hAnsi="Arial" w:cs="Arial"/>
          <w:sz w:val="23"/>
          <w:szCs w:val="23"/>
        </w:rPr>
      </w:pPr>
      <w:r w:rsidRPr="004E6C97">
        <w:rPr>
          <w:rFonts w:ascii="Arial" w:hAnsi="Arial" w:cs="Arial"/>
          <w:sz w:val="23"/>
          <w:szCs w:val="23"/>
        </w:rPr>
        <w:t>De conformidad con el Presupuesto antes mencionado, el H. Congreso del Estado, para el ejercicio 2024 asignó al Instituto Electoral recursos por la cantidad de $433,400,000.00 (cuatrocientos treinta y tres millones cuatrocientos mil pesos 00/100), cantidad que incluye el gasto previsto para el financiamiento público de los partidos políticos con derecho a éste.</w:t>
      </w:r>
    </w:p>
    <w:p w14:paraId="49DDE6BD" w14:textId="77777777" w:rsidR="00D74C2B" w:rsidRPr="004E6C97" w:rsidRDefault="00D74C2B" w:rsidP="00D74C2B">
      <w:pPr>
        <w:pStyle w:val="Ttulo2"/>
        <w:spacing w:line="281" w:lineRule="auto"/>
        <w:rPr>
          <w:rFonts w:ascii="Arial" w:hAnsi="Arial"/>
        </w:rPr>
      </w:pPr>
      <w:r w:rsidRPr="004E6C97">
        <w:rPr>
          <w:rFonts w:ascii="Arial" w:hAnsi="Arial"/>
        </w:rPr>
        <w:t>Jornada Electoral</w:t>
      </w:r>
    </w:p>
    <w:p w14:paraId="60E9AF68" w14:textId="77777777" w:rsidR="00D74C2B" w:rsidRPr="004E6C97" w:rsidRDefault="00D74C2B" w:rsidP="00D74C2B">
      <w:pPr>
        <w:spacing w:line="281" w:lineRule="auto"/>
        <w:jc w:val="both"/>
        <w:rPr>
          <w:rFonts w:ascii="Arial" w:hAnsi="Arial" w:cs="Arial"/>
          <w:sz w:val="23"/>
          <w:szCs w:val="23"/>
        </w:rPr>
      </w:pPr>
      <w:r w:rsidRPr="004E6C97">
        <w:rPr>
          <w:rFonts w:ascii="Arial" w:hAnsi="Arial" w:cs="Arial"/>
          <w:sz w:val="23"/>
          <w:szCs w:val="23"/>
        </w:rPr>
        <w:t xml:space="preserve">En términos del artículo 27 numeral 1 de la Ley Electoral las elecciones ordinarias deberán celebrarse el primer domingo del mes de junio del año que corresponda. Por </w:t>
      </w:r>
      <w:r w:rsidRPr="004E6C97">
        <w:rPr>
          <w:rFonts w:ascii="Arial" w:hAnsi="Arial" w:cs="Arial"/>
          <w:sz w:val="23"/>
          <w:szCs w:val="23"/>
        </w:rPr>
        <w:lastRenderedPageBreak/>
        <w:t>lo que, en el caso del Proceso Electoral la jornada electoral se realizará el 2 de junio de 2024.</w:t>
      </w:r>
    </w:p>
    <w:p w14:paraId="7FFB254F" w14:textId="77777777" w:rsidR="00D74C2B" w:rsidRPr="0026581E" w:rsidRDefault="00D74C2B" w:rsidP="00D74C2B">
      <w:pPr>
        <w:pStyle w:val="Ttulo1"/>
        <w:rPr>
          <w:rFonts w:ascii="Arial" w:hAnsi="Arial"/>
          <w:sz w:val="24"/>
          <w:szCs w:val="24"/>
        </w:rPr>
      </w:pPr>
      <w:r w:rsidRPr="0026581E">
        <w:rPr>
          <w:rFonts w:ascii="Arial" w:hAnsi="Arial"/>
          <w:sz w:val="24"/>
          <w:szCs w:val="24"/>
        </w:rPr>
        <w:t>Considerando</w:t>
      </w:r>
    </w:p>
    <w:p w14:paraId="60D3438E" w14:textId="77777777" w:rsidR="00D74C2B" w:rsidRPr="0026581E" w:rsidRDefault="00D74C2B" w:rsidP="00D74C2B">
      <w:pPr>
        <w:pStyle w:val="Ttulo2"/>
        <w:spacing w:line="281" w:lineRule="auto"/>
        <w:rPr>
          <w:rFonts w:ascii="Arial" w:hAnsi="Arial"/>
        </w:rPr>
      </w:pPr>
      <w:r w:rsidRPr="0026581E">
        <w:rPr>
          <w:rFonts w:ascii="Arial" w:hAnsi="Arial"/>
        </w:rPr>
        <w:t xml:space="preserve">Fines del Instituto </w:t>
      </w:r>
    </w:p>
    <w:p w14:paraId="23D3822B"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4356E76"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10DB593F" w14:textId="77777777" w:rsidR="00D74C2B" w:rsidRPr="0026581E" w:rsidRDefault="00D74C2B" w:rsidP="00D74C2B">
      <w:pPr>
        <w:pStyle w:val="Ttulo2"/>
        <w:spacing w:line="281" w:lineRule="auto"/>
        <w:rPr>
          <w:rFonts w:ascii="Arial" w:hAnsi="Arial"/>
        </w:rPr>
      </w:pPr>
      <w:r w:rsidRPr="0026581E">
        <w:rPr>
          <w:rFonts w:ascii="Arial" w:hAnsi="Arial"/>
        </w:rPr>
        <w:t xml:space="preserve">Órgano Superior de Dirección del Instituto </w:t>
      </w:r>
    </w:p>
    <w:p w14:paraId="49FB7817"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F3AD8A8" w14:textId="77777777" w:rsidR="00D74C2B" w:rsidRPr="0026581E" w:rsidRDefault="00D74C2B" w:rsidP="00D74C2B">
      <w:pPr>
        <w:pStyle w:val="Ttulo2"/>
        <w:spacing w:line="281" w:lineRule="auto"/>
        <w:rPr>
          <w:rFonts w:ascii="Arial" w:hAnsi="Arial"/>
        </w:rPr>
      </w:pPr>
      <w:r w:rsidRPr="0026581E">
        <w:rPr>
          <w:rFonts w:ascii="Arial" w:hAnsi="Arial"/>
        </w:rPr>
        <w:lastRenderedPageBreak/>
        <w:t xml:space="preserve">Órganos Centrales del Instituto </w:t>
      </w:r>
    </w:p>
    <w:p w14:paraId="1F9677C1"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el artículo 105, de la Ley Electoral, señala que, son órganos centrales del Instituto los siguientes: I. Consejo Estatal; II. Presidencia del Consejo Estatal; III. Junta Ejecutiva; IV. Secretaría Ejecutiva, y V. Órgano Técnico de Fiscalización.</w:t>
      </w:r>
    </w:p>
    <w:p w14:paraId="6A7CEEF8" w14:textId="77777777" w:rsidR="00D74C2B" w:rsidRPr="0026581E" w:rsidRDefault="00D74C2B" w:rsidP="00D74C2B">
      <w:pPr>
        <w:pStyle w:val="Ttulo2"/>
        <w:spacing w:line="281" w:lineRule="auto"/>
        <w:rPr>
          <w:rFonts w:ascii="Arial" w:hAnsi="Arial"/>
        </w:rPr>
      </w:pPr>
      <w:r w:rsidRPr="0026581E">
        <w:rPr>
          <w:rFonts w:ascii="Arial" w:hAnsi="Arial"/>
        </w:rPr>
        <w:t xml:space="preserve">Administración del Instituto </w:t>
      </w:r>
    </w:p>
    <w:p w14:paraId="55E8815A"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53B72AB1"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34EDAFB4" w14:textId="77777777" w:rsidR="00D74C2B" w:rsidRPr="0026581E" w:rsidRDefault="00D74C2B" w:rsidP="00D74C2B">
      <w:pPr>
        <w:pStyle w:val="Ttulo2"/>
        <w:spacing w:line="281" w:lineRule="auto"/>
        <w:rPr>
          <w:rFonts w:ascii="Arial" w:hAnsi="Arial"/>
        </w:rPr>
      </w:pPr>
      <w:r w:rsidRPr="0026581E">
        <w:rPr>
          <w:rFonts w:ascii="Arial" w:hAnsi="Arial"/>
        </w:rPr>
        <w:t>Integración de la Junta Ejecutiva</w:t>
      </w:r>
    </w:p>
    <w:p w14:paraId="1D7A5958"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79C24D59"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Asimismo, el numeral 2, del artículo mencionado establece que, las o los titulares del Órgano Técnico de Fiscalización y de la Contraloría General podrán participar en las sesiones de la Junta Ejecutiva, a convocatoria de la Presidencia del Consejo.</w:t>
      </w:r>
    </w:p>
    <w:p w14:paraId="2E1E3B01" w14:textId="77777777" w:rsidR="00D74C2B" w:rsidRPr="0026581E" w:rsidRDefault="00D74C2B" w:rsidP="00D74C2B">
      <w:pPr>
        <w:pStyle w:val="Ttulo2"/>
        <w:spacing w:line="281" w:lineRule="auto"/>
        <w:rPr>
          <w:rFonts w:ascii="Arial" w:hAnsi="Arial"/>
        </w:rPr>
      </w:pPr>
      <w:r w:rsidRPr="0026581E">
        <w:rPr>
          <w:rFonts w:ascii="Arial" w:hAnsi="Arial"/>
        </w:rPr>
        <w:t>Atribuciones de la Junta Ejecutiva</w:t>
      </w:r>
    </w:p>
    <w:p w14:paraId="58CA6FF3"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el numeral 1, del artículo 119, de la Ley Electoral, señala que, la Junta Ejecutiva se reunirá por lo menos una vez al mes y ejercerá las atribuciones siguientes:</w:t>
      </w:r>
    </w:p>
    <w:p w14:paraId="6935AE44"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Proponer al Consejo Estatal las políticas generales y los programas del Instituto Estatal;</w:t>
      </w:r>
    </w:p>
    <w:p w14:paraId="4B6B639C"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Fijar los procedimientos administrativos, conforme a las políticas y programas generales del Instituto;</w:t>
      </w:r>
    </w:p>
    <w:p w14:paraId="71D929A4"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lastRenderedPageBreak/>
        <w:t>Revisar el cumplimiento de los trabajos relativos a los productos electorales que habrá de aportar el Registro Federal de Electores para el Proceso Local, conforme al convenio y documentos técnicos celebrados con el Instituto Nacional Electoral;</w:t>
      </w:r>
    </w:p>
    <w:p w14:paraId="331F6DD8"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Vigilar el cumplimiento de las normas aplicables a los Partidos Políticos, las agrupaciones políticas y candidatos;</w:t>
      </w:r>
    </w:p>
    <w:p w14:paraId="57C5B549"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Supervisar el cumplimiento de los programas y actividades de las Direcciones del Instituto;</w:t>
      </w:r>
    </w:p>
    <w:p w14:paraId="56C885BD"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65BF83CB"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7F2FDE4E"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Conocer de los informes de la Contraloría General respecto de los expedientes relativos a las faltas administrativas y, en su caso, sobre imposición de sanciones a las personas servidoras públicas del Instituto Estatal;</w:t>
      </w:r>
    </w:p>
    <w:p w14:paraId="6A705530"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Formular los estudios y, en su caso, los proyectos de convenio que deban suscribirse entre el Instituto con el INE;</w:t>
      </w:r>
    </w:p>
    <w:p w14:paraId="72810034"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Presentar a consideración del Consejo Estatal el proyecto de dictamen de pérdida de registro de algún partido político local o agrupación política local, que se encuentren en cualquiera de los supuestos establecidos en esta Ley;</w:t>
      </w:r>
    </w:p>
    <w:p w14:paraId="59F1CF10"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Resolver, en el ámbito de su competencia, los medios de impugnación en contra de los actos o resoluciones de la Secretaría Ejecutiva y de las Juntas Distritales del Instituto, en los términos establecidos en la ley de la materia;</w:t>
      </w:r>
    </w:p>
    <w:p w14:paraId="2CA1828A"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Integrar los expedientes relativos a las faltas administrativas en materia electoral y, en su caso, proponer las sanciones, en los términos que establece esta Ley, y</w:t>
      </w:r>
    </w:p>
    <w:p w14:paraId="4B19A6EC" w14:textId="77777777" w:rsidR="00D74C2B" w:rsidRPr="0026581E" w:rsidRDefault="00D74C2B" w:rsidP="00D74C2B">
      <w:pPr>
        <w:pStyle w:val="Prrafodelista"/>
        <w:numPr>
          <w:ilvl w:val="0"/>
          <w:numId w:val="2"/>
        </w:numPr>
        <w:ind w:left="510" w:hanging="510"/>
        <w:contextualSpacing w:val="0"/>
        <w:rPr>
          <w:rFonts w:ascii="Arial" w:hAnsi="Arial" w:cs="Arial"/>
        </w:rPr>
      </w:pPr>
      <w:r w:rsidRPr="0026581E">
        <w:rPr>
          <w:rFonts w:ascii="Arial" w:hAnsi="Arial" w:cs="Arial"/>
        </w:rPr>
        <w:t>Las demás que le encomiende esta Ley, el Consejo Estatal y el Consejero Presidente.</w:t>
      </w:r>
    </w:p>
    <w:p w14:paraId="32258DD1"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lastRenderedPageBreak/>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65BE5BD9" w14:textId="77777777" w:rsidR="00D74C2B" w:rsidRPr="0026581E" w:rsidRDefault="00D74C2B" w:rsidP="00D74C2B">
      <w:pPr>
        <w:pStyle w:val="Ttulo2"/>
        <w:spacing w:line="281" w:lineRule="auto"/>
        <w:rPr>
          <w:rFonts w:ascii="Arial" w:hAnsi="Arial"/>
        </w:rPr>
      </w:pPr>
      <w:r w:rsidRPr="0026581E">
        <w:rPr>
          <w:rFonts w:ascii="Arial" w:hAnsi="Arial"/>
        </w:rPr>
        <w:t xml:space="preserve">Autonomía presupuestaria del Instituto </w:t>
      </w:r>
    </w:p>
    <w:p w14:paraId="52D67444"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el artículo 6 de la Ley de Presupuesto y Responsabilidad Hacendaria del Estado de Tabasco y sus Municipios, sostiene que la autonomía presupuestaria otorgada a los órganos autónomos a través de la Constitución Local comprende:</w:t>
      </w:r>
    </w:p>
    <w:p w14:paraId="083725C7" w14:textId="77777777" w:rsidR="00D74C2B" w:rsidRPr="0026581E" w:rsidRDefault="00D74C2B" w:rsidP="00D74C2B">
      <w:pPr>
        <w:pStyle w:val="Prrafodelista"/>
        <w:numPr>
          <w:ilvl w:val="1"/>
          <w:numId w:val="2"/>
        </w:numPr>
        <w:ind w:left="703" w:hanging="703"/>
        <w:contextualSpacing w:val="0"/>
        <w:rPr>
          <w:rFonts w:ascii="Arial" w:hAnsi="Arial" w:cs="Arial"/>
        </w:rPr>
      </w:pPr>
      <w:r w:rsidRPr="0026581E">
        <w:rPr>
          <w:rFonts w:ascii="Arial" w:hAnsi="Arial" w:cs="Arial"/>
        </w:rPr>
        <w:t xml:space="preserve">La aprobación de su proyecto de presupuesto y su remisión a la Secretaría de Finanzas para su integración al proyecto de Presupuesto de Egresos, observando los criterios de política económica y demás disposiciones aplicables; </w:t>
      </w:r>
    </w:p>
    <w:p w14:paraId="46B10B4D" w14:textId="77777777" w:rsidR="00D74C2B" w:rsidRPr="0026581E" w:rsidRDefault="00D74C2B" w:rsidP="00D74C2B">
      <w:pPr>
        <w:pStyle w:val="Prrafodelista"/>
        <w:numPr>
          <w:ilvl w:val="1"/>
          <w:numId w:val="2"/>
        </w:numPr>
        <w:ind w:left="703" w:hanging="703"/>
        <w:contextualSpacing w:val="0"/>
        <w:rPr>
          <w:rFonts w:ascii="Arial" w:hAnsi="Arial" w:cs="Arial"/>
        </w:rPr>
      </w:pPr>
      <w:r w:rsidRPr="0026581E">
        <w:rPr>
          <w:rFonts w:ascii="Arial" w:hAnsi="Arial" w:cs="Arial"/>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10B51CE" w14:textId="77777777" w:rsidR="00D74C2B" w:rsidRPr="0026581E" w:rsidRDefault="00D74C2B" w:rsidP="00D74C2B">
      <w:pPr>
        <w:pStyle w:val="Prrafodelista"/>
        <w:numPr>
          <w:ilvl w:val="1"/>
          <w:numId w:val="2"/>
        </w:numPr>
        <w:ind w:left="703" w:hanging="703"/>
        <w:contextualSpacing w:val="0"/>
        <w:rPr>
          <w:rFonts w:ascii="Arial" w:hAnsi="Arial" w:cs="Arial"/>
        </w:rPr>
      </w:pPr>
      <w:r w:rsidRPr="0026581E">
        <w:rPr>
          <w:rFonts w:ascii="Arial" w:hAnsi="Arial" w:cs="Arial"/>
        </w:rPr>
        <w:t xml:space="preserve">La autorización de las adecuaciones a sus presupuestos sin requerir la aprobación de la Secretaría de Finanzas, observando las disposiciones de dicha Ley; </w:t>
      </w:r>
    </w:p>
    <w:p w14:paraId="7A4E1497" w14:textId="77777777" w:rsidR="00D74C2B" w:rsidRPr="0026581E" w:rsidRDefault="00D74C2B" w:rsidP="00D74C2B">
      <w:pPr>
        <w:pStyle w:val="Prrafodelista"/>
        <w:numPr>
          <w:ilvl w:val="1"/>
          <w:numId w:val="2"/>
        </w:numPr>
        <w:ind w:left="703" w:hanging="703"/>
        <w:contextualSpacing w:val="0"/>
        <w:rPr>
          <w:rFonts w:ascii="Arial" w:hAnsi="Arial" w:cs="Arial"/>
        </w:rPr>
      </w:pPr>
      <w:r w:rsidRPr="0026581E">
        <w:rPr>
          <w:rFonts w:ascii="Arial" w:hAnsi="Arial" w:cs="Arial"/>
        </w:rPr>
        <w:t xml:space="preserve">La realización de sus pagos a través de sus respectivas tesorerías o sus equivalentes; </w:t>
      </w:r>
    </w:p>
    <w:p w14:paraId="2078CD02" w14:textId="77777777" w:rsidR="00D74C2B" w:rsidRPr="0026581E" w:rsidRDefault="00D74C2B" w:rsidP="00D74C2B">
      <w:pPr>
        <w:pStyle w:val="Prrafodelista"/>
        <w:numPr>
          <w:ilvl w:val="1"/>
          <w:numId w:val="2"/>
        </w:numPr>
        <w:ind w:left="703" w:hanging="703"/>
        <w:contextualSpacing w:val="0"/>
        <w:rPr>
          <w:rFonts w:ascii="Arial" w:hAnsi="Arial" w:cs="Arial"/>
        </w:rPr>
      </w:pPr>
      <w:r w:rsidRPr="0026581E">
        <w:rPr>
          <w:rFonts w:ascii="Arial" w:hAnsi="Arial" w:cs="Arial"/>
        </w:rPr>
        <w:t>La determinación de los ajustes que correspondan en sus presupuestos en caso de disminución de ingresos, observando, en lo conducente, lo dispuesto en el artículo 18 de la Ley mencionada; y</w:t>
      </w:r>
    </w:p>
    <w:p w14:paraId="555D8BC9" w14:textId="77777777" w:rsidR="00D74C2B" w:rsidRPr="0026581E" w:rsidRDefault="00D74C2B" w:rsidP="00D74C2B">
      <w:pPr>
        <w:pStyle w:val="Prrafodelista"/>
        <w:numPr>
          <w:ilvl w:val="1"/>
          <w:numId w:val="2"/>
        </w:numPr>
        <w:ind w:left="703" w:hanging="703"/>
        <w:contextualSpacing w:val="0"/>
        <w:rPr>
          <w:rFonts w:ascii="Arial" w:hAnsi="Arial" w:cs="Arial"/>
        </w:rPr>
      </w:pPr>
      <w:r w:rsidRPr="0026581E">
        <w:rPr>
          <w:rFonts w:ascii="Arial" w:hAnsi="Arial" w:cs="Arial"/>
        </w:rPr>
        <w:t>Llevar la contabilidad y elaborar sus informes conforme a lo previsto en dicha Ley, así como enviarlos a la Secretaría de Finanzas para su integración a los informes trimestrales y a la cuenta pública.</w:t>
      </w:r>
    </w:p>
    <w:p w14:paraId="00C8717E" w14:textId="77777777" w:rsidR="00D74C2B" w:rsidRPr="0026581E" w:rsidRDefault="00D74C2B" w:rsidP="00D74C2B">
      <w:pPr>
        <w:pStyle w:val="Ttulo2"/>
        <w:spacing w:line="281" w:lineRule="auto"/>
        <w:rPr>
          <w:rFonts w:ascii="Arial" w:hAnsi="Arial"/>
        </w:rPr>
      </w:pPr>
      <w:r w:rsidRPr="0026581E">
        <w:rPr>
          <w:rFonts w:ascii="Arial" w:hAnsi="Arial"/>
        </w:rPr>
        <w:lastRenderedPageBreak/>
        <w:t>Administración de los recursos financieros y materiales del Instituto</w:t>
      </w:r>
    </w:p>
    <w:p w14:paraId="24B6AF97" w14:textId="77777777" w:rsidR="00D74C2B" w:rsidRPr="0026581E" w:rsidRDefault="00D74C2B" w:rsidP="00D74C2B">
      <w:pPr>
        <w:spacing w:line="281" w:lineRule="auto"/>
        <w:jc w:val="both"/>
        <w:rPr>
          <w:rFonts w:ascii="Arial" w:hAnsi="Arial" w:cs="Arial"/>
          <w:sz w:val="23"/>
          <w:szCs w:val="23"/>
        </w:rPr>
      </w:pPr>
      <w:r w:rsidRPr="0026581E">
        <w:rPr>
          <w:rFonts w:ascii="Arial" w:hAnsi="Arial" w:cs="Arial"/>
          <w:sz w:val="23"/>
          <w:szCs w:val="23"/>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24BAB859" w14:textId="783803AC" w:rsidR="00693EA1" w:rsidRPr="0026581E" w:rsidRDefault="00693EA1" w:rsidP="00B0786C">
      <w:pPr>
        <w:pStyle w:val="Ttulo2"/>
        <w:rPr>
          <w:rFonts w:ascii="Arial" w:hAnsi="Arial"/>
        </w:rPr>
      </w:pPr>
      <w:r w:rsidRPr="0026581E">
        <w:rPr>
          <w:rFonts w:ascii="Arial" w:hAnsi="Arial"/>
        </w:rPr>
        <w:t>Productos financieros</w:t>
      </w:r>
    </w:p>
    <w:p w14:paraId="02F66B2C" w14:textId="2673421F" w:rsidR="00B0786C" w:rsidRPr="0026581E" w:rsidRDefault="00B0786C" w:rsidP="00D74C2B">
      <w:pPr>
        <w:spacing w:line="281" w:lineRule="auto"/>
        <w:jc w:val="both"/>
        <w:rPr>
          <w:rFonts w:ascii="Arial" w:hAnsi="Arial" w:cs="Arial"/>
          <w:sz w:val="23"/>
          <w:szCs w:val="23"/>
        </w:rPr>
      </w:pPr>
      <w:r w:rsidRPr="0026581E">
        <w:rPr>
          <w:rFonts w:ascii="Arial" w:hAnsi="Arial" w:cs="Arial"/>
          <w:sz w:val="23"/>
          <w:szCs w:val="23"/>
        </w:rPr>
        <w:t>Que, en términos del numeral 2.8, los productos financieros originados en las cuentas bancarias y por las inversiones de valores, deberán registrarse en contabilidad, y podrán utilizarse conforme a las necesidades del Instituto, previo informe del Secretario Ejecutivo a la Junta Ejecutiva.</w:t>
      </w:r>
    </w:p>
    <w:p w14:paraId="3FDB79CC" w14:textId="1B1AB960" w:rsidR="00B0786C" w:rsidRPr="0026581E" w:rsidRDefault="00B0786C" w:rsidP="00B0786C">
      <w:pPr>
        <w:pStyle w:val="Ttulo2"/>
        <w:rPr>
          <w:rFonts w:ascii="Arial" w:hAnsi="Arial"/>
        </w:rPr>
      </w:pPr>
      <w:r w:rsidRPr="0026581E">
        <w:rPr>
          <w:rFonts w:ascii="Arial" w:hAnsi="Arial"/>
        </w:rPr>
        <w:t>Ejercicio de los productos financieros</w:t>
      </w:r>
    </w:p>
    <w:p w14:paraId="79B8DD29" w14:textId="494D0155" w:rsidR="006E7624" w:rsidRPr="0026581E" w:rsidRDefault="00B0786C" w:rsidP="00B0786C">
      <w:pPr>
        <w:spacing w:line="281" w:lineRule="auto"/>
        <w:jc w:val="both"/>
        <w:rPr>
          <w:rFonts w:ascii="Arial" w:hAnsi="Arial" w:cs="Arial"/>
          <w:sz w:val="23"/>
          <w:szCs w:val="23"/>
        </w:rPr>
      </w:pPr>
      <w:r w:rsidRPr="0026581E">
        <w:rPr>
          <w:rFonts w:ascii="Arial" w:hAnsi="Arial" w:cs="Arial"/>
          <w:sz w:val="23"/>
          <w:szCs w:val="23"/>
        </w:rPr>
        <w:t>Que, considerando la asignación presupuestal del ejercicio para el Instituto, y dado que estos recursos no son suficientes para atender a cabalidad las diferentes necesidades para el desarrollo de las actividades del Proceso Electoral, la Secretaría Ejecutiva propone que, los recursos provenientes de los productos se ejerzan para atender y satisfacer los requerimientos mencionados.</w:t>
      </w:r>
    </w:p>
    <w:p w14:paraId="76C81853" w14:textId="756F9833" w:rsidR="00E03B09" w:rsidRPr="0026581E" w:rsidRDefault="00B0786C" w:rsidP="00B0786C">
      <w:pPr>
        <w:spacing w:before="240" w:after="240" w:line="281" w:lineRule="auto"/>
        <w:jc w:val="both"/>
        <w:rPr>
          <w:rFonts w:ascii="Arial" w:hAnsi="Arial" w:cs="Arial"/>
          <w:bCs/>
          <w:sz w:val="23"/>
          <w:szCs w:val="23"/>
        </w:rPr>
      </w:pPr>
      <w:r w:rsidRPr="0026581E">
        <w:rPr>
          <w:rFonts w:ascii="Arial" w:hAnsi="Arial" w:cs="Arial"/>
          <w:sz w:val="23"/>
          <w:szCs w:val="23"/>
        </w:rPr>
        <w:t>En ese tenor, de acuerdo con la revisión presupuestal hecha por la Unidad de Planeació</w:t>
      </w:r>
      <w:r w:rsidR="00ED7200" w:rsidRPr="0026581E">
        <w:rPr>
          <w:rFonts w:ascii="Arial" w:hAnsi="Arial" w:cs="Arial"/>
          <w:sz w:val="23"/>
          <w:szCs w:val="23"/>
        </w:rPr>
        <w:t>n y Evaluación</w:t>
      </w:r>
      <w:r w:rsidRPr="0026581E">
        <w:rPr>
          <w:rFonts w:ascii="Arial" w:hAnsi="Arial" w:cs="Arial"/>
          <w:sz w:val="23"/>
          <w:szCs w:val="23"/>
        </w:rPr>
        <w:t xml:space="preserve"> a la fecha existe un total de </w:t>
      </w:r>
      <w:r w:rsidR="007F3994" w:rsidRPr="0026581E">
        <w:rPr>
          <w:rFonts w:ascii="Arial" w:hAnsi="Arial" w:cs="Arial"/>
          <w:sz w:val="23"/>
          <w:szCs w:val="23"/>
        </w:rPr>
        <w:t>1’023,809.00 (un millón veintitrés mil ochocientos nueve pesos 00/100 m. n.)</w:t>
      </w:r>
      <w:r w:rsidRPr="0026581E">
        <w:rPr>
          <w:rFonts w:ascii="Arial" w:hAnsi="Arial" w:cs="Arial"/>
          <w:sz w:val="23"/>
          <w:szCs w:val="23"/>
        </w:rPr>
        <w:t xml:space="preserve"> derivado de los productos financieros que serán incorporados al programa presupuestal </w:t>
      </w:r>
      <w:r w:rsidRPr="0026581E">
        <w:rPr>
          <w:rFonts w:ascii="Arial" w:hAnsi="Arial" w:cs="Arial"/>
          <w:bCs/>
          <w:sz w:val="23"/>
          <w:szCs w:val="23"/>
        </w:rPr>
        <w:t>R003.- Contingente del Proceso Electoral Local Ordinario 2023 – 2024</w:t>
      </w:r>
      <w:r w:rsidR="00E03B09" w:rsidRPr="0026581E">
        <w:rPr>
          <w:rFonts w:ascii="Arial" w:hAnsi="Arial" w:cs="Arial"/>
          <w:bCs/>
          <w:sz w:val="23"/>
          <w:szCs w:val="23"/>
        </w:rPr>
        <w:t>.</w:t>
      </w:r>
    </w:p>
    <w:p w14:paraId="163738A8" w14:textId="0C9205DB" w:rsidR="00B0786C" w:rsidRPr="0026581E" w:rsidRDefault="00E03B09" w:rsidP="00B0786C">
      <w:pPr>
        <w:spacing w:before="240" w:after="240" w:line="281" w:lineRule="auto"/>
        <w:jc w:val="both"/>
        <w:rPr>
          <w:rFonts w:ascii="Arial" w:hAnsi="Arial" w:cs="Arial"/>
          <w:bCs/>
          <w:sz w:val="23"/>
          <w:szCs w:val="23"/>
        </w:rPr>
      </w:pPr>
      <w:r w:rsidRPr="0026581E">
        <w:rPr>
          <w:rFonts w:ascii="Arial" w:hAnsi="Arial" w:cs="Arial"/>
          <w:bCs/>
          <w:sz w:val="23"/>
          <w:szCs w:val="23"/>
        </w:rPr>
        <w:t>El monto señalado</w:t>
      </w:r>
      <w:r w:rsidR="00B0786C" w:rsidRPr="0026581E">
        <w:rPr>
          <w:rFonts w:ascii="Arial" w:hAnsi="Arial" w:cs="Arial"/>
          <w:bCs/>
          <w:sz w:val="23"/>
          <w:szCs w:val="23"/>
        </w:rPr>
        <w:t xml:space="preserve"> será ejercido </w:t>
      </w:r>
      <w:r w:rsidRPr="0026581E">
        <w:rPr>
          <w:rFonts w:ascii="Arial" w:hAnsi="Arial" w:cs="Arial"/>
          <w:bCs/>
          <w:sz w:val="23"/>
          <w:szCs w:val="23"/>
        </w:rPr>
        <w:t>para atender los requerimientos ordinarios y relacionados con el Proceso Electoral en curso que se presenten de manera emergente, así como aquellas actividades previstas en el anteproyecto de presupuesto que no cuentan con la suficiencia en virtud de la asignación determinada en el Presupuesto para el presente ejercicio.</w:t>
      </w:r>
    </w:p>
    <w:p w14:paraId="339852A5" w14:textId="77777777" w:rsidR="00F53452" w:rsidRPr="0026581E" w:rsidRDefault="00F53452" w:rsidP="00F53452">
      <w:pPr>
        <w:spacing w:before="240" w:after="240" w:line="281" w:lineRule="auto"/>
        <w:jc w:val="both"/>
        <w:rPr>
          <w:rFonts w:ascii="Arial" w:hAnsi="Arial" w:cs="Arial"/>
          <w:sz w:val="23"/>
          <w:szCs w:val="23"/>
        </w:rPr>
      </w:pPr>
      <w:r w:rsidRPr="0026581E">
        <w:rPr>
          <w:rFonts w:ascii="Arial" w:hAnsi="Arial" w:cs="Arial"/>
          <w:sz w:val="23"/>
          <w:szCs w:val="23"/>
        </w:rPr>
        <w:t>Sobre la base de las consideraciones señaladas, esta Junta Ejecutiva emite el siguiente:</w:t>
      </w:r>
    </w:p>
    <w:p w14:paraId="75A75B3B" w14:textId="77777777" w:rsidR="00F53452" w:rsidRPr="0026581E" w:rsidRDefault="00F53452" w:rsidP="00F53452">
      <w:pPr>
        <w:pStyle w:val="Ttulo1"/>
        <w:spacing w:before="240"/>
        <w:ind w:left="432" w:hanging="432"/>
        <w:rPr>
          <w:rFonts w:ascii="Arial" w:hAnsi="Arial"/>
          <w:sz w:val="24"/>
          <w:szCs w:val="24"/>
        </w:rPr>
      </w:pPr>
      <w:r w:rsidRPr="0026581E">
        <w:rPr>
          <w:rFonts w:ascii="Arial" w:hAnsi="Arial"/>
          <w:sz w:val="24"/>
          <w:szCs w:val="24"/>
        </w:rPr>
        <w:lastRenderedPageBreak/>
        <w:t>Acuerdo</w:t>
      </w:r>
    </w:p>
    <w:p w14:paraId="25B1D1AA" w14:textId="6D40DAFB" w:rsidR="00E03B09" w:rsidRPr="0026581E" w:rsidRDefault="00F53452" w:rsidP="00F53452">
      <w:pPr>
        <w:spacing w:before="240" w:after="240" w:line="281" w:lineRule="auto"/>
        <w:jc w:val="both"/>
        <w:rPr>
          <w:rFonts w:ascii="Arial" w:hAnsi="Arial" w:cs="Arial"/>
          <w:sz w:val="23"/>
          <w:szCs w:val="23"/>
        </w:rPr>
      </w:pPr>
      <w:r w:rsidRPr="0026581E">
        <w:rPr>
          <w:rFonts w:ascii="Arial" w:hAnsi="Arial" w:cs="Arial"/>
          <w:b/>
          <w:sz w:val="23"/>
          <w:szCs w:val="23"/>
        </w:rPr>
        <w:t>Primero.</w:t>
      </w:r>
      <w:r w:rsidRPr="0026581E">
        <w:rPr>
          <w:rFonts w:ascii="Arial" w:hAnsi="Arial" w:cs="Arial"/>
          <w:sz w:val="23"/>
          <w:szCs w:val="23"/>
        </w:rPr>
        <w:t xml:space="preserve"> </w:t>
      </w:r>
      <w:r w:rsidR="00B0786C" w:rsidRPr="0026581E">
        <w:rPr>
          <w:rFonts w:ascii="Arial" w:hAnsi="Arial" w:cs="Arial"/>
          <w:sz w:val="23"/>
          <w:szCs w:val="23"/>
        </w:rPr>
        <w:t xml:space="preserve">Se autoriza el ejercicio de los productos financieros para su incorporación al programa presupuestario </w:t>
      </w:r>
      <w:r w:rsidR="00E03B09" w:rsidRPr="0026581E">
        <w:rPr>
          <w:rFonts w:ascii="Arial" w:hAnsi="Arial" w:cs="Arial"/>
          <w:sz w:val="23"/>
          <w:szCs w:val="23"/>
        </w:rPr>
        <w:t>de conformidad con lo siguiente:</w:t>
      </w:r>
    </w:p>
    <w:tbl>
      <w:tblPr>
        <w:tblStyle w:val="Tablaconcuadrcula"/>
        <w:tblW w:w="0" w:type="auto"/>
        <w:tblLook w:val="04A0" w:firstRow="1" w:lastRow="0" w:firstColumn="1" w:lastColumn="0" w:noHBand="0" w:noVBand="1"/>
      </w:tblPr>
      <w:tblGrid>
        <w:gridCol w:w="1765"/>
        <w:gridCol w:w="1765"/>
        <w:gridCol w:w="1766"/>
        <w:gridCol w:w="1766"/>
        <w:gridCol w:w="1766"/>
      </w:tblGrid>
      <w:tr w:rsidR="00E03B09" w:rsidRPr="0026581E" w14:paraId="54CB3905" w14:textId="77777777" w:rsidTr="0026581E">
        <w:tc>
          <w:tcPr>
            <w:tcW w:w="1765" w:type="dxa"/>
            <w:shd w:val="clear" w:color="auto" w:fill="D9D9D9" w:themeFill="background1" w:themeFillShade="D9"/>
            <w:vAlign w:val="center"/>
          </w:tcPr>
          <w:p w14:paraId="7D1D7808" w14:textId="784649A2" w:rsidR="00E03B09" w:rsidRPr="0026581E" w:rsidRDefault="00E03B09" w:rsidP="00E03B09">
            <w:pPr>
              <w:spacing w:before="40" w:after="40" w:line="281" w:lineRule="auto"/>
              <w:jc w:val="center"/>
              <w:rPr>
                <w:rFonts w:ascii="Arial" w:hAnsi="Arial" w:cs="Arial"/>
                <w:b/>
                <w:bCs/>
                <w:sz w:val="20"/>
                <w:szCs w:val="20"/>
              </w:rPr>
            </w:pPr>
            <w:r w:rsidRPr="0026581E">
              <w:rPr>
                <w:rFonts w:ascii="Arial" w:hAnsi="Arial" w:cs="Arial"/>
                <w:b/>
                <w:bCs/>
                <w:sz w:val="20"/>
                <w:szCs w:val="20"/>
              </w:rPr>
              <w:t>Programa presupuestario</w:t>
            </w:r>
          </w:p>
        </w:tc>
        <w:tc>
          <w:tcPr>
            <w:tcW w:w="1765" w:type="dxa"/>
            <w:shd w:val="clear" w:color="auto" w:fill="D9D9D9" w:themeFill="background1" w:themeFillShade="D9"/>
            <w:vAlign w:val="center"/>
          </w:tcPr>
          <w:p w14:paraId="6E92B7D9" w14:textId="584DBC37" w:rsidR="00E03B09" w:rsidRPr="0026581E" w:rsidRDefault="00E03B09" w:rsidP="00E03B09">
            <w:pPr>
              <w:spacing w:before="40" w:after="40" w:line="281" w:lineRule="auto"/>
              <w:jc w:val="center"/>
              <w:rPr>
                <w:rFonts w:ascii="Arial" w:hAnsi="Arial" w:cs="Arial"/>
                <w:b/>
                <w:bCs/>
                <w:sz w:val="20"/>
                <w:szCs w:val="20"/>
              </w:rPr>
            </w:pPr>
            <w:r w:rsidRPr="0026581E">
              <w:rPr>
                <w:rFonts w:ascii="Arial" w:hAnsi="Arial" w:cs="Arial"/>
                <w:b/>
                <w:bCs/>
                <w:sz w:val="20"/>
                <w:szCs w:val="20"/>
              </w:rPr>
              <w:t>Proyecto</w:t>
            </w:r>
          </w:p>
        </w:tc>
        <w:tc>
          <w:tcPr>
            <w:tcW w:w="1766" w:type="dxa"/>
            <w:shd w:val="clear" w:color="auto" w:fill="D9D9D9" w:themeFill="background1" w:themeFillShade="D9"/>
            <w:vAlign w:val="center"/>
          </w:tcPr>
          <w:p w14:paraId="0DA4043C" w14:textId="1623945E" w:rsidR="00E03B09" w:rsidRPr="0026581E" w:rsidRDefault="00E03B09" w:rsidP="00E03B09">
            <w:pPr>
              <w:spacing w:before="40" w:after="40" w:line="281" w:lineRule="auto"/>
              <w:jc w:val="center"/>
              <w:rPr>
                <w:rFonts w:ascii="Arial" w:hAnsi="Arial" w:cs="Arial"/>
                <w:b/>
                <w:bCs/>
                <w:sz w:val="20"/>
                <w:szCs w:val="20"/>
              </w:rPr>
            </w:pPr>
            <w:r w:rsidRPr="0026581E">
              <w:rPr>
                <w:rFonts w:ascii="Arial" w:hAnsi="Arial" w:cs="Arial"/>
                <w:b/>
                <w:bCs/>
                <w:sz w:val="20"/>
                <w:szCs w:val="20"/>
              </w:rPr>
              <w:t>Componente</w:t>
            </w:r>
          </w:p>
        </w:tc>
        <w:tc>
          <w:tcPr>
            <w:tcW w:w="1766" w:type="dxa"/>
            <w:shd w:val="clear" w:color="auto" w:fill="D9D9D9" w:themeFill="background1" w:themeFillShade="D9"/>
            <w:vAlign w:val="center"/>
          </w:tcPr>
          <w:p w14:paraId="684323C6" w14:textId="3FDE1DF0" w:rsidR="00E03B09" w:rsidRPr="0026581E" w:rsidRDefault="00E03B09" w:rsidP="00E03B09">
            <w:pPr>
              <w:spacing w:before="40" w:after="40" w:line="281" w:lineRule="auto"/>
              <w:jc w:val="center"/>
              <w:rPr>
                <w:rFonts w:ascii="Arial" w:hAnsi="Arial" w:cs="Arial"/>
                <w:b/>
                <w:bCs/>
                <w:sz w:val="20"/>
                <w:szCs w:val="20"/>
              </w:rPr>
            </w:pPr>
            <w:r w:rsidRPr="0026581E">
              <w:rPr>
                <w:rFonts w:ascii="Arial" w:hAnsi="Arial" w:cs="Arial"/>
                <w:b/>
                <w:bCs/>
                <w:sz w:val="20"/>
                <w:szCs w:val="20"/>
              </w:rPr>
              <w:t>Capítulo</w:t>
            </w:r>
          </w:p>
        </w:tc>
        <w:tc>
          <w:tcPr>
            <w:tcW w:w="1766" w:type="dxa"/>
            <w:shd w:val="clear" w:color="auto" w:fill="D9D9D9" w:themeFill="background1" w:themeFillShade="D9"/>
            <w:vAlign w:val="center"/>
          </w:tcPr>
          <w:p w14:paraId="72C042AF" w14:textId="6B49031E" w:rsidR="00E03B09" w:rsidRPr="0026581E" w:rsidRDefault="00E03B09" w:rsidP="00E03B09">
            <w:pPr>
              <w:spacing w:before="40" w:after="40" w:line="281" w:lineRule="auto"/>
              <w:jc w:val="center"/>
              <w:rPr>
                <w:rFonts w:ascii="Arial" w:hAnsi="Arial" w:cs="Arial"/>
                <w:b/>
                <w:bCs/>
                <w:sz w:val="20"/>
                <w:szCs w:val="20"/>
              </w:rPr>
            </w:pPr>
            <w:r w:rsidRPr="0026581E">
              <w:rPr>
                <w:rFonts w:ascii="Arial" w:hAnsi="Arial" w:cs="Arial"/>
                <w:b/>
                <w:bCs/>
                <w:sz w:val="20"/>
                <w:szCs w:val="20"/>
              </w:rPr>
              <w:t>Importe</w:t>
            </w:r>
          </w:p>
        </w:tc>
      </w:tr>
      <w:tr w:rsidR="00E03B09" w:rsidRPr="0026581E" w14:paraId="6C405002" w14:textId="77777777" w:rsidTr="00E03B09">
        <w:tc>
          <w:tcPr>
            <w:tcW w:w="1765" w:type="dxa"/>
            <w:vAlign w:val="center"/>
          </w:tcPr>
          <w:p w14:paraId="65413871" w14:textId="4D7679F9" w:rsidR="00E03B09" w:rsidRPr="0026581E" w:rsidRDefault="00E03B09" w:rsidP="00E03B09">
            <w:pPr>
              <w:spacing w:before="40" w:after="40" w:line="281" w:lineRule="auto"/>
              <w:jc w:val="center"/>
              <w:rPr>
                <w:rFonts w:ascii="Arial" w:hAnsi="Arial" w:cs="Arial"/>
                <w:sz w:val="20"/>
                <w:szCs w:val="20"/>
              </w:rPr>
            </w:pPr>
            <w:r w:rsidRPr="0026581E">
              <w:rPr>
                <w:rFonts w:ascii="Arial" w:hAnsi="Arial" w:cs="Arial"/>
                <w:sz w:val="20"/>
                <w:szCs w:val="20"/>
              </w:rPr>
              <w:t>R003</w:t>
            </w:r>
          </w:p>
        </w:tc>
        <w:tc>
          <w:tcPr>
            <w:tcW w:w="1765" w:type="dxa"/>
            <w:vAlign w:val="center"/>
          </w:tcPr>
          <w:p w14:paraId="121F3DF7" w14:textId="4F1604C2" w:rsidR="00E03B09" w:rsidRPr="0026581E" w:rsidRDefault="00E03B09" w:rsidP="00E03B09">
            <w:pPr>
              <w:spacing w:before="40" w:after="40" w:line="281" w:lineRule="auto"/>
              <w:jc w:val="center"/>
              <w:rPr>
                <w:rFonts w:ascii="Arial" w:hAnsi="Arial" w:cs="Arial"/>
                <w:sz w:val="20"/>
                <w:szCs w:val="20"/>
              </w:rPr>
            </w:pPr>
            <w:r w:rsidRPr="0026581E">
              <w:rPr>
                <w:rFonts w:ascii="Arial" w:hAnsi="Arial" w:cs="Arial"/>
                <w:sz w:val="20"/>
                <w:szCs w:val="20"/>
              </w:rPr>
              <w:t>P007</w:t>
            </w:r>
          </w:p>
        </w:tc>
        <w:tc>
          <w:tcPr>
            <w:tcW w:w="1766" w:type="dxa"/>
            <w:vAlign w:val="center"/>
          </w:tcPr>
          <w:p w14:paraId="5398EA52" w14:textId="7232EFE0" w:rsidR="00E03B09" w:rsidRPr="0026581E" w:rsidRDefault="00E03B09" w:rsidP="00E03B09">
            <w:pPr>
              <w:spacing w:before="40" w:after="40" w:line="281" w:lineRule="auto"/>
              <w:jc w:val="center"/>
              <w:rPr>
                <w:rFonts w:ascii="Arial" w:hAnsi="Arial" w:cs="Arial"/>
                <w:sz w:val="20"/>
                <w:szCs w:val="20"/>
              </w:rPr>
            </w:pPr>
            <w:r w:rsidRPr="0026581E">
              <w:rPr>
                <w:rFonts w:ascii="Arial" w:hAnsi="Arial" w:cs="Arial"/>
                <w:sz w:val="20"/>
                <w:szCs w:val="20"/>
              </w:rPr>
              <w:t>CCP02</w:t>
            </w:r>
          </w:p>
        </w:tc>
        <w:tc>
          <w:tcPr>
            <w:tcW w:w="1766" w:type="dxa"/>
            <w:vAlign w:val="center"/>
          </w:tcPr>
          <w:p w14:paraId="2C623178" w14:textId="06763650" w:rsidR="00E03B09" w:rsidRPr="0026581E" w:rsidRDefault="00E03B09" w:rsidP="00E03B09">
            <w:pPr>
              <w:spacing w:before="40" w:after="40" w:line="281" w:lineRule="auto"/>
              <w:jc w:val="center"/>
              <w:rPr>
                <w:rFonts w:ascii="Arial" w:hAnsi="Arial" w:cs="Arial"/>
                <w:sz w:val="20"/>
                <w:szCs w:val="20"/>
              </w:rPr>
            </w:pPr>
            <w:r w:rsidRPr="0026581E">
              <w:rPr>
                <w:rFonts w:ascii="Arial" w:hAnsi="Arial" w:cs="Arial"/>
                <w:sz w:val="20"/>
                <w:szCs w:val="20"/>
              </w:rPr>
              <w:t>3000</w:t>
            </w:r>
          </w:p>
        </w:tc>
        <w:tc>
          <w:tcPr>
            <w:tcW w:w="1766" w:type="dxa"/>
            <w:vAlign w:val="center"/>
          </w:tcPr>
          <w:p w14:paraId="4E108EBA" w14:textId="6D6177E9" w:rsidR="00E03B09" w:rsidRPr="0026581E" w:rsidRDefault="00E03B09" w:rsidP="00E03B09">
            <w:pPr>
              <w:spacing w:before="40" w:after="40" w:line="281" w:lineRule="auto"/>
              <w:jc w:val="center"/>
              <w:rPr>
                <w:rFonts w:ascii="Arial" w:hAnsi="Arial" w:cs="Arial"/>
                <w:sz w:val="20"/>
                <w:szCs w:val="20"/>
              </w:rPr>
            </w:pPr>
            <w:r w:rsidRPr="0026581E">
              <w:rPr>
                <w:rFonts w:ascii="Arial" w:hAnsi="Arial" w:cs="Arial"/>
                <w:sz w:val="20"/>
                <w:szCs w:val="20"/>
              </w:rPr>
              <w:t>$1’023,809.00</w:t>
            </w:r>
          </w:p>
        </w:tc>
      </w:tr>
    </w:tbl>
    <w:p w14:paraId="0157C6A0" w14:textId="77777777" w:rsidR="00F53452" w:rsidRPr="0026581E" w:rsidRDefault="00F53452" w:rsidP="000476D1">
      <w:pPr>
        <w:spacing w:before="240" w:after="240" w:line="281" w:lineRule="auto"/>
        <w:jc w:val="both"/>
        <w:rPr>
          <w:rFonts w:ascii="Arial" w:hAnsi="Arial" w:cs="Arial"/>
          <w:sz w:val="23"/>
          <w:szCs w:val="23"/>
        </w:rPr>
      </w:pPr>
      <w:r w:rsidRPr="0026581E">
        <w:rPr>
          <w:rFonts w:ascii="Arial" w:hAnsi="Arial" w:cs="Arial"/>
          <w:b/>
          <w:sz w:val="23"/>
          <w:szCs w:val="23"/>
        </w:rPr>
        <w:t>Segundo.</w:t>
      </w:r>
      <w:r w:rsidRPr="0026581E">
        <w:rPr>
          <w:rFonts w:ascii="Arial" w:hAnsi="Arial" w:cs="Arial"/>
          <w:sz w:val="23"/>
          <w:szCs w:val="23"/>
        </w:rPr>
        <w:t xml:space="preserve"> </w:t>
      </w:r>
      <w:r w:rsidR="000476D1" w:rsidRPr="0026581E">
        <w:rPr>
          <w:rFonts w:ascii="Arial" w:hAnsi="Arial" w:cs="Arial"/>
          <w:sz w:val="23"/>
          <w:szCs w:val="23"/>
        </w:rPr>
        <w:t>S</w:t>
      </w:r>
      <w:r w:rsidRPr="0026581E">
        <w:rPr>
          <w:rFonts w:ascii="Arial" w:hAnsi="Arial" w:cs="Arial"/>
          <w:sz w:val="23"/>
          <w:szCs w:val="23"/>
        </w:rPr>
        <w:t>e instruye a la Dirección de Administración realice los trámites administrativos correspondientes para dar cumplimiento al presente acuerdo.</w:t>
      </w:r>
    </w:p>
    <w:p w14:paraId="1F6BA99D" w14:textId="1742968F" w:rsidR="00F53452" w:rsidRPr="0026581E" w:rsidRDefault="00F53452" w:rsidP="00F53452">
      <w:pPr>
        <w:spacing w:before="240" w:after="240" w:line="281" w:lineRule="auto"/>
        <w:jc w:val="both"/>
        <w:rPr>
          <w:rFonts w:ascii="Arial" w:hAnsi="Arial" w:cs="Arial"/>
          <w:sz w:val="23"/>
          <w:szCs w:val="23"/>
        </w:rPr>
      </w:pPr>
      <w:r w:rsidRPr="0026581E">
        <w:rPr>
          <w:rFonts w:ascii="Arial" w:hAnsi="Arial" w:cs="Arial"/>
          <w:sz w:val="23"/>
          <w:szCs w:val="23"/>
        </w:rPr>
        <w:t xml:space="preserve">El presente acuerdo fue aprobado en sesión ordinaria efectuada el </w:t>
      </w:r>
      <w:r w:rsidR="0026581E">
        <w:rPr>
          <w:rFonts w:ascii="Arial" w:hAnsi="Arial" w:cs="Arial"/>
          <w:sz w:val="23"/>
          <w:szCs w:val="23"/>
        </w:rPr>
        <w:t>veintinueve</w:t>
      </w:r>
      <w:r w:rsidRPr="0026581E">
        <w:rPr>
          <w:rFonts w:ascii="Arial" w:hAnsi="Arial" w:cs="Arial"/>
          <w:sz w:val="23"/>
          <w:szCs w:val="23"/>
        </w:rPr>
        <w:t xml:space="preserve"> de </w:t>
      </w:r>
      <w:r w:rsidR="0026581E">
        <w:rPr>
          <w:rFonts w:ascii="Arial" w:hAnsi="Arial" w:cs="Arial"/>
          <w:sz w:val="23"/>
          <w:szCs w:val="23"/>
        </w:rPr>
        <w:t>mayo</w:t>
      </w:r>
      <w:r w:rsidRPr="0026581E">
        <w:rPr>
          <w:rFonts w:ascii="Arial" w:hAnsi="Arial" w:cs="Arial"/>
          <w:sz w:val="23"/>
          <w:szCs w:val="23"/>
        </w:rPr>
        <w:t xml:space="preserve"> del año dos mil veinticuatro, por votación </w:t>
      </w:r>
      <w:r w:rsidR="0026581E">
        <w:rPr>
          <w:rFonts w:ascii="Arial" w:hAnsi="Arial" w:cs="Arial"/>
          <w:sz w:val="23"/>
          <w:szCs w:val="23"/>
        </w:rPr>
        <w:t>unánime</w:t>
      </w:r>
      <w:bookmarkStart w:id="0" w:name="_GoBack"/>
      <w:bookmarkEnd w:id="0"/>
      <w:r w:rsidRPr="0026581E">
        <w:rPr>
          <w:rFonts w:ascii="Arial" w:hAnsi="Arial" w:cs="Arial"/>
          <w:sz w:val="23"/>
          <w:szCs w:val="23"/>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14:paraId="0056BC70" w14:textId="77777777" w:rsidR="00F53452" w:rsidRPr="0026581E" w:rsidRDefault="00F53452" w:rsidP="00F53452">
      <w:pPr>
        <w:spacing w:before="240" w:after="240" w:line="281" w:lineRule="auto"/>
        <w:jc w:val="both"/>
        <w:rPr>
          <w:rFonts w:ascii="Arial" w:hAnsi="Arial" w:cs="Arial"/>
          <w:sz w:val="23"/>
          <w:szCs w:val="23"/>
        </w:rPr>
      </w:pPr>
    </w:p>
    <w:p w14:paraId="1A87CFD9" w14:textId="77777777" w:rsidR="00F53452" w:rsidRPr="0026581E" w:rsidRDefault="00F53452" w:rsidP="00F53452">
      <w:pPr>
        <w:spacing w:before="240" w:after="240" w:line="281" w:lineRule="auto"/>
        <w:jc w:val="both"/>
        <w:rPr>
          <w:rFonts w:ascii="Arial" w:hAnsi="Arial" w:cs="Arial"/>
          <w:sz w:val="23"/>
          <w:szCs w:val="23"/>
        </w:rPr>
      </w:pPr>
    </w:p>
    <w:p w14:paraId="673D67AC" w14:textId="77777777" w:rsidR="00F53452" w:rsidRPr="0026581E" w:rsidRDefault="00F53452" w:rsidP="00F53452">
      <w:pPr>
        <w:spacing w:before="240" w:after="240" w:line="281" w:lineRule="auto"/>
        <w:jc w:val="both"/>
        <w:rPr>
          <w:rFonts w:ascii="Arial" w:hAnsi="Arial" w:cs="Arial"/>
          <w:sz w:val="23"/>
          <w:szCs w:val="23"/>
        </w:rPr>
      </w:pPr>
    </w:p>
    <w:tbl>
      <w:tblPr>
        <w:tblStyle w:val="Tablaconcuadrcula"/>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790"/>
        <w:gridCol w:w="4477"/>
      </w:tblGrid>
      <w:tr w:rsidR="00F53452" w:rsidRPr="0026581E" w14:paraId="438FB2F0" w14:textId="77777777" w:rsidTr="0026581E">
        <w:trPr>
          <w:trHeight w:val="914"/>
        </w:trPr>
        <w:tc>
          <w:tcPr>
            <w:tcW w:w="4580" w:type="dxa"/>
          </w:tcPr>
          <w:p w14:paraId="39BF2C03" w14:textId="77777777" w:rsidR="00F53452" w:rsidRPr="0026581E" w:rsidRDefault="00F53452" w:rsidP="004C1655">
            <w:pPr>
              <w:spacing w:line="281" w:lineRule="auto"/>
              <w:jc w:val="center"/>
              <w:rPr>
                <w:rFonts w:ascii="Arial" w:hAnsi="Arial" w:cs="Arial"/>
                <w:b/>
                <w:sz w:val="23"/>
                <w:szCs w:val="23"/>
              </w:rPr>
            </w:pPr>
            <w:r w:rsidRPr="0026581E">
              <w:rPr>
                <w:rFonts w:ascii="Arial" w:hAnsi="Arial" w:cs="Arial"/>
                <w:b/>
                <w:sz w:val="23"/>
                <w:szCs w:val="23"/>
              </w:rPr>
              <w:t>MTRA. ELIZABETH NAVA GUTIÉRREZ</w:t>
            </w:r>
          </w:p>
          <w:p w14:paraId="76084062" w14:textId="77777777" w:rsidR="00F53452" w:rsidRPr="0026581E" w:rsidRDefault="00F53452" w:rsidP="004C1655">
            <w:pPr>
              <w:spacing w:line="281" w:lineRule="auto"/>
              <w:jc w:val="center"/>
              <w:rPr>
                <w:rFonts w:ascii="Arial" w:hAnsi="Arial" w:cs="Arial"/>
                <w:b/>
                <w:sz w:val="23"/>
                <w:szCs w:val="23"/>
              </w:rPr>
            </w:pPr>
            <w:r w:rsidRPr="0026581E">
              <w:rPr>
                <w:rFonts w:ascii="Arial" w:hAnsi="Arial" w:cs="Arial"/>
                <w:b/>
                <w:sz w:val="23"/>
                <w:szCs w:val="23"/>
              </w:rPr>
              <w:t>CONSEJERA PRESIDENTA</w:t>
            </w:r>
          </w:p>
        </w:tc>
        <w:tc>
          <w:tcPr>
            <w:tcW w:w="790" w:type="dxa"/>
          </w:tcPr>
          <w:p w14:paraId="359AF2E0" w14:textId="77777777" w:rsidR="00F53452" w:rsidRPr="0026581E" w:rsidRDefault="00F53452" w:rsidP="004C1655">
            <w:pPr>
              <w:spacing w:line="281" w:lineRule="auto"/>
              <w:jc w:val="center"/>
              <w:rPr>
                <w:rFonts w:ascii="Arial" w:hAnsi="Arial" w:cs="Arial"/>
                <w:b/>
                <w:sz w:val="23"/>
                <w:szCs w:val="23"/>
              </w:rPr>
            </w:pPr>
          </w:p>
        </w:tc>
        <w:tc>
          <w:tcPr>
            <w:tcW w:w="4477" w:type="dxa"/>
          </w:tcPr>
          <w:p w14:paraId="14645E35" w14:textId="77777777" w:rsidR="00F53452" w:rsidRPr="0026581E" w:rsidRDefault="00F53452" w:rsidP="004C1655">
            <w:pPr>
              <w:spacing w:line="281" w:lineRule="auto"/>
              <w:jc w:val="center"/>
              <w:rPr>
                <w:rFonts w:ascii="Arial" w:hAnsi="Arial" w:cs="Arial"/>
                <w:b/>
                <w:sz w:val="23"/>
                <w:szCs w:val="23"/>
              </w:rPr>
            </w:pPr>
            <w:r w:rsidRPr="0026581E">
              <w:rPr>
                <w:rFonts w:ascii="Arial" w:hAnsi="Arial" w:cs="Arial"/>
                <w:b/>
                <w:sz w:val="23"/>
                <w:szCs w:val="23"/>
              </w:rPr>
              <w:t>LIC. JORGE ALBERTO ZAVALA FRÍAS</w:t>
            </w:r>
          </w:p>
          <w:p w14:paraId="697EE122" w14:textId="77777777" w:rsidR="00F53452" w:rsidRPr="0026581E" w:rsidRDefault="00F53452" w:rsidP="004C1655">
            <w:pPr>
              <w:spacing w:line="281" w:lineRule="auto"/>
              <w:jc w:val="center"/>
              <w:rPr>
                <w:rFonts w:ascii="Arial" w:hAnsi="Arial" w:cs="Arial"/>
                <w:b/>
                <w:sz w:val="23"/>
                <w:szCs w:val="23"/>
              </w:rPr>
            </w:pPr>
            <w:r w:rsidRPr="0026581E">
              <w:rPr>
                <w:rFonts w:ascii="Arial" w:hAnsi="Arial" w:cs="Arial"/>
                <w:b/>
                <w:sz w:val="23"/>
                <w:szCs w:val="23"/>
              </w:rPr>
              <w:t>SECRETARIO EJECUTIVO</w:t>
            </w:r>
          </w:p>
        </w:tc>
      </w:tr>
    </w:tbl>
    <w:p w14:paraId="7AD07601" w14:textId="77777777" w:rsidR="00F53452" w:rsidRPr="0026581E" w:rsidRDefault="00F53452" w:rsidP="007E4BCC">
      <w:pPr>
        <w:spacing w:before="240" w:after="240" w:line="281" w:lineRule="auto"/>
        <w:jc w:val="both"/>
        <w:rPr>
          <w:rFonts w:ascii="Arial" w:hAnsi="Arial" w:cs="Arial"/>
          <w:sz w:val="23"/>
          <w:szCs w:val="23"/>
        </w:rPr>
      </w:pPr>
    </w:p>
    <w:sectPr w:rsidR="00F53452" w:rsidRPr="0026581E" w:rsidSect="00AD7887">
      <w:headerReference w:type="default" r:id="rId7"/>
      <w:footerReference w:type="default" r:id="rId8"/>
      <w:pgSz w:w="12240" w:h="15840" w:code="1"/>
      <w:pgMar w:top="2694"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F8874" w14:textId="77777777" w:rsidR="00F56057" w:rsidRDefault="00F56057" w:rsidP="009B25C6">
      <w:pPr>
        <w:spacing w:after="0" w:line="240" w:lineRule="auto"/>
      </w:pPr>
      <w:r>
        <w:separator/>
      </w:r>
    </w:p>
  </w:endnote>
  <w:endnote w:type="continuationSeparator" w:id="0">
    <w:p w14:paraId="49BEC81C" w14:textId="77777777" w:rsidR="00F56057" w:rsidRDefault="00F56057" w:rsidP="009B2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1595A7-5F3E-48D1-A9CE-D5A470F84943}"/>
    <w:embedBold r:id="rId2" w:fontKey="{10AD24AD-CBD8-41C4-8B97-166AAFBA3CD6}"/>
  </w:font>
  <w:font w:name="Exo">
    <w:altName w:val="Times New Roman"/>
    <w:charset w:val="00"/>
    <w:family w:val="auto"/>
    <w:pitch w:val="variable"/>
    <w:sig w:usb0="A00000FF" w:usb1="4000204B" w:usb2="00000000" w:usb3="00000000" w:csb0="00000193" w:csb1="00000000"/>
    <w:embedRegular r:id="rId3" w:fontKey="{69965A92-87EF-4358-8A61-8ECE507A6BE9}"/>
    <w:embedBold r:id="rId4" w:fontKey="{FA06C22F-BC00-4B4B-993A-A368185D2CE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96952BD-14A3-4AF2-96F9-D1C0D092B79A}"/>
    <w:embedItalic r:id="rId6" w:fontKey="{3F448A07-867F-4C01-841B-709CFDB1D01C}"/>
  </w:font>
  <w:font w:name="Segoe UI">
    <w:panose1 w:val="020B0502040204020203"/>
    <w:charset w:val="00"/>
    <w:family w:val="swiss"/>
    <w:pitch w:val="variable"/>
    <w:sig w:usb0="E4002EFF" w:usb1="C000E47F" w:usb2="00000009" w:usb3="00000000" w:csb0="000001FF" w:csb1="00000000"/>
    <w:embedRegular r:id="rId7" w:fontKey="{C60E1220-1C3A-4D24-8499-F516B597CEB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Exo" w:hAnsi="Exo"/>
        <w:b/>
        <w:bCs/>
        <w:color w:val="660033"/>
        <w:sz w:val="24"/>
        <w:lang w:val="es-ES"/>
      </w:rPr>
      <w:id w:val="1394162246"/>
      <w:docPartObj>
        <w:docPartGallery w:val="Page Numbers (Bottom of Page)"/>
        <w:docPartUnique/>
      </w:docPartObj>
    </w:sdtPr>
    <w:sdtEndPr>
      <w:rPr>
        <w:sz w:val="22"/>
        <w:szCs w:val="20"/>
      </w:rPr>
    </w:sdtEndPr>
    <w:sdtContent>
      <w:p w14:paraId="2CE7F7A7" w14:textId="49ACB297" w:rsidR="00E62846" w:rsidRPr="00E62846" w:rsidRDefault="00E62846" w:rsidP="00E62846">
        <w:pPr>
          <w:pStyle w:val="Piedepgina"/>
          <w:jc w:val="right"/>
          <w:rPr>
            <w:rFonts w:ascii="Exo" w:hAnsi="Exo"/>
            <w:b/>
            <w:bCs/>
            <w:color w:val="660033"/>
            <w:szCs w:val="20"/>
            <w:lang w:val="es-ES"/>
          </w:rPr>
        </w:pPr>
        <w:r w:rsidRPr="0051289A">
          <w:rPr>
            <w:rFonts w:ascii="Exo" w:hAnsi="Exo"/>
            <w:b/>
            <w:bCs/>
            <w:color w:val="660033"/>
            <w:szCs w:val="20"/>
            <w:lang w:val="es-ES"/>
          </w:rPr>
          <w:t xml:space="preserve">Página  </w:t>
        </w:r>
        <w:r w:rsidRPr="0051289A">
          <w:rPr>
            <w:rFonts w:ascii="Exo" w:hAnsi="Exo"/>
            <w:b/>
            <w:bCs/>
            <w:color w:val="660033"/>
            <w:szCs w:val="20"/>
          </w:rPr>
          <w:fldChar w:fldCharType="begin"/>
        </w:r>
        <w:r w:rsidRPr="0051289A">
          <w:rPr>
            <w:rFonts w:ascii="Exo" w:hAnsi="Exo"/>
            <w:b/>
            <w:bCs/>
            <w:color w:val="660033"/>
            <w:szCs w:val="20"/>
          </w:rPr>
          <w:instrText>PAGE   \* MERGEFORMAT</w:instrText>
        </w:r>
        <w:r w:rsidRPr="0051289A">
          <w:rPr>
            <w:rFonts w:ascii="Exo" w:hAnsi="Exo"/>
            <w:b/>
            <w:bCs/>
            <w:color w:val="660033"/>
            <w:szCs w:val="20"/>
          </w:rPr>
          <w:fldChar w:fldCharType="separate"/>
        </w:r>
        <w:r w:rsidR="0026581E">
          <w:rPr>
            <w:rFonts w:ascii="Exo" w:hAnsi="Exo"/>
            <w:b/>
            <w:bCs/>
            <w:noProof/>
            <w:color w:val="660033"/>
            <w:szCs w:val="20"/>
          </w:rPr>
          <w:t>8</w:t>
        </w:r>
        <w:r w:rsidRPr="0051289A">
          <w:rPr>
            <w:rFonts w:ascii="Exo" w:hAnsi="Exo"/>
            <w:b/>
            <w:bCs/>
            <w:color w:val="660033"/>
            <w:szCs w:val="20"/>
          </w:rPr>
          <w:fldChar w:fldCharType="end"/>
        </w:r>
        <w:r w:rsidRPr="0051289A">
          <w:rPr>
            <w:rFonts w:ascii="Exo" w:hAnsi="Exo"/>
            <w:b/>
            <w:bCs/>
            <w:color w:val="660033"/>
            <w:szCs w:val="20"/>
            <w:lang w:val="es-ES"/>
          </w:rPr>
          <w:t xml:space="preserve"> | </w:t>
        </w:r>
        <w:r w:rsidRPr="0051289A">
          <w:rPr>
            <w:rFonts w:ascii="Exo" w:hAnsi="Exo"/>
            <w:b/>
            <w:bCs/>
            <w:color w:val="660033"/>
            <w:szCs w:val="20"/>
            <w:lang w:val="es-ES"/>
          </w:rPr>
          <w:fldChar w:fldCharType="begin"/>
        </w:r>
        <w:r w:rsidRPr="0051289A">
          <w:rPr>
            <w:rFonts w:ascii="Exo" w:hAnsi="Exo"/>
            <w:b/>
            <w:bCs/>
            <w:color w:val="660033"/>
            <w:szCs w:val="20"/>
            <w:lang w:val="es-ES"/>
          </w:rPr>
          <w:instrText xml:space="preserve"> NUMPAGES   \* MERGEFORMAT </w:instrText>
        </w:r>
        <w:r w:rsidRPr="0051289A">
          <w:rPr>
            <w:rFonts w:ascii="Exo" w:hAnsi="Exo"/>
            <w:b/>
            <w:bCs/>
            <w:color w:val="660033"/>
            <w:szCs w:val="20"/>
            <w:lang w:val="es-ES"/>
          </w:rPr>
          <w:fldChar w:fldCharType="separate"/>
        </w:r>
        <w:r w:rsidR="0026581E">
          <w:rPr>
            <w:rFonts w:ascii="Exo" w:hAnsi="Exo"/>
            <w:b/>
            <w:bCs/>
            <w:noProof/>
            <w:color w:val="660033"/>
            <w:szCs w:val="20"/>
            <w:lang w:val="es-ES"/>
          </w:rPr>
          <w:t>8</w:t>
        </w:r>
        <w:r w:rsidRPr="0051289A">
          <w:rPr>
            <w:rFonts w:ascii="Exo" w:hAnsi="Exo"/>
            <w:b/>
            <w:bCs/>
            <w:color w:val="660033"/>
            <w:szCs w:val="20"/>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14F40" w14:textId="77777777" w:rsidR="00F56057" w:rsidRDefault="00F56057" w:rsidP="009B25C6">
      <w:pPr>
        <w:spacing w:after="0" w:line="240" w:lineRule="auto"/>
      </w:pPr>
      <w:r>
        <w:separator/>
      </w:r>
    </w:p>
  </w:footnote>
  <w:footnote w:type="continuationSeparator" w:id="0">
    <w:p w14:paraId="642D17C4" w14:textId="77777777" w:rsidR="00F56057" w:rsidRDefault="00F56057" w:rsidP="009B2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37"/>
      <w:gridCol w:w="1701"/>
    </w:tblGrid>
    <w:tr w:rsidR="009B25C6" w:rsidRPr="00CD4F78" w14:paraId="7AAD4DBE" w14:textId="77777777" w:rsidTr="00D2270D">
      <w:tc>
        <w:tcPr>
          <w:tcW w:w="1418" w:type="dxa"/>
        </w:tcPr>
        <w:p w14:paraId="1FE33E91" w14:textId="77777777" w:rsidR="009B25C6" w:rsidRPr="00CD4F78" w:rsidRDefault="009B25C6" w:rsidP="009B25C6">
          <w:pPr>
            <w:pStyle w:val="Encabezado"/>
            <w:ind w:left="-170"/>
            <w:rPr>
              <w:rFonts w:ascii="Arial" w:hAnsi="Arial"/>
            </w:rPr>
          </w:pPr>
          <w:r w:rsidRPr="00CD4F78">
            <w:rPr>
              <w:rFonts w:ascii="Arial" w:hAnsi="Arial"/>
              <w:b/>
              <w:noProof/>
              <w:sz w:val="32"/>
              <w:lang w:eastAsia="es-MX"/>
            </w:rPr>
            <w:drawing>
              <wp:inline distT="0" distB="0" distL="0" distR="0" wp14:anchorId="4BA481C6" wp14:editId="01136EFC">
                <wp:extent cx="1014331" cy="1199403"/>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37" w:type="dxa"/>
        </w:tcPr>
        <w:p w14:paraId="6BE40203" w14:textId="77777777" w:rsidR="009B25C6" w:rsidRPr="0026581E" w:rsidRDefault="009B25C6" w:rsidP="009B25C6">
          <w:pPr>
            <w:pStyle w:val="Encabezado"/>
            <w:spacing w:before="720"/>
            <w:jc w:val="center"/>
            <w:rPr>
              <w:rFonts w:ascii="Arial" w:hAnsi="Arial" w:cs="Arial"/>
              <w:b/>
              <w:bCs/>
              <w:sz w:val="24"/>
              <w:szCs w:val="24"/>
            </w:rPr>
          </w:pPr>
          <w:r w:rsidRPr="0026581E">
            <w:rPr>
              <w:rFonts w:ascii="Arial" w:hAnsi="Arial" w:cs="Arial"/>
              <w:b/>
              <w:bCs/>
              <w:sz w:val="24"/>
              <w:szCs w:val="24"/>
            </w:rPr>
            <w:t>INSTITUTO ELECTORAL Y DE PARTICIPACIÓN CIUDADANA DE TABASCO</w:t>
          </w:r>
        </w:p>
        <w:p w14:paraId="252E15EB" w14:textId="77777777" w:rsidR="009B25C6" w:rsidRPr="00CD4F78" w:rsidRDefault="009B25C6" w:rsidP="009B25C6">
          <w:pPr>
            <w:pStyle w:val="Encabezado"/>
            <w:jc w:val="center"/>
            <w:rPr>
              <w:rFonts w:ascii="Arial" w:hAnsi="Arial"/>
              <w:sz w:val="25"/>
              <w:szCs w:val="25"/>
            </w:rPr>
          </w:pPr>
          <w:r w:rsidRPr="0026581E">
            <w:rPr>
              <w:rFonts w:ascii="Arial" w:hAnsi="Arial" w:cs="Arial"/>
              <w:sz w:val="24"/>
              <w:szCs w:val="24"/>
            </w:rPr>
            <w:t>JUNTA ESTATAL EJECUTIVA</w:t>
          </w:r>
        </w:p>
      </w:tc>
      <w:tc>
        <w:tcPr>
          <w:tcW w:w="1701" w:type="dxa"/>
        </w:tcPr>
        <w:p w14:paraId="740B9057" w14:textId="77777777" w:rsidR="009B25C6" w:rsidRPr="00CD4F78" w:rsidRDefault="009B25C6" w:rsidP="009B25C6">
          <w:pPr>
            <w:pStyle w:val="Encabezado"/>
            <w:spacing w:before="480"/>
            <w:rPr>
              <w:rFonts w:ascii="Arial" w:hAnsi="Arial"/>
            </w:rPr>
          </w:pPr>
          <w:r>
            <w:rPr>
              <w:rFonts w:ascii="Arial" w:hAnsi="Arial"/>
              <w:noProof/>
              <w:lang w:eastAsia="es-MX"/>
            </w:rPr>
            <w:drawing>
              <wp:inline distT="0" distB="0" distL="0" distR="0" wp14:anchorId="61957C28" wp14:editId="3EC8F6BB">
                <wp:extent cx="942975" cy="774065"/>
                <wp:effectExtent l="0" t="0" r="952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58C60D7" w14:textId="1957A086" w:rsidR="009B25C6" w:rsidRDefault="00405973" w:rsidP="00405973">
    <w:pPr>
      <w:pStyle w:val="Encabezado"/>
      <w:jc w:val="right"/>
      <w:rPr>
        <w:rFonts w:ascii="Arial" w:hAnsi="Arial" w:cs="Arial"/>
        <w:b/>
        <w:sz w:val="24"/>
        <w:szCs w:val="24"/>
      </w:rPr>
    </w:pPr>
    <w:r w:rsidRPr="00405973">
      <w:rPr>
        <w:rFonts w:ascii="Arial" w:hAnsi="Arial" w:cs="Arial"/>
        <w:b/>
        <w:sz w:val="24"/>
        <w:szCs w:val="24"/>
      </w:rPr>
      <w:t>JEE/2024/011</w:t>
    </w:r>
  </w:p>
  <w:p w14:paraId="51B5E2E9" w14:textId="77777777" w:rsidR="00405973" w:rsidRPr="00405973" w:rsidRDefault="00405973" w:rsidP="00405973">
    <w:pPr>
      <w:pStyle w:val="Encabezado"/>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626578"/>
    <w:multiLevelType w:val="multilevel"/>
    <w:tmpl w:val="DBF4BE7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66B02FF1"/>
    <w:multiLevelType w:val="hybridMultilevel"/>
    <w:tmpl w:val="F3C8E5EE"/>
    <w:lvl w:ilvl="0" w:tplc="909C3AA2">
      <w:start w:val="1"/>
      <w:numFmt w:val="upperRoman"/>
      <w:lvlText w:val="%1."/>
      <w:lvlJc w:val="left"/>
      <w:pPr>
        <w:ind w:left="1080" w:hanging="720"/>
      </w:pPr>
      <w:rPr>
        <w:rFonts w:hint="default"/>
      </w:rPr>
    </w:lvl>
    <w:lvl w:ilvl="1" w:tplc="836EA5F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2B"/>
    <w:rsid w:val="00002BF2"/>
    <w:rsid w:val="000138FA"/>
    <w:rsid w:val="00026D22"/>
    <w:rsid w:val="000476D1"/>
    <w:rsid w:val="00054211"/>
    <w:rsid w:val="00076036"/>
    <w:rsid w:val="000A5A57"/>
    <w:rsid w:val="000B21F3"/>
    <w:rsid w:val="000D3DAB"/>
    <w:rsid w:val="000F1E64"/>
    <w:rsid w:val="0014244F"/>
    <w:rsid w:val="001C71A7"/>
    <w:rsid w:val="001D565F"/>
    <w:rsid w:val="00244208"/>
    <w:rsid w:val="0026581E"/>
    <w:rsid w:val="002E233D"/>
    <w:rsid w:val="00355BE1"/>
    <w:rsid w:val="00405973"/>
    <w:rsid w:val="00437935"/>
    <w:rsid w:val="00460D23"/>
    <w:rsid w:val="00484473"/>
    <w:rsid w:val="004B2345"/>
    <w:rsid w:val="004C1655"/>
    <w:rsid w:val="004E6C97"/>
    <w:rsid w:val="004E797D"/>
    <w:rsid w:val="00503F3C"/>
    <w:rsid w:val="0057385D"/>
    <w:rsid w:val="005A0585"/>
    <w:rsid w:val="00615C79"/>
    <w:rsid w:val="006378A2"/>
    <w:rsid w:val="006855FD"/>
    <w:rsid w:val="00693EA1"/>
    <w:rsid w:val="006A2A71"/>
    <w:rsid w:val="006B66FF"/>
    <w:rsid w:val="006E7624"/>
    <w:rsid w:val="006F4E7D"/>
    <w:rsid w:val="00725198"/>
    <w:rsid w:val="007E4BCC"/>
    <w:rsid w:val="007F3994"/>
    <w:rsid w:val="00850C46"/>
    <w:rsid w:val="009509AF"/>
    <w:rsid w:val="009529CC"/>
    <w:rsid w:val="009601BF"/>
    <w:rsid w:val="009B25C6"/>
    <w:rsid w:val="00A15784"/>
    <w:rsid w:val="00A500A4"/>
    <w:rsid w:val="00A973B9"/>
    <w:rsid w:val="00AB4A36"/>
    <w:rsid w:val="00AD7887"/>
    <w:rsid w:val="00AE1952"/>
    <w:rsid w:val="00AE6422"/>
    <w:rsid w:val="00B07514"/>
    <w:rsid w:val="00B0786C"/>
    <w:rsid w:val="00B63E7B"/>
    <w:rsid w:val="00B7746D"/>
    <w:rsid w:val="00B87641"/>
    <w:rsid w:val="00C104D3"/>
    <w:rsid w:val="00C7109F"/>
    <w:rsid w:val="00C934D9"/>
    <w:rsid w:val="00CA0530"/>
    <w:rsid w:val="00CA7E5E"/>
    <w:rsid w:val="00CB77A2"/>
    <w:rsid w:val="00D74C2B"/>
    <w:rsid w:val="00DC1867"/>
    <w:rsid w:val="00E03B09"/>
    <w:rsid w:val="00E045F4"/>
    <w:rsid w:val="00E14339"/>
    <w:rsid w:val="00E62846"/>
    <w:rsid w:val="00E845B6"/>
    <w:rsid w:val="00EB70A7"/>
    <w:rsid w:val="00ED7200"/>
    <w:rsid w:val="00F059D4"/>
    <w:rsid w:val="00F15C45"/>
    <w:rsid w:val="00F53452"/>
    <w:rsid w:val="00F56057"/>
    <w:rsid w:val="00F839AB"/>
    <w:rsid w:val="00F85F5B"/>
    <w:rsid w:val="00FC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621E4"/>
  <w15:chartTrackingRefBased/>
  <w15:docId w15:val="{DF2B9C34-B1C5-4C88-AA92-7E9AC0E5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74C2B"/>
    <w:pPr>
      <w:keepNext/>
      <w:keepLines/>
      <w:numPr>
        <w:numId w:val="1"/>
      </w:numPr>
      <w:spacing w:before="600" w:after="240" w:line="281" w:lineRule="auto"/>
      <w:ind w:left="431" w:hanging="431"/>
      <w:jc w:val="center"/>
      <w:outlineLvl w:val="0"/>
    </w:pPr>
    <w:rPr>
      <w:rFonts w:ascii="Exo" w:eastAsiaTheme="majorEastAsia" w:hAnsi="Exo" w:cs="Arial"/>
      <w:b/>
      <w:bCs/>
      <w:kern w:val="2"/>
      <w:sz w:val="28"/>
      <w:szCs w:val="23"/>
      <w14:ligatures w14:val="standardContextual"/>
    </w:rPr>
  </w:style>
  <w:style w:type="paragraph" w:styleId="Ttulo2">
    <w:name w:val="heading 2"/>
    <w:basedOn w:val="Normal"/>
    <w:next w:val="Normal"/>
    <w:link w:val="Ttulo2Car"/>
    <w:uiPriority w:val="9"/>
    <w:unhideWhenUsed/>
    <w:qFormat/>
    <w:rsid w:val="00D74C2B"/>
    <w:pPr>
      <w:keepNext/>
      <w:keepLines/>
      <w:numPr>
        <w:ilvl w:val="1"/>
        <w:numId w:val="1"/>
      </w:numPr>
      <w:spacing w:before="480" w:after="240" w:line="264" w:lineRule="auto"/>
      <w:jc w:val="both"/>
      <w:outlineLvl w:val="1"/>
    </w:pPr>
    <w:rPr>
      <w:rFonts w:ascii="Exo" w:eastAsiaTheme="majorEastAsia" w:hAnsi="Exo" w:cs="Arial"/>
      <w:b/>
      <w:bCs/>
      <w:kern w:val="2"/>
      <w:sz w:val="23"/>
      <w:szCs w:val="23"/>
      <w14:ligatures w14:val="standardContextual"/>
    </w:rPr>
  </w:style>
  <w:style w:type="paragraph" w:styleId="Ttulo3">
    <w:name w:val="heading 3"/>
    <w:basedOn w:val="Normal"/>
    <w:next w:val="Normal"/>
    <w:link w:val="Ttulo3Car"/>
    <w:uiPriority w:val="9"/>
    <w:unhideWhenUsed/>
    <w:qFormat/>
    <w:rsid w:val="00D74C2B"/>
    <w:pPr>
      <w:keepNext/>
      <w:keepLines/>
      <w:numPr>
        <w:ilvl w:val="2"/>
        <w:numId w:val="1"/>
      </w:numPr>
      <w:spacing w:before="600" w:after="240" w:line="288" w:lineRule="auto"/>
      <w:jc w:val="both"/>
      <w:outlineLvl w:val="2"/>
    </w:pPr>
    <w:rPr>
      <w:rFonts w:ascii="Arial" w:eastAsiaTheme="majorEastAsia" w:hAnsi="Arial" w:cs="Arial"/>
      <w:b/>
      <w:bCs/>
      <w:kern w:val="2"/>
      <w:sz w:val="24"/>
      <w:szCs w:val="24"/>
      <w14:ligatures w14:val="standardContextual"/>
    </w:rPr>
  </w:style>
  <w:style w:type="paragraph" w:styleId="Ttulo4">
    <w:name w:val="heading 4"/>
    <w:basedOn w:val="Normal"/>
    <w:next w:val="Normal"/>
    <w:link w:val="Ttulo4Car"/>
    <w:uiPriority w:val="9"/>
    <w:semiHidden/>
    <w:unhideWhenUsed/>
    <w:qFormat/>
    <w:rsid w:val="00D74C2B"/>
    <w:pPr>
      <w:keepNext/>
      <w:keepLines/>
      <w:numPr>
        <w:ilvl w:val="3"/>
        <w:numId w:val="1"/>
      </w:numPr>
      <w:spacing w:before="40" w:after="0" w:line="288" w:lineRule="auto"/>
      <w:jc w:val="both"/>
      <w:outlineLvl w:val="3"/>
    </w:pPr>
    <w:rPr>
      <w:rFonts w:asciiTheme="majorHAnsi" w:eastAsiaTheme="majorEastAsia" w:hAnsiTheme="maj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D74C2B"/>
    <w:pPr>
      <w:keepNext/>
      <w:keepLines/>
      <w:numPr>
        <w:ilvl w:val="4"/>
        <w:numId w:val="1"/>
      </w:numPr>
      <w:spacing w:before="40" w:after="0" w:line="288" w:lineRule="auto"/>
      <w:jc w:val="both"/>
      <w:outlineLvl w:val="4"/>
    </w:pPr>
    <w:rPr>
      <w:rFonts w:asciiTheme="majorHAnsi" w:eastAsiaTheme="majorEastAsia" w:hAnsiTheme="maj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D74C2B"/>
    <w:pPr>
      <w:keepNext/>
      <w:keepLines/>
      <w:numPr>
        <w:ilvl w:val="5"/>
        <w:numId w:val="1"/>
      </w:numPr>
      <w:spacing w:before="40" w:after="0" w:line="288" w:lineRule="auto"/>
      <w:jc w:val="both"/>
      <w:outlineLvl w:val="5"/>
    </w:pPr>
    <w:rPr>
      <w:rFonts w:asciiTheme="majorHAnsi" w:eastAsiaTheme="majorEastAsia" w:hAnsiTheme="majorHAnsi" w:cstheme="majorBidi"/>
      <w:color w:val="1F4D78" w:themeColor="accent1" w:themeShade="7F"/>
      <w:kern w:val="2"/>
      <w:sz w:val="24"/>
      <w:szCs w:val="24"/>
      <w14:ligatures w14:val="standardContextual"/>
    </w:rPr>
  </w:style>
  <w:style w:type="paragraph" w:styleId="Ttulo7">
    <w:name w:val="heading 7"/>
    <w:basedOn w:val="Normal"/>
    <w:next w:val="Normal"/>
    <w:link w:val="Ttulo7Car"/>
    <w:uiPriority w:val="9"/>
    <w:semiHidden/>
    <w:unhideWhenUsed/>
    <w:qFormat/>
    <w:rsid w:val="00D74C2B"/>
    <w:pPr>
      <w:keepNext/>
      <w:keepLines/>
      <w:numPr>
        <w:ilvl w:val="6"/>
        <w:numId w:val="1"/>
      </w:numPr>
      <w:spacing w:before="40" w:after="0" w:line="288" w:lineRule="auto"/>
      <w:jc w:val="both"/>
      <w:outlineLvl w:val="6"/>
    </w:pPr>
    <w:rPr>
      <w:rFonts w:asciiTheme="majorHAnsi" w:eastAsiaTheme="majorEastAsia" w:hAnsiTheme="majorHAnsi" w:cstheme="majorBidi"/>
      <w:i/>
      <w:iCs/>
      <w:color w:val="1F4D78" w:themeColor="accent1" w:themeShade="7F"/>
      <w:kern w:val="2"/>
      <w:sz w:val="24"/>
      <w:szCs w:val="24"/>
      <w14:ligatures w14:val="standardContextual"/>
    </w:rPr>
  </w:style>
  <w:style w:type="paragraph" w:styleId="Ttulo8">
    <w:name w:val="heading 8"/>
    <w:basedOn w:val="Normal"/>
    <w:next w:val="Normal"/>
    <w:link w:val="Ttulo8Car"/>
    <w:uiPriority w:val="9"/>
    <w:semiHidden/>
    <w:unhideWhenUsed/>
    <w:qFormat/>
    <w:rsid w:val="00D74C2B"/>
    <w:pPr>
      <w:keepNext/>
      <w:keepLines/>
      <w:numPr>
        <w:ilvl w:val="7"/>
        <w:numId w:val="1"/>
      </w:numPr>
      <w:spacing w:before="40" w:after="0" w:line="288" w:lineRule="auto"/>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Ttulo9">
    <w:name w:val="heading 9"/>
    <w:basedOn w:val="Normal"/>
    <w:next w:val="Normal"/>
    <w:link w:val="Ttulo9Car"/>
    <w:uiPriority w:val="9"/>
    <w:semiHidden/>
    <w:unhideWhenUsed/>
    <w:qFormat/>
    <w:rsid w:val="00D74C2B"/>
    <w:pPr>
      <w:keepNext/>
      <w:keepLines/>
      <w:numPr>
        <w:ilvl w:val="8"/>
        <w:numId w:val="1"/>
      </w:numPr>
      <w:spacing w:before="40" w:after="0" w:line="288" w:lineRule="auto"/>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4C2B"/>
    <w:rPr>
      <w:rFonts w:ascii="Exo" w:eastAsiaTheme="majorEastAsia" w:hAnsi="Exo" w:cs="Arial"/>
      <w:b/>
      <w:bCs/>
      <w:kern w:val="2"/>
      <w:sz w:val="28"/>
      <w:szCs w:val="23"/>
      <w14:ligatures w14:val="standardContextual"/>
    </w:rPr>
  </w:style>
  <w:style w:type="character" w:customStyle="1" w:styleId="Ttulo2Car">
    <w:name w:val="Título 2 Car"/>
    <w:basedOn w:val="Fuentedeprrafopredeter"/>
    <w:link w:val="Ttulo2"/>
    <w:uiPriority w:val="9"/>
    <w:rsid w:val="00D74C2B"/>
    <w:rPr>
      <w:rFonts w:ascii="Exo" w:eastAsiaTheme="majorEastAsia" w:hAnsi="Exo" w:cs="Arial"/>
      <w:b/>
      <w:bCs/>
      <w:kern w:val="2"/>
      <w:sz w:val="23"/>
      <w:szCs w:val="23"/>
      <w14:ligatures w14:val="standardContextual"/>
    </w:rPr>
  </w:style>
  <w:style w:type="character" w:customStyle="1" w:styleId="Ttulo3Car">
    <w:name w:val="Título 3 Car"/>
    <w:basedOn w:val="Fuentedeprrafopredeter"/>
    <w:link w:val="Ttulo3"/>
    <w:uiPriority w:val="9"/>
    <w:rsid w:val="00D74C2B"/>
    <w:rPr>
      <w:rFonts w:ascii="Arial" w:eastAsiaTheme="majorEastAsia" w:hAnsi="Arial" w:cs="Arial"/>
      <w:b/>
      <w:bCs/>
      <w:kern w:val="2"/>
      <w:sz w:val="24"/>
      <w:szCs w:val="24"/>
      <w14:ligatures w14:val="standardContextual"/>
    </w:rPr>
  </w:style>
  <w:style w:type="character" w:customStyle="1" w:styleId="Ttulo4Car">
    <w:name w:val="Título 4 Car"/>
    <w:basedOn w:val="Fuentedeprrafopredeter"/>
    <w:link w:val="Ttulo4"/>
    <w:uiPriority w:val="9"/>
    <w:semiHidden/>
    <w:rsid w:val="00D74C2B"/>
    <w:rPr>
      <w:rFonts w:asciiTheme="majorHAnsi" w:eastAsiaTheme="majorEastAsia" w:hAnsiTheme="majorHAnsi" w:cstheme="majorBidi"/>
      <w:i/>
      <w:iCs/>
      <w:color w:val="2E74B5"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D74C2B"/>
    <w:rPr>
      <w:rFonts w:asciiTheme="majorHAnsi" w:eastAsiaTheme="majorEastAsia" w:hAnsiTheme="majorHAnsi" w:cstheme="majorBidi"/>
      <w:color w:val="2E74B5"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D74C2B"/>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Ttulo7Car">
    <w:name w:val="Título 7 Car"/>
    <w:basedOn w:val="Fuentedeprrafopredeter"/>
    <w:link w:val="Ttulo7"/>
    <w:uiPriority w:val="9"/>
    <w:semiHidden/>
    <w:rsid w:val="00D74C2B"/>
    <w:rPr>
      <w:rFonts w:asciiTheme="majorHAnsi" w:eastAsiaTheme="majorEastAsia" w:hAnsiTheme="majorHAnsi" w:cstheme="majorBidi"/>
      <w:i/>
      <w:iCs/>
      <w:color w:val="1F4D78" w:themeColor="accent1" w:themeShade="7F"/>
      <w:kern w:val="2"/>
      <w:sz w:val="24"/>
      <w:szCs w:val="24"/>
      <w14:ligatures w14:val="standardContextual"/>
    </w:rPr>
  </w:style>
  <w:style w:type="character" w:customStyle="1" w:styleId="Ttulo8Car">
    <w:name w:val="Título 8 Car"/>
    <w:basedOn w:val="Fuentedeprrafopredeter"/>
    <w:link w:val="Ttulo8"/>
    <w:uiPriority w:val="9"/>
    <w:semiHidden/>
    <w:rsid w:val="00D74C2B"/>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Ttulo9Car">
    <w:name w:val="Título 9 Car"/>
    <w:basedOn w:val="Fuentedeprrafopredeter"/>
    <w:link w:val="Ttulo9"/>
    <w:uiPriority w:val="9"/>
    <w:semiHidden/>
    <w:rsid w:val="00D74C2B"/>
    <w:rPr>
      <w:rFonts w:asciiTheme="majorHAnsi" w:eastAsiaTheme="majorEastAsia" w:hAnsiTheme="majorHAnsi" w:cstheme="majorBidi"/>
      <w:i/>
      <w:iCs/>
      <w:color w:val="272727" w:themeColor="text1" w:themeTint="D8"/>
      <w:kern w:val="2"/>
      <w:sz w:val="21"/>
      <w:szCs w:val="21"/>
      <w14:ligatures w14:val="standardContextual"/>
    </w:rPr>
  </w:style>
  <w:style w:type="paragraph" w:styleId="Prrafodelista">
    <w:name w:val="List Paragraph"/>
    <w:basedOn w:val="Normal"/>
    <w:uiPriority w:val="34"/>
    <w:qFormat/>
    <w:rsid w:val="00D74C2B"/>
    <w:pPr>
      <w:spacing w:before="240" w:after="240" w:line="281" w:lineRule="auto"/>
      <w:ind w:left="720"/>
      <w:contextualSpacing/>
      <w:jc w:val="both"/>
    </w:pPr>
    <w:rPr>
      <w:rFonts w:ascii="Exo" w:hAnsi="Exo"/>
      <w:sz w:val="23"/>
      <w:szCs w:val="23"/>
      <w:lang w:val="es-ES"/>
    </w:rPr>
  </w:style>
  <w:style w:type="table" w:styleId="Tablaconcuadrcula">
    <w:name w:val="Table Grid"/>
    <w:basedOn w:val="Tablanormal"/>
    <w:uiPriority w:val="39"/>
    <w:rsid w:val="00F53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2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25C6"/>
  </w:style>
  <w:style w:type="paragraph" w:styleId="Piedepgina">
    <w:name w:val="footer"/>
    <w:basedOn w:val="Normal"/>
    <w:link w:val="PiedepginaCar"/>
    <w:uiPriority w:val="99"/>
    <w:unhideWhenUsed/>
    <w:rsid w:val="009B2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25C6"/>
  </w:style>
  <w:style w:type="character" w:styleId="Refdecomentario">
    <w:name w:val="annotation reference"/>
    <w:basedOn w:val="Fuentedeprrafopredeter"/>
    <w:uiPriority w:val="99"/>
    <w:semiHidden/>
    <w:unhideWhenUsed/>
    <w:rsid w:val="000D3DAB"/>
    <w:rPr>
      <w:sz w:val="16"/>
      <w:szCs w:val="16"/>
    </w:rPr>
  </w:style>
  <w:style w:type="paragraph" w:styleId="Textocomentario">
    <w:name w:val="annotation text"/>
    <w:basedOn w:val="Normal"/>
    <w:link w:val="TextocomentarioCar"/>
    <w:uiPriority w:val="99"/>
    <w:semiHidden/>
    <w:unhideWhenUsed/>
    <w:rsid w:val="000D3D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3DAB"/>
    <w:rPr>
      <w:sz w:val="20"/>
      <w:szCs w:val="20"/>
    </w:rPr>
  </w:style>
  <w:style w:type="paragraph" w:styleId="Textodeglobo">
    <w:name w:val="Balloon Text"/>
    <w:basedOn w:val="Normal"/>
    <w:link w:val="TextodegloboCar"/>
    <w:uiPriority w:val="99"/>
    <w:semiHidden/>
    <w:unhideWhenUsed/>
    <w:rsid w:val="00850C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0C4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B66FF"/>
    <w:rPr>
      <w:b/>
      <w:bCs/>
    </w:rPr>
  </w:style>
  <w:style w:type="character" w:customStyle="1" w:styleId="AsuntodelcomentarioCar">
    <w:name w:val="Asunto del comentario Car"/>
    <w:basedOn w:val="TextocomentarioCar"/>
    <w:link w:val="Asuntodelcomentario"/>
    <w:uiPriority w:val="99"/>
    <w:semiHidden/>
    <w:rsid w:val="006B66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2170</Words>
  <Characters>11938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cp:revision>
  <dcterms:created xsi:type="dcterms:W3CDTF">2024-05-31T19:06:00Z</dcterms:created>
  <dcterms:modified xsi:type="dcterms:W3CDTF">2024-05-31T19:42:00Z</dcterms:modified>
</cp:coreProperties>
</file>