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E16EA" w14:textId="6E25B1EA" w:rsidR="00B51A20" w:rsidRPr="00793356" w:rsidRDefault="00793356" w:rsidP="003A7C41">
      <w:pPr>
        <w:pStyle w:val="Rubro"/>
        <w:spacing w:before="240" w:line="264" w:lineRule="auto"/>
        <w:ind w:left="0"/>
        <w:rPr>
          <w:sz w:val="24"/>
          <w:szCs w:val="24"/>
        </w:rPr>
      </w:pPr>
      <w:r w:rsidRPr="00793356">
        <w:rPr>
          <w:sz w:val="24"/>
          <w:szCs w:val="24"/>
        </w:rPr>
        <w:t xml:space="preserve">ACUERDO QUE EMITE LA JUNTA ESTATAL EJECUTIVA DEL INSTITUTO ELECTORAL Y DE PARTICIPACIÓN CIUDADANA DE TABASCO, MEDIANTE EL CUAL SE RENUEVA LA ENCARGADURÍA DE DESPACHO DE LA PLAZA VACANTE DE TÉCNICO “B” DE LA DIRECCIÓN DE ORGANIZACIÓN ELECTORAL Y EDUCACIÓN CÍVICA INCORPORADA AL SERVICIO PROFESIONAL ELECTORAL NACIONAL </w:t>
      </w:r>
    </w:p>
    <w:p w14:paraId="53877B12" w14:textId="77777777" w:rsidR="00807EF8" w:rsidRPr="00793356" w:rsidRDefault="00807EF8" w:rsidP="003A7C41">
      <w:pPr>
        <w:pStyle w:val="Rubro"/>
        <w:spacing w:before="240" w:line="264" w:lineRule="auto"/>
        <w:ind w:left="0"/>
        <w:rPr>
          <w:sz w:val="24"/>
          <w:szCs w:val="24"/>
        </w:rPr>
      </w:pPr>
    </w:p>
    <w:p w14:paraId="112A8B86" w14:textId="3CD05F72" w:rsidR="00EB45B6" w:rsidRDefault="00EB45B6" w:rsidP="00500A32">
      <w:pPr>
        <w:spacing w:before="240" w:after="240" w:line="293" w:lineRule="auto"/>
        <w:ind w:left="0"/>
        <w:rPr>
          <w:rFonts w:ascii="Century Gothic" w:hAnsi="Century Gothic"/>
          <w:sz w:val="23"/>
          <w:szCs w:val="23"/>
        </w:rPr>
      </w:pPr>
      <w:r w:rsidRPr="004A769A">
        <w:rPr>
          <w:rFonts w:ascii="Century Gothic" w:hAnsi="Century Gothic"/>
          <w:b/>
          <w:bCs/>
          <w:sz w:val="23"/>
          <w:szCs w:val="23"/>
        </w:rPr>
        <w:t>Glosario.</w:t>
      </w:r>
      <w:r w:rsidRPr="004A769A">
        <w:rPr>
          <w:rFonts w:ascii="Century Gothic" w:hAnsi="Century Gothic"/>
          <w:sz w:val="23"/>
          <w:szCs w:val="23"/>
        </w:rPr>
        <w:t xml:space="preserve"> Para efectos del presente acuerdo, se entenderá por:</w:t>
      </w:r>
    </w:p>
    <w:p w14:paraId="20EA715B" w14:textId="77777777" w:rsidR="00793356" w:rsidRPr="004A769A" w:rsidRDefault="00793356" w:rsidP="00500A32">
      <w:pPr>
        <w:spacing w:before="240" w:after="240" w:line="293" w:lineRule="auto"/>
        <w:ind w:left="0"/>
        <w:rPr>
          <w:rFonts w:ascii="Century Gothic" w:hAnsi="Century Gothic"/>
          <w:sz w:val="23"/>
          <w:szCs w:val="23"/>
        </w:rPr>
      </w:pPr>
    </w:p>
    <w:tbl>
      <w:tblPr>
        <w:tblStyle w:val="Tablaconcuadrcula"/>
        <w:tblW w:w="0" w:type="auto"/>
        <w:tblInd w:w="988"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664"/>
        <w:gridCol w:w="3998"/>
      </w:tblGrid>
      <w:tr w:rsidR="002D0125" w:rsidRPr="00935F47" w14:paraId="38C810F0" w14:textId="77777777" w:rsidTr="006D2C04">
        <w:tc>
          <w:tcPr>
            <w:tcW w:w="2664" w:type="dxa"/>
            <w:vAlign w:val="center"/>
          </w:tcPr>
          <w:p w14:paraId="4EE9517A" w14:textId="77777777" w:rsidR="002D0125" w:rsidRPr="00793356" w:rsidRDefault="002D0125" w:rsidP="001C73A5">
            <w:pPr>
              <w:spacing w:before="60" w:after="60" w:line="276" w:lineRule="auto"/>
              <w:ind w:left="0"/>
              <w:jc w:val="right"/>
              <w:rPr>
                <w:rFonts w:ascii="Century Gothic" w:hAnsi="Century Gothic"/>
                <w:b/>
                <w:sz w:val="20"/>
                <w:szCs w:val="20"/>
              </w:rPr>
            </w:pPr>
            <w:r w:rsidRPr="00793356">
              <w:rPr>
                <w:rFonts w:ascii="Century Gothic" w:hAnsi="Century Gothic"/>
                <w:b/>
                <w:sz w:val="20"/>
                <w:szCs w:val="20"/>
              </w:rPr>
              <w:t>Consejo Estatal:</w:t>
            </w:r>
          </w:p>
        </w:tc>
        <w:tc>
          <w:tcPr>
            <w:tcW w:w="3998" w:type="dxa"/>
            <w:vAlign w:val="center"/>
          </w:tcPr>
          <w:p w14:paraId="67E78AE3" w14:textId="77777777" w:rsidR="002D0125" w:rsidRPr="00793356" w:rsidRDefault="002D0125" w:rsidP="001C73A5">
            <w:pPr>
              <w:spacing w:before="60" w:after="60" w:line="276" w:lineRule="auto"/>
              <w:ind w:left="113" w:right="113"/>
              <w:rPr>
                <w:rFonts w:ascii="Century Gothic" w:hAnsi="Century Gothic"/>
                <w:sz w:val="20"/>
                <w:szCs w:val="20"/>
              </w:rPr>
            </w:pPr>
            <w:r w:rsidRPr="00793356">
              <w:rPr>
                <w:rFonts w:ascii="Century Gothic" w:hAnsi="Century Gothic"/>
                <w:sz w:val="20"/>
                <w:szCs w:val="20"/>
              </w:rPr>
              <w:t>Consejo Estatal del Instituto Electoral y de Participación Ciudadana de Tabasco.</w:t>
            </w:r>
          </w:p>
        </w:tc>
      </w:tr>
      <w:tr w:rsidR="002D0125" w:rsidRPr="00935F47" w14:paraId="76C9BA36" w14:textId="77777777" w:rsidTr="006D2C04">
        <w:tc>
          <w:tcPr>
            <w:tcW w:w="2664" w:type="dxa"/>
            <w:vAlign w:val="center"/>
          </w:tcPr>
          <w:p w14:paraId="6E3EA54C" w14:textId="77777777" w:rsidR="002D0125" w:rsidRPr="00793356" w:rsidRDefault="002D0125" w:rsidP="001C73A5">
            <w:pPr>
              <w:spacing w:before="60" w:after="60" w:line="276" w:lineRule="auto"/>
              <w:ind w:left="0"/>
              <w:jc w:val="right"/>
              <w:rPr>
                <w:rFonts w:ascii="Century Gothic" w:hAnsi="Century Gothic"/>
                <w:b/>
                <w:sz w:val="20"/>
                <w:szCs w:val="20"/>
              </w:rPr>
            </w:pPr>
            <w:r w:rsidRPr="00793356">
              <w:rPr>
                <w:rFonts w:ascii="Century Gothic" w:hAnsi="Century Gothic"/>
                <w:b/>
                <w:sz w:val="20"/>
                <w:szCs w:val="20"/>
              </w:rPr>
              <w:t>Constitución Federal:</w:t>
            </w:r>
          </w:p>
        </w:tc>
        <w:tc>
          <w:tcPr>
            <w:tcW w:w="3998" w:type="dxa"/>
            <w:vAlign w:val="center"/>
          </w:tcPr>
          <w:p w14:paraId="745833D7" w14:textId="77777777" w:rsidR="002D0125" w:rsidRPr="00793356" w:rsidRDefault="002D0125" w:rsidP="001C73A5">
            <w:pPr>
              <w:spacing w:before="60" w:after="60" w:line="276" w:lineRule="auto"/>
              <w:ind w:left="113" w:right="113"/>
              <w:rPr>
                <w:rFonts w:ascii="Century Gothic" w:hAnsi="Century Gothic"/>
                <w:sz w:val="20"/>
                <w:szCs w:val="20"/>
              </w:rPr>
            </w:pPr>
            <w:r w:rsidRPr="00793356">
              <w:rPr>
                <w:rFonts w:ascii="Century Gothic" w:hAnsi="Century Gothic"/>
                <w:sz w:val="20"/>
                <w:szCs w:val="20"/>
              </w:rPr>
              <w:t>Constitución Política de los Estados Unidos Mexicanos.</w:t>
            </w:r>
          </w:p>
        </w:tc>
      </w:tr>
      <w:tr w:rsidR="002D0125" w:rsidRPr="00935F47" w14:paraId="35B4AC1E" w14:textId="77777777" w:rsidTr="006D2C04">
        <w:tc>
          <w:tcPr>
            <w:tcW w:w="2664" w:type="dxa"/>
            <w:vAlign w:val="center"/>
          </w:tcPr>
          <w:p w14:paraId="33F9943E" w14:textId="77777777" w:rsidR="002D0125" w:rsidRPr="00793356" w:rsidRDefault="002D0125" w:rsidP="001C73A5">
            <w:pPr>
              <w:spacing w:before="60" w:after="60" w:line="276" w:lineRule="auto"/>
              <w:ind w:left="0"/>
              <w:jc w:val="right"/>
              <w:rPr>
                <w:rFonts w:ascii="Century Gothic" w:hAnsi="Century Gothic"/>
                <w:b/>
                <w:sz w:val="20"/>
                <w:szCs w:val="20"/>
              </w:rPr>
            </w:pPr>
            <w:r w:rsidRPr="00793356">
              <w:rPr>
                <w:rFonts w:ascii="Century Gothic" w:hAnsi="Century Gothic"/>
                <w:b/>
                <w:sz w:val="20"/>
                <w:szCs w:val="20"/>
              </w:rPr>
              <w:t>Constitución Local:</w:t>
            </w:r>
          </w:p>
        </w:tc>
        <w:tc>
          <w:tcPr>
            <w:tcW w:w="3998" w:type="dxa"/>
            <w:vAlign w:val="center"/>
          </w:tcPr>
          <w:p w14:paraId="08B8D449" w14:textId="77777777" w:rsidR="002D0125" w:rsidRPr="00793356" w:rsidRDefault="002D0125" w:rsidP="001C73A5">
            <w:pPr>
              <w:spacing w:before="60" w:after="60" w:line="276" w:lineRule="auto"/>
              <w:ind w:left="113" w:right="113"/>
              <w:rPr>
                <w:rFonts w:ascii="Century Gothic" w:hAnsi="Century Gothic"/>
                <w:sz w:val="20"/>
                <w:szCs w:val="20"/>
              </w:rPr>
            </w:pPr>
            <w:r w:rsidRPr="00793356">
              <w:rPr>
                <w:rFonts w:ascii="Century Gothic" w:hAnsi="Century Gothic"/>
                <w:sz w:val="20"/>
                <w:szCs w:val="20"/>
              </w:rPr>
              <w:t>Constitución Política del Estado Libre y Soberano de Tabasco.</w:t>
            </w:r>
          </w:p>
        </w:tc>
      </w:tr>
      <w:tr w:rsidR="002D0125" w:rsidRPr="00935F47" w14:paraId="2685F6BC" w14:textId="77777777" w:rsidTr="006D2C04">
        <w:tc>
          <w:tcPr>
            <w:tcW w:w="2664" w:type="dxa"/>
            <w:vAlign w:val="center"/>
          </w:tcPr>
          <w:p w14:paraId="6F3BCC31" w14:textId="77777777" w:rsidR="002D0125" w:rsidRPr="00793356" w:rsidRDefault="002D0125" w:rsidP="001C73A5">
            <w:pPr>
              <w:spacing w:before="60" w:after="60" w:line="276" w:lineRule="auto"/>
              <w:ind w:left="0"/>
              <w:jc w:val="right"/>
              <w:rPr>
                <w:rFonts w:ascii="Century Gothic" w:hAnsi="Century Gothic"/>
                <w:b/>
                <w:sz w:val="20"/>
                <w:szCs w:val="20"/>
              </w:rPr>
            </w:pPr>
            <w:r w:rsidRPr="00793356">
              <w:rPr>
                <w:rFonts w:ascii="Century Gothic" w:hAnsi="Century Gothic"/>
                <w:b/>
                <w:sz w:val="20"/>
                <w:szCs w:val="20"/>
              </w:rPr>
              <w:t>Instituto Electoral:</w:t>
            </w:r>
          </w:p>
        </w:tc>
        <w:tc>
          <w:tcPr>
            <w:tcW w:w="3998" w:type="dxa"/>
            <w:vAlign w:val="center"/>
          </w:tcPr>
          <w:p w14:paraId="64157713" w14:textId="77777777" w:rsidR="002D0125" w:rsidRPr="00793356" w:rsidRDefault="002D0125" w:rsidP="001C73A5">
            <w:pPr>
              <w:spacing w:before="60" w:after="60" w:line="276" w:lineRule="auto"/>
              <w:ind w:left="113" w:right="113"/>
              <w:rPr>
                <w:rFonts w:ascii="Century Gothic" w:hAnsi="Century Gothic"/>
                <w:sz w:val="20"/>
                <w:szCs w:val="20"/>
              </w:rPr>
            </w:pPr>
            <w:r w:rsidRPr="00793356">
              <w:rPr>
                <w:rFonts w:ascii="Century Gothic" w:hAnsi="Century Gothic"/>
                <w:sz w:val="20"/>
                <w:szCs w:val="20"/>
              </w:rPr>
              <w:t>Instituto Electoral y de Participación Ciudadana de Tabasco.</w:t>
            </w:r>
          </w:p>
        </w:tc>
      </w:tr>
      <w:tr w:rsidR="002D0125" w:rsidRPr="00935F47" w14:paraId="1FE6E8B8" w14:textId="77777777" w:rsidTr="006D2C04">
        <w:tc>
          <w:tcPr>
            <w:tcW w:w="2664" w:type="dxa"/>
            <w:vAlign w:val="center"/>
          </w:tcPr>
          <w:p w14:paraId="7C57542C" w14:textId="77777777" w:rsidR="002D0125" w:rsidRPr="00793356" w:rsidRDefault="002D0125" w:rsidP="001C73A5">
            <w:pPr>
              <w:spacing w:before="60" w:after="60" w:line="276" w:lineRule="auto"/>
              <w:ind w:left="0"/>
              <w:jc w:val="right"/>
              <w:rPr>
                <w:rFonts w:ascii="Century Gothic" w:hAnsi="Century Gothic"/>
                <w:b/>
                <w:sz w:val="20"/>
                <w:szCs w:val="20"/>
              </w:rPr>
            </w:pPr>
            <w:r w:rsidRPr="00793356">
              <w:rPr>
                <w:rFonts w:ascii="Century Gothic" w:hAnsi="Century Gothic"/>
                <w:b/>
                <w:sz w:val="20"/>
                <w:szCs w:val="20"/>
              </w:rPr>
              <w:t>Junta Ejecutiva:</w:t>
            </w:r>
          </w:p>
        </w:tc>
        <w:tc>
          <w:tcPr>
            <w:tcW w:w="3998" w:type="dxa"/>
            <w:vAlign w:val="center"/>
          </w:tcPr>
          <w:p w14:paraId="3D451FEF" w14:textId="77777777" w:rsidR="002D0125" w:rsidRPr="00793356" w:rsidRDefault="002D0125" w:rsidP="001C73A5">
            <w:pPr>
              <w:spacing w:before="60" w:after="60" w:line="276" w:lineRule="auto"/>
              <w:ind w:left="113" w:right="113"/>
              <w:rPr>
                <w:rFonts w:ascii="Century Gothic" w:hAnsi="Century Gothic"/>
                <w:sz w:val="20"/>
                <w:szCs w:val="20"/>
              </w:rPr>
            </w:pPr>
            <w:r w:rsidRPr="00793356">
              <w:rPr>
                <w:rFonts w:ascii="Century Gothic" w:hAnsi="Century Gothic"/>
                <w:sz w:val="20"/>
                <w:szCs w:val="20"/>
              </w:rPr>
              <w:t>Junta Estatal Ejecutiva del Instituto Electoral y de Participación Ciudadana de Tabasco.</w:t>
            </w:r>
          </w:p>
        </w:tc>
      </w:tr>
      <w:tr w:rsidR="002D0125" w:rsidRPr="00935F47" w14:paraId="60CE029C" w14:textId="77777777" w:rsidTr="006D2C04">
        <w:tc>
          <w:tcPr>
            <w:tcW w:w="2664" w:type="dxa"/>
            <w:vAlign w:val="center"/>
          </w:tcPr>
          <w:p w14:paraId="787AACF6" w14:textId="77777777" w:rsidR="002D0125" w:rsidRPr="00793356" w:rsidRDefault="002D0125" w:rsidP="001C73A5">
            <w:pPr>
              <w:spacing w:before="60" w:after="60" w:line="276" w:lineRule="auto"/>
              <w:ind w:left="0"/>
              <w:jc w:val="right"/>
              <w:rPr>
                <w:rFonts w:ascii="Century Gothic" w:hAnsi="Century Gothic"/>
                <w:b/>
                <w:sz w:val="20"/>
                <w:szCs w:val="20"/>
              </w:rPr>
            </w:pPr>
            <w:r w:rsidRPr="00793356">
              <w:rPr>
                <w:rFonts w:ascii="Century Gothic" w:hAnsi="Century Gothic"/>
                <w:b/>
                <w:sz w:val="20"/>
                <w:szCs w:val="20"/>
              </w:rPr>
              <w:t>Ley Electoral:</w:t>
            </w:r>
          </w:p>
        </w:tc>
        <w:tc>
          <w:tcPr>
            <w:tcW w:w="3998" w:type="dxa"/>
            <w:vAlign w:val="center"/>
          </w:tcPr>
          <w:p w14:paraId="154A5C92" w14:textId="77777777" w:rsidR="002D0125" w:rsidRPr="00793356" w:rsidRDefault="002D0125" w:rsidP="001C73A5">
            <w:pPr>
              <w:spacing w:before="60" w:after="60" w:line="276" w:lineRule="auto"/>
              <w:ind w:left="113" w:right="113"/>
              <w:rPr>
                <w:rFonts w:ascii="Century Gothic" w:hAnsi="Century Gothic"/>
                <w:sz w:val="20"/>
                <w:szCs w:val="20"/>
              </w:rPr>
            </w:pPr>
            <w:r w:rsidRPr="00793356">
              <w:rPr>
                <w:rFonts w:ascii="Century Gothic" w:hAnsi="Century Gothic"/>
                <w:sz w:val="20"/>
                <w:szCs w:val="20"/>
              </w:rPr>
              <w:t>Ley Electoral y de Partidos Políticos del Estado de Tabasco.</w:t>
            </w:r>
          </w:p>
        </w:tc>
      </w:tr>
      <w:tr w:rsidR="002D0125" w:rsidRPr="00935F47" w14:paraId="76CF64CB" w14:textId="77777777" w:rsidTr="006D2C04">
        <w:tc>
          <w:tcPr>
            <w:tcW w:w="2664" w:type="dxa"/>
            <w:vAlign w:val="center"/>
          </w:tcPr>
          <w:p w14:paraId="5A471601" w14:textId="77777777" w:rsidR="002D0125" w:rsidRPr="00793356" w:rsidRDefault="002D0125" w:rsidP="001C73A5">
            <w:pPr>
              <w:spacing w:before="60" w:after="60" w:line="276" w:lineRule="auto"/>
              <w:ind w:left="0"/>
              <w:jc w:val="right"/>
              <w:rPr>
                <w:rFonts w:ascii="Century Gothic" w:hAnsi="Century Gothic"/>
                <w:b/>
                <w:sz w:val="20"/>
                <w:szCs w:val="20"/>
              </w:rPr>
            </w:pPr>
            <w:r w:rsidRPr="00793356">
              <w:rPr>
                <w:rFonts w:ascii="Century Gothic" w:hAnsi="Century Gothic"/>
                <w:b/>
                <w:sz w:val="20"/>
                <w:szCs w:val="20"/>
              </w:rPr>
              <w:t>Lineamientos:</w:t>
            </w:r>
          </w:p>
        </w:tc>
        <w:tc>
          <w:tcPr>
            <w:tcW w:w="3998" w:type="dxa"/>
            <w:vAlign w:val="center"/>
          </w:tcPr>
          <w:p w14:paraId="7423FD73" w14:textId="77777777" w:rsidR="002D0125" w:rsidRPr="00793356" w:rsidRDefault="002D0125" w:rsidP="001C73A5">
            <w:pPr>
              <w:spacing w:before="60" w:after="60" w:line="276" w:lineRule="auto"/>
              <w:ind w:left="113" w:right="113"/>
              <w:rPr>
                <w:rFonts w:ascii="Century Gothic" w:hAnsi="Century Gothic"/>
                <w:sz w:val="20"/>
                <w:szCs w:val="20"/>
              </w:rPr>
            </w:pPr>
            <w:r w:rsidRPr="00793356">
              <w:rPr>
                <w:rFonts w:ascii="Century Gothic" w:hAnsi="Century Gothic"/>
                <w:sz w:val="20"/>
                <w:szCs w:val="20"/>
              </w:rPr>
              <w:t>Lineamientos para la designación de encargos de despacho para</w:t>
            </w:r>
          </w:p>
          <w:p w14:paraId="23BF23DC" w14:textId="77777777" w:rsidR="002D0125" w:rsidRPr="00793356" w:rsidRDefault="002D0125" w:rsidP="001C73A5">
            <w:pPr>
              <w:spacing w:before="60" w:after="60" w:line="276" w:lineRule="auto"/>
              <w:ind w:left="113" w:right="113"/>
              <w:rPr>
                <w:rFonts w:ascii="Century Gothic" w:hAnsi="Century Gothic"/>
                <w:sz w:val="20"/>
                <w:szCs w:val="20"/>
              </w:rPr>
            </w:pPr>
            <w:r w:rsidRPr="00793356">
              <w:rPr>
                <w:rFonts w:ascii="Century Gothic" w:hAnsi="Century Gothic"/>
                <w:sz w:val="20"/>
                <w:szCs w:val="20"/>
              </w:rPr>
              <w:t>ocupar cargos y puestos del Servicio Profesional Electoral Nacional del Sistema del Instituto Nacional Electoral, aprobados por el INE mediante acuerdo INE/JGE51/2021.</w:t>
            </w:r>
          </w:p>
        </w:tc>
      </w:tr>
    </w:tbl>
    <w:p w14:paraId="66B5444C" w14:textId="6BC43A12" w:rsidR="001B521F" w:rsidRPr="00793356" w:rsidRDefault="00933C48" w:rsidP="00677636">
      <w:pPr>
        <w:pStyle w:val="Ttulo1"/>
        <w:spacing w:line="276" w:lineRule="auto"/>
        <w:rPr>
          <w:sz w:val="24"/>
          <w:szCs w:val="24"/>
        </w:rPr>
      </w:pPr>
      <w:r w:rsidRPr="00793356">
        <w:rPr>
          <w:sz w:val="24"/>
          <w:szCs w:val="24"/>
        </w:rPr>
        <w:lastRenderedPageBreak/>
        <w:t>Antecedentes</w:t>
      </w:r>
    </w:p>
    <w:p w14:paraId="50B8F31B" w14:textId="77777777" w:rsidR="00AA7AD6" w:rsidRPr="00793356" w:rsidRDefault="00AA7AD6" w:rsidP="00677636">
      <w:pPr>
        <w:pStyle w:val="Ttulo2"/>
        <w:spacing w:line="276" w:lineRule="auto"/>
      </w:pPr>
      <w:r w:rsidRPr="00793356">
        <w:t>Aprobación de los Lineamientos</w:t>
      </w:r>
    </w:p>
    <w:p w14:paraId="63010679" w14:textId="77777777" w:rsidR="007075E2" w:rsidRPr="00793356" w:rsidRDefault="00AA7AD6" w:rsidP="00677636">
      <w:pPr>
        <w:pStyle w:val="Prrafodelista"/>
        <w:spacing w:after="240" w:line="276" w:lineRule="auto"/>
        <w:ind w:left="510"/>
        <w:contextualSpacing w:val="0"/>
        <w:rPr>
          <w:rFonts w:ascii="Century Gothic" w:hAnsi="Century Gothic"/>
          <w:sz w:val="23"/>
          <w:szCs w:val="23"/>
        </w:rPr>
      </w:pPr>
      <w:r w:rsidRPr="00793356">
        <w:rPr>
          <w:rFonts w:ascii="Century Gothic" w:hAnsi="Century Gothic"/>
          <w:sz w:val="23"/>
          <w:szCs w:val="23"/>
        </w:rPr>
        <w:t>El 19 de marzo de 2021, la Junta General Ejecutiva del INE mediante acuerdo INE/JGE51/2021, aprobó los Lineamientos, los cuales tienen por objeto regular la designación de encargos de despacho para ocupar cargos y puestos del Servicio Profesional Electoral Nacional en el Sistema de los Organismos Públicos Locales Electorales.</w:t>
      </w:r>
      <w:r w:rsidR="007075E2" w:rsidRPr="00793356">
        <w:rPr>
          <w:rFonts w:ascii="Century Gothic" w:hAnsi="Century Gothic"/>
          <w:sz w:val="23"/>
          <w:szCs w:val="23"/>
        </w:rPr>
        <w:t xml:space="preserve"> </w:t>
      </w:r>
    </w:p>
    <w:p w14:paraId="6BDC66FD" w14:textId="3D6E194A" w:rsidR="007075E2" w:rsidRPr="00793356" w:rsidRDefault="00092D45" w:rsidP="00677636">
      <w:pPr>
        <w:pStyle w:val="Prrafodelista"/>
        <w:spacing w:after="240" w:line="276" w:lineRule="auto"/>
        <w:ind w:left="510"/>
        <w:contextualSpacing w:val="0"/>
        <w:rPr>
          <w:rFonts w:ascii="Century Gothic" w:hAnsi="Century Gothic"/>
          <w:sz w:val="23"/>
          <w:szCs w:val="23"/>
        </w:rPr>
      </w:pPr>
      <w:r w:rsidRPr="00793356">
        <w:rPr>
          <w:rFonts w:ascii="Century Gothic" w:hAnsi="Century Gothic"/>
          <w:sz w:val="23"/>
          <w:szCs w:val="23"/>
        </w:rPr>
        <w:t xml:space="preserve">Estas </w:t>
      </w:r>
      <w:r w:rsidR="007075E2" w:rsidRPr="00793356">
        <w:rPr>
          <w:rFonts w:ascii="Century Gothic" w:hAnsi="Century Gothic"/>
          <w:sz w:val="23"/>
          <w:szCs w:val="23"/>
        </w:rPr>
        <w:t>disposiciones contenidas en los Lineamientos</w:t>
      </w:r>
      <w:r w:rsidRPr="00793356">
        <w:rPr>
          <w:rFonts w:ascii="Century Gothic" w:hAnsi="Century Gothic"/>
          <w:sz w:val="23"/>
          <w:szCs w:val="23"/>
        </w:rPr>
        <w:t>, son de</w:t>
      </w:r>
      <w:r w:rsidR="007075E2" w:rsidRPr="00793356">
        <w:rPr>
          <w:sz w:val="23"/>
          <w:szCs w:val="23"/>
        </w:rPr>
        <w:t xml:space="preserve"> </w:t>
      </w:r>
      <w:r w:rsidR="007075E2" w:rsidRPr="00793356">
        <w:rPr>
          <w:rFonts w:ascii="Century Gothic" w:hAnsi="Century Gothic"/>
          <w:sz w:val="23"/>
          <w:szCs w:val="23"/>
        </w:rPr>
        <w:t xml:space="preserve">observancia general y obligatoria para las autoridades del Instituto Nacional Electoral, de los </w:t>
      </w:r>
      <w:r w:rsidR="00B8247D" w:rsidRPr="00793356">
        <w:rPr>
          <w:rFonts w:ascii="Century Gothic" w:hAnsi="Century Gothic"/>
          <w:sz w:val="23"/>
          <w:szCs w:val="23"/>
        </w:rPr>
        <w:t xml:space="preserve">organismos públicos locales electorales y las personas propuestas y </w:t>
      </w:r>
      <w:r w:rsidR="007075E2" w:rsidRPr="00793356">
        <w:rPr>
          <w:rFonts w:ascii="Century Gothic" w:hAnsi="Century Gothic"/>
          <w:sz w:val="23"/>
          <w:szCs w:val="23"/>
        </w:rPr>
        <w:t>que ocupen un encargo de despacho.</w:t>
      </w:r>
    </w:p>
    <w:p w14:paraId="0218C3F7" w14:textId="511C5E95" w:rsidR="00EF4214" w:rsidRPr="00793356" w:rsidRDefault="00EF4214" w:rsidP="00677636">
      <w:pPr>
        <w:pStyle w:val="Ttulo2"/>
        <w:spacing w:line="276" w:lineRule="auto"/>
      </w:pPr>
      <w:r w:rsidRPr="00793356">
        <w:t>Reglamento de Sesiones de la Junta Estatal</w:t>
      </w:r>
    </w:p>
    <w:p w14:paraId="0B228884" w14:textId="5FA319DA" w:rsidR="00EF4214" w:rsidRPr="00793356" w:rsidRDefault="00EF4214" w:rsidP="00677636">
      <w:pPr>
        <w:pStyle w:val="Prrafodelista"/>
        <w:spacing w:line="276" w:lineRule="auto"/>
        <w:ind w:left="510"/>
        <w:rPr>
          <w:rFonts w:ascii="Century Gothic" w:hAnsi="Century Gothic"/>
          <w:sz w:val="23"/>
          <w:szCs w:val="23"/>
        </w:rPr>
      </w:pPr>
      <w:r w:rsidRPr="00793356">
        <w:rPr>
          <w:rFonts w:ascii="Century Gothic" w:hAnsi="Century Gothic"/>
          <w:sz w:val="23"/>
          <w:szCs w:val="23"/>
        </w:rPr>
        <w:t>El 22 de julio de 2022, el Consejo Estatal emitió el acuerdo CE/2022/21 y con ello aprobó el Reglamento de Sesiones de la Junta Estatal, el cual es de observancia obligatoria para las personas servidoras públicos del Instituto Electoral y tiene por objeto establecer las reglas que regulen la celebración y el desarrollo de las sesiones de dicho órgano central y las atribuciones y facultades de sus integrantes en las mismas.</w:t>
      </w:r>
    </w:p>
    <w:p w14:paraId="169B47B3" w14:textId="666C1C11" w:rsidR="00EF4214" w:rsidRPr="00793356" w:rsidRDefault="0063663C" w:rsidP="00677636">
      <w:pPr>
        <w:pStyle w:val="Ttulo2"/>
        <w:spacing w:line="276" w:lineRule="auto"/>
      </w:pPr>
      <w:r w:rsidRPr="00793356">
        <w:t>Designación de Persona</w:t>
      </w:r>
      <w:r w:rsidR="00FB3DED" w:rsidRPr="00793356">
        <w:t xml:space="preserve"> Encargada</w:t>
      </w:r>
      <w:r w:rsidRPr="00793356">
        <w:t xml:space="preserve"> de Despacho</w:t>
      </w:r>
    </w:p>
    <w:p w14:paraId="557E9E5E" w14:textId="5D0B7AD6" w:rsidR="00BF7951" w:rsidRDefault="000B49F0" w:rsidP="00A94C16">
      <w:pPr>
        <w:spacing w:after="240" w:line="276" w:lineRule="auto"/>
        <w:rPr>
          <w:rFonts w:ascii="Century Gothic" w:hAnsi="Century Gothic"/>
          <w:sz w:val="23"/>
          <w:szCs w:val="23"/>
        </w:rPr>
      </w:pPr>
      <w:r w:rsidRPr="00793356">
        <w:rPr>
          <w:rFonts w:ascii="Century Gothic" w:hAnsi="Century Gothic"/>
          <w:sz w:val="23"/>
          <w:szCs w:val="23"/>
        </w:rPr>
        <w:t>En virtud de la</w:t>
      </w:r>
      <w:r w:rsidR="00BF7951" w:rsidRPr="00793356">
        <w:rPr>
          <w:rFonts w:ascii="Century Gothic" w:hAnsi="Century Gothic"/>
          <w:sz w:val="23"/>
          <w:szCs w:val="23"/>
        </w:rPr>
        <w:t xml:space="preserve"> vacante correspondiente a </w:t>
      </w:r>
      <w:r w:rsidRPr="00793356">
        <w:rPr>
          <w:rFonts w:ascii="Century Gothic" w:hAnsi="Century Gothic"/>
          <w:sz w:val="23"/>
          <w:szCs w:val="23"/>
        </w:rPr>
        <w:t xml:space="preserve">Técnico de Educación Cívica </w:t>
      </w:r>
      <w:r w:rsidR="00BF7951" w:rsidRPr="00793356">
        <w:rPr>
          <w:rFonts w:ascii="Century Gothic" w:hAnsi="Century Gothic"/>
          <w:sz w:val="23"/>
          <w:szCs w:val="23"/>
        </w:rPr>
        <w:t>con categoría Técnico “B” SPEN</w:t>
      </w:r>
      <w:r w:rsidR="00FB3DED" w:rsidRPr="00793356">
        <w:rPr>
          <w:rFonts w:ascii="Century Gothic" w:hAnsi="Century Gothic"/>
          <w:sz w:val="23"/>
          <w:szCs w:val="23"/>
        </w:rPr>
        <w:t>, adscrita</w:t>
      </w:r>
      <w:r w:rsidR="00BF7951" w:rsidRPr="00793356">
        <w:rPr>
          <w:rFonts w:ascii="Century Gothic" w:hAnsi="Century Gothic"/>
          <w:sz w:val="23"/>
          <w:szCs w:val="23"/>
        </w:rPr>
        <w:t xml:space="preserve"> a la Dirección Ejecutiva de Organización Electoral y Educación Cívica</w:t>
      </w:r>
      <w:r w:rsidR="00B85FDA" w:rsidRPr="00793356">
        <w:rPr>
          <w:rFonts w:ascii="Century Gothic" w:hAnsi="Century Gothic"/>
          <w:sz w:val="23"/>
          <w:szCs w:val="23"/>
        </w:rPr>
        <w:t xml:space="preserve"> y a solicitud de su titular, </w:t>
      </w:r>
      <w:r w:rsidR="006A79F0" w:rsidRPr="00793356">
        <w:rPr>
          <w:rFonts w:ascii="Century Gothic" w:hAnsi="Century Gothic"/>
          <w:sz w:val="23"/>
          <w:szCs w:val="23"/>
        </w:rPr>
        <w:t xml:space="preserve">el </w:t>
      </w:r>
      <w:r w:rsidR="00CE01D0" w:rsidRPr="00793356">
        <w:rPr>
          <w:rFonts w:ascii="Century Gothic" w:hAnsi="Century Gothic"/>
          <w:sz w:val="23"/>
          <w:szCs w:val="23"/>
        </w:rPr>
        <w:t>30</w:t>
      </w:r>
      <w:r w:rsidR="006A79F0" w:rsidRPr="00793356">
        <w:rPr>
          <w:rFonts w:ascii="Century Gothic" w:hAnsi="Century Gothic"/>
          <w:sz w:val="23"/>
          <w:szCs w:val="23"/>
        </w:rPr>
        <w:t xml:space="preserve"> de </w:t>
      </w:r>
      <w:r w:rsidR="00CE01D0" w:rsidRPr="00793356">
        <w:rPr>
          <w:rFonts w:ascii="Century Gothic" w:hAnsi="Century Gothic"/>
          <w:sz w:val="23"/>
          <w:szCs w:val="23"/>
        </w:rPr>
        <w:t>junio de 2023</w:t>
      </w:r>
      <w:r w:rsidR="003C6907" w:rsidRPr="00793356">
        <w:rPr>
          <w:rFonts w:ascii="Century Gothic" w:hAnsi="Century Gothic"/>
          <w:sz w:val="23"/>
          <w:szCs w:val="23"/>
        </w:rPr>
        <w:t xml:space="preserve">, </w:t>
      </w:r>
      <w:r w:rsidR="00B85FDA" w:rsidRPr="00793356">
        <w:rPr>
          <w:rFonts w:ascii="Century Gothic" w:hAnsi="Century Gothic"/>
          <w:sz w:val="23"/>
          <w:szCs w:val="23"/>
        </w:rPr>
        <w:t xml:space="preserve">se </w:t>
      </w:r>
      <w:r w:rsidRPr="00793356">
        <w:rPr>
          <w:rFonts w:ascii="Century Gothic" w:hAnsi="Century Gothic"/>
          <w:sz w:val="23"/>
          <w:szCs w:val="23"/>
        </w:rPr>
        <w:t>designó</w:t>
      </w:r>
      <w:r w:rsidR="00B85FDA" w:rsidRPr="00793356">
        <w:rPr>
          <w:rFonts w:ascii="Century Gothic" w:hAnsi="Century Gothic"/>
          <w:sz w:val="23"/>
          <w:szCs w:val="23"/>
        </w:rPr>
        <w:t xml:space="preserve"> como encargad</w:t>
      </w:r>
      <w:r w:rsidRPr="00793356">
        <w:rPr>
          <w:rFonts w:ascii="Century Gothic" w:hAnsi="Century Gothic"/>
          <w:sz w:val="23"/>
          <w:szCs w:val="23"/>
        </w:rPr>
        <w:t>a</w:t>
      </w:r>
      <w:r w:rsidR="00B85FDA" w:rsidRPr="00793356">
        <w:rPr>
          <w:rFonts w:ascii="Century Gothic" w:hAnsi="Century Gothic"/>
          <w:sz w:val="23"/>
          <w:szCs w:val="23"/>
        </w:rPr>
        <w:t xml:space="preserve"> de despacho a la</w:t>
      </w:r>
      <w:r w:rsidRPr="00793356">
        <w:rPr>
          <w:rFonts w:ascii="Century Gothic" w:hAnsi="Century Gothic"/>
          <w:sz w:val="23"/>
          <w:szCs w:val="23"/>
        </w:rPr>
        <w:t xml:space="preserve"> siguiente</w:t>
      </w:r>
      <w:r w:rsidR="00B85FDA" w:rsidRPr="00793356">
        <w:rPr>
          <w:rFonts w:ascii="Century Gothic" w:hAnsi="Century Gothic"/>
          <w:sz w:val="23"/>
          <w:szCs w:val="23"/>
        </w:rPr>
        <w:t xml:space="preserve"> persona:</w:t>
      </w:r>
    </w:p>
    <w:p w14:paraId="1C744839" w14:textId="77777777" w:rsidR="00793356" w:rsidRPr="00793356" w:rsidRDefault="00793356" w:rsidP="00A94C16">
      <w:pPr>
        <w:spacing w:after="240" w:line="276" w:lineRule="auto"/>
        <w:rPr>
          <w:rFonts w:ascii="Century Gothic" w:hAnsi="Century Gothic"/>
          <w:sz w:val="23"/>
          <w:szCs w:val="23"/>
        </w:rPr>
      </w:pPr>
    </w:p>
    <w:tbl>
      <w:tblPr>
        <w:tblStyle w:val="Tablaconcuadrcula"/>
        <w:tblW w:w="0" w:type="auto"/>
        <w:tblInd w:w="510" w:type="dxa"/>
        <w:tblLook w:val="04A0" w:firstRow="1" w:lastRow="0" w:firstColumn="1" w:lastColumn="0" w:noHBand="0" w:noVBand="1"/>
      </w:tblPr>
      <w:tblGrid>
        <w:gridCol w:w="3880"/>
        <w:gridCol w:w="4394"/>
      </w:tblGrid>
      <w:tr w:rsidR="00A94C16" w:rsidRPr="009106FE" w14:paraId="4D344E02" w14:textId="77777777" w:rsidTr="000B49F0">
        <w:tc>
          <w:tcPr>
            <w:tcW w:w="3880" w:type="dxa"/>
            <w:shd w:val="clear" w:color="auto" w:fill="993366"/>
            <w:vAlign w:val="center"/>
          </w:tcPr>
          <w:p w14:paraId="3E6C0BDE" w14:textId="77777777" w:rsidR="00A94C16" w:rsidRPr="009106FE" w:rsidRDefault="00A94C16" w:rsidP="0016435A">
            <w:pPr>
              <w:spacing w:before="60" w:after="60" w:line="276" w:lineRule="auto"/>
              <w:ind w:left="0"/>
              <w:jc w:val="center"/>
              <w:rPr>
                <w:rFonts w:ascii="Century Gothic" w:hAnsi="Century Gothic"/>
                <w:b/>
                <w:color w:val="FFFFFF" w:themeColor="background1"/>
                <w:sz w:val="18"/>
              </w:rPr>
            </w:pPr>
            <w:r w:rsidRPr="009106FE">
              <w:rPr>
                <w:rFonts w:ascii="Century Gothic" w:hAnsi="Century Gothic"/>
                <w:b/>
                <w:color w:val="FFFFFF" w:themeColor="background1"/>
                <w:sz w:val="18"/>
              </w:rPr>
              <w:t>Nombre</w:t>
            </w:r>
          </w:p>
        </w:tc>
        <w:tc>
          <w:tcPr>
            <w:tcW w:w="4394" w:type="dxa"/>
            <w:shd w:val="clear" w:color="auto" w:fill="993366"/>
            <w:vAlign w:val="center"/>
          </w:tcPr>
          <w:p w14:paraId="52100FA0" w14:textId="77777777" w:rsidR="00A94C16" w:rsidRPr="009106FE" w:rsidRDefault="00A94C16" w:rsidP="0016435A">
            <w:pPr>
              <w:spacing w:before="60" w:after="60" w:line="276" w:lineRule="auto"/>
              <w:ind w:left="0"/>
              <w:jc w:val="center"/>
              <w:rPr>
                <w:rFonts w:ascii="Century Gothic" w:hAnsi="Century Gothic"/>
                <w:b/>
                <w:color w:val="FFFFFF" w:themeColor="background1"/>
                <w:sz w:val="18"/>
              </w:rPr>
            </w:pPr>
            <w:r w:rsidRPr="009106FE">
              <w:rPr>
                <w:rFonts w:ascii="Century Gothic" w:hAnsi="Century Gothic"/>
                <w:b/>
                <w:color w:val="FFFFFF" w:themeColor="background1"/>
                <w:sz w:val="18"/>
              </w:rPr>
              <w:t>Cargo</w:t>
            </w:r>
          </w:p>
        </w:tc>
      </w:tr>
      <w:tr w:rsidR="00A94C16" w:rsidRPr="009106FE" w14:paraId="773E097B" w14:textId="77777777" w:rsidTr="000B49F0">
        <w:tc>
          <w:tcPr>
            <w:tcW w:w="3880" w:type="dxa"/>
            <w:vAlign w:val="center"/>
          </w:tcPr>
          <w:p w14:paraId="6AA1773E" w14:textId="51D57F69" w:rsidR="00A94C16" w:rsidRPr="009106FE" w:rsidRDefault="0071785A" w:rsidP="000B49F0">
            <w:pPr>
              <w:spacing w:before="60" w:after="60" w:line="276" w:lineRule="auto"/>
              <w:ind w:left="0"/>
              <w:rPr>
                <w:rFonts w:ascii="Century Gothic" w:hAnsi="Century Gothic"/>
                <w:sz w:val="20"/>
              </w:rPr>
            </w:pPr>
            <w:r>
              <w:rPr>
                <w:rFonts w:ascii="Century Gothic" w:hAnsi="Century Gothic"/>
                <w:sz w:val="20"/>
              </w:rPr>
              <w:t xml:space="preserve">Mariela </w:t>
            </w:r>
            <w:proofErr w:type="spellStart"/>
            <w:r>
              <w:rPr>
                <w:rFonts w:ascii="Century Gothic" w:hAnsi="Century Gothic"/>
                <w:sz w:val="20"/>
              </w:rPr>
              <w:t>Pereztosca</w:t>
            </w:r>
            <w:proofErr w:type="spellEnd"/>
            <w:r>
              <w:rPr>
                <w:rFonts w:ascii="Century Gothic" w:hAnsi="Century Gothic"/>
                <w:sz w:val="20"/>
              </w:rPr>
              <w:t xml:space="preserve"> Jiménez</w:t>
            </w:r>
          </w:p>
        </w:tc>
        <w:tc>
          <w:tcPr>
            <w:tcW w:w="4394" w:type="dxa"/>
            <w:vAlign w:val="center"/>
          </w:tcPr>
          <w:p w14:paraId="0E4DA169" w14:textId="2BA2DE08" w:rsidR="000B49F0" w:rsidRDefault="00A94C16" w:rsidP="00B91EAD">
            <w:pPr>
              <w:spacing w:before="60" w:after="60" w:line="240" w:lineRule="auto"/>
              <w:ind w:left="0"/>
              <w:jc w:val="center"/>
              <w:rPr>
                <w:rFonts w:ascii="Century Gothic" w:hAnsi="Century Gothic"/>
                <w:sz w:val="20"/>
              </w:rPr>
            </w:pPr>
            <w:r w:rsidRPr="009106FE">
              <w:rPr>
                <w:rFonts w:ascii="Century Gothic" w:hAnsi="Century Gothic"/>
                <w:sz w:val="20"/>
              </w:rPr>
              <w:t>Técnico d</w:t>
            </w:r>
            <w:r w:rsidR="000B49F0">
              <w:rPr>
                <w:rFonts w:ascii="Century Gothic" w:hAnsi="Century Gothic"/>
                <w:sz w:val="20"/>
              </w:rPr>
              <w:t>e Educación Cívica</w:t>
            </w:r>
          </w:p>
          <w:p w14:paraId="4F688187" w14:textId="3B8724EA" w:rsidR="00A94C16" w:rsidRPr="009106FE" w:rsidRDefault="000B49F0" w:rsidP="00B91EAD">
            <w:pPr>
              <w:spacing w:before="60" w:after="60" w:line="240" w:lineRule="auto"/>
              <w:ind w:left="0"/>
              <w:jc w:val="center"/>
              <w:rPr>
                <w:rFonts w:ascii="Century Gothic" w:hAnsi="Century Gothic"/>
                <w:sz w:val="20"/>
              </w:rPr>
            </w:pPr>
            <w:r>
              <w:rPr>
                <w:rFonts w:ascii="Century Gothic" w:hAnsi="Century Gothic"/>
                <w:sz w:val="20"/>
              </w:rPr>
              <w:t>(</w:t>
            </w:r>
            <w:r w:rsidR="00315D50">
              <w:rPr>
                <w:rFonts w:ascii="Century Gothic" w:hAnsi="Century Gothic"/>
                <w:sz w:val="20"/>
              </w:rPr>
              <w:t xml:space="preserve">con categoría </w:t>
            </w:r>
            <w:r>
              <w:rPr>
                <w:rFonts w:ascii="Century Gothic" w:hAnsi="Century Gothic"/>
                <w:sz w:val="20"/>
              </w:rPr>
              <w:t xml:space="preserve">Técnico </w:t>
            </w:r>
            <w:r w:rsidR="00315D50">
              <w:rPr>
                <w:rFonts w:ascii="Century Gothic" w:hAnsi="Century Gothic"/>
                <w:sz w:val="20"/>
              </w:rPr>
              <w:t>“</w:t>
            </w:r>
            <w:r>
              <w:rPr>
                <w:rFonts w:ascii="Century Gothic" w:hAnsi="Century Gothic"/>
                <w:sz w:val="20"/>
              </w:rPr>
              <w:t>B</w:t>
            </w:r>
            <w:r w:rsidR="00315D50">
              <w:rPr>
                <w:rFonts w:ascii="Century Gothic" w:hAnsi="Century Gothic"/>
                <w:sz w:val="20"/>
              </w:rPr>
              <w:t>”</w:t>
            </w:r>
            <w:r>
              <w:rPr>
                <w:rFonts w:ascii="Century Gothic" w:hAnsi="Century Gothic"/>
                <w:sz w:val="20"/>
              </w:rPr>
              <w:t xml:space="preserve"> SPEN)</w:t>
            </w:r>
          </w:p>
        </w:tc>
      </w:tr>
    </w:tbl>
    <w:p w14:paraId="04C9A457" w14:textId="77777777" w:rsidR="00793356" w:rsidRDefault="00793356" w:rsidP="00793356">
      <w:pPr>
        <w:pStyle w:val="Ttulo1"/>
        <w:numPr>
          <w:ilvl w:val="0"/>
          <w:numId w:val="0"/>
        </w:numPr>
        <w:spacing w:line="276" w:lineRule="auto"/>
        <w:ind w:left="432"/>
        <w:jc w:val="both"/>
      </w:pPr>
    </w:p>
    <w:p w14:paraId="02B782B8" w14:textId="34037C70" w:rsidR="00AB3AF3" w:rsidRPr="00793356" w:rsidRDefault="00CE1F37" w:rsidP="00677636">
      <w:pPr>
        <w:pStyle w:val="Ttulo1"/>
        <w:spacing w:line="276" w:lineRule="auto"/>
        <w:rPr>
          <w:sz w:val="24"/>
          <w:szCs w:val="24"/>
        </w:rPr>
      </w:pPr>
      <w:r w:rsidRPr="00793356">
        <w:rPr>
          <w:sz w:val="24"/>
          <w:szCs w:val="24"/>
        </w:rPr>
        <w:lastRenderedPageBreak/>
        <w:t>Considerando</w:t>
      </w:r>
    </w:p>
    <w:p w14:paraId="551E8723" w14:textId="77777777" w:rsidR="00FC3DB5" w:rsidRPr="00793356" w:rsidRDefault="00FC3DB5" w:rsidP="00677636">
      <w:pPr>
        <w:pStyle w:val="Ttulo2"/>
        <w:spacing w:line="276" w:lineRule="auto"/>
      </w:pPr>
      <w:r w:rsidRPr="00793356">
        <w:t>Fines del Instituto Electoral</w:t>
      </w:r>
    </w:p>
    <w:p w14:paraId="0F332FB3" w14:textId="77777777" w:rsidR="006C3825" w:rsidRPr="00793356" w:rsidRDefault="00AB3AF3" w:rsidP="00677636">
      <w:pPr>
        <w:spacing w:after="240" w:line="276" w:lineRule="auto"/>
        <w:rPr>
          <w:rFonts w:ascii="Century Gothic" w:hAnsi="Century Gothic"/>
          <w:sz w:val="23"/>
          <w:szCs w:val="23"/>
        </w:rPr>
      </w:pPr>
      <w:r w:rsidRPr="00793356">
        <w:rPr>
          <w:rFonts w:ascii="Century Gothic" w:hAnsi="Century Gothic"/>
          <w:sz w:val="23"/>
          <w:szCs w:val="23"/>
        </w:rPr>
        <w:t>Que, los artículos 9, apartado C, fracción I, de la Constitución Local; 3 numeral 3, 100 y 102, de la Ley Electoral, establecen que, el Instituto Electoral es el organismo público local de carácter permanente, autónomo en su funcionamiento, independiente en sus decisiones y profesional en su desempeño, dotado de personalidad jurídica y patrimonio propios que se rige por los principios de certeza, legalidad, independencia, inclusión, imparcialidad, máxima publicidad, transparencia, rendición de cuentas, objetividad, paridad, interculturalidad, y las realizarán con perspectiva de género y enfoque de derechos humanos.</w:t>
      </w:r>
    </w:p>
    <w:p w14:paraId="39B99250" w14:textId="531AF684" w:rsidR="006C3825" w:rsidRPr="00793356" w:rsidRDefault="00AB3AF3" w:rsidP="00677636">
      <w:pPr>
        <w:spacing w:after="240" w:line="276" w:lineRule="auto"/>
        <w:rPr>
          <w:rFonts w:ascii="Century Gothic" w:hAnsi="Century Gothic"/>
          <w:sz w:val="23"/>
          <w:szCs w:val="23"/>
        </w:rPr>
      </w:pPr>
      <w:r w:rsidRPr="00793356">
        <w:rPr>
          <w:rFonts w:ascii="Century Gothic" w:hAnsi="Century Gothic"/>
          <w:sz w:val="23"/>
          <w:szCs w:val="23"/>
        </w:rPr>
        <w:t>Por su parte, el artículo 101, de la Ley Electoral, establece como finalidades del Instituto Electoral las siguientes: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1F2EC7F4" w14:textId="77777777" w:rsidR="006C3825" w:rsidRPr="00793356" w:rsidRDefault="00AB3AF3" w:rsidP="00677636">
      <w:pPr>
        <w:pStyle w:val="Ttulo2"/>
        <w:spacing w:line="276" w:lineRule="auto"/>
      </w:pPr>
      <w:r w:rsidRPr="00793356">
        <w:t>Órganos Centrales del Instituto Ele</w:t>
      </w:r>
      <w:r w:rsidR="006C3825" w:rsidRPr="00793356">
        <w:t>ctoral</w:t>
      </w:r>
    </w:p>
    <w:p w14:paraId="60B99AA7" w14:textId="77777777" w:rsidR="00AB3AF3" w:rsidRPr="00793356" w:rsidRDefault="00AB3AF3" w:rsidP="00677636">
      <w:pPr>
        <w:spacing w:after="240" w:line="276" w:lineRule="auto"/>
        <w:rPr>
          <w:rFonts w:ascii="Century Gothic" w:hAnsi="Century Gothic"/>
          <w:sz w:val="23"/>
          <w:szCs w:val="23"/>
        </w:rPr>
      </w:pPr>
      <w:r w:rsidRPr="00793356">
        <w:rPr>
          <w:rFonts w:ascii="Century Gothic" w:hAnsi="Century Gothic"/>
          <w:sz w:val="23"/>
          <w:szCs w:val="23"/>
        </w:rPr>
        <w:t>Que, el artículo 105, de la Ley Electoral, señala que, son órganos centrales del Instituto Electoral los siguientes: I. Consejo Estatal; II. Presidencia del Consejo Estatal; III. Junta Ejecutiva; IV. Secretaría Ejecutiva, y V. Órgano Técnico de Fiscalización.</w:t>
      </w:r>
    </w:p>
    <w:p w14:paraId="4B6EEFA7" w14:textId="77777777" w:rsidR="006C3825" w:rsidRPr="00793356" w:rsidRDefault="00AB3AF3" w:rsidP="00677636">
      <w:pPr>
        <w:pStyle w:val="Ttulo2"/>
        <w:spacing w:line="276" w:lineRule="auto"/>
      </w:pPr>
      <w:r w:rsidRPr="00793356">
        <w:t>Órgano Superior de Di</w:t>
      </w:r>
      <w:r w:rsidR="006C3825" w:rsidRPr="00793356">
        <w:t>rección del Instituto Electoral</w:t>
      </w:r>
    </w:p>
    <w:p w14:paraId="79ECC496" w14:textId="77777777" w:rsidR="006C3825" w:rsidRPr="00793356" w:rsidRDefault="00AB3AF3" w:rsidP="00677636">
      <w:pPr>
        <w:pStyle w:val="Prrafodelista"/>
        <w:spacing w:line="276" w:lineRule="auto"/>
        <w:ind w:left="510"/>
        <w:contextualSpacing w:val="0"/>
        <w:rPr>
          <w:rFonts w:ascii="Century Gothic" w:hAnsi="Century Gothic"/>
          <w:sz w:val="23"/>
          <w:szCs w:val="23"/>
        </w:rPr>
      </w:pPr>
      <w:r w:rsidRPr="00793356">
        <w:rPr>
          <w:rFonts w:ascii="Century Gothic" w:hAnsi="Century Gothic"/>
          <w:sz w:val="23"/>
          <w:szCs w:val="23"/>
        </w:rPr>
        <w:t xml:space="preserve">Que, de acuerdo con lo estipulado en el artículo 106, de la Ley Electoral, el Consejo Estatal es el Órgano Superior de Dirección, responsable de vigilar el </w:t>
      </w:r>
      <w:r w:rsidRPr="00793356">
        <w:rPr>
          <w:rFonts w:ascii="Century Gothic" w:hAnsi="Century Gothic"/>
          <w:sz w:val="23"/>
          <w:szCs w:val="23"/>
        </w:rPr>
        <w:lastRenderedPageBreak/>
        <w:t>cumplimiento de las disposiciones constitucionales y legales en materia electoral, así como de velar porque los principios de certeza, legalidad, independencia, máxima publicidad, imparcialidad, objetividad y paridad de género, guíen todas las actividades del Instituto Electoral.</w:t>
      </w:r>
    </w:p>
    <w:p w14:paraId="0B3EB66A" w14:textId="77777777" w:rsidR="006C3825" w:rsidRPr="00793356" w:rsidRDefault="00AB3AF3" w:rsidP="00677636">
      <w:pPr>
        <w:pStyle w:val="Ttulo2"/>
        <w:spacing w:line="276" w:lineRule="auto"/>
      </w:pPr>
      <w:r w:rsidRPr="00793356">
        <w:t>Integración d</w:t>
      </w:r>
      <w:r w:rsidR="006C3825" w:rsidRPr="00793356">
        <w:t>el Órgano de Dirección Superior</w:t>
      </w:r>
    </w:p>
    <w:p w14:paraId="7FE8C729" w14:textId="5758421C" w:rsidR="00AB3AF3" w:rsidRPr="00793356" w:rsidRDefault="00AB3AF3" w:rsidP="00677636">
      <w:pPr>
        <w:pStyle w:val="Prrafodelista"/>
        <w:spacing w:line="276" w:lineRule="auto"/>
        <w:ind w:left="510"/>
        <w:contextualSpacing w:val="0"/>
        <w:rPr>
          <w:rFonts w:ascii="Century Gothic" w:hAnsi="Century Gothic"/>
          <w:sz w:val="23"/>
          <w:szCs w:val="23"/>
        </w:rPr>
      </w:pPr>
      <w:r w:rsidRPr="00793356">
        <w:rPr>
          <w:rFonts w:ascii="Century Gothic" w:hAnsi="Century Gothic"/>
          <w:sz w:val="23"/>
          <w:szCs w:val="23"/>
        </w:rPr>
        <w:t>Que, de conformidad con los artículos 99, de la Ley General y 107, numeral 1, de la Ley Electoral,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202D7B1D" w14:textId="77777777" w:rsidR="007316CC" w:rsidRPr="00793356" w:rsidRDefault="007316CC" w:rsidP="00677636">
      <w:pPr>
        <w:pStyle w:val="Ttulo2"/>
        <w:spacing w:line="276" w:lineRule="auto"/>
      </w:pPr>
      <w:r w:rsidRPr="00793356">
        <w:t xml:space="preserve">Integración de la </w:t>
      </w:r>
      <w:r w:rsidR="00AB3AF3" w:rsidRPr="00793356">
        <w:t>Junta Ejecutiva</w:t>
      </w:r>
    </w:p>
    <w:p w14:paraId="0BD8CDE5" w14:textId="77777777" w:rsidR="006B684C" w:rsidRPr="00793356" w:rsidRDefault="00AB3AF3" w:rsidP="00677636">
      <w:pPr>
        <w:pStyle w:val="Prrafodelista"/>
        <w:spacing w:after="240" w:line="276" w:lineRule="auto"/>
        <w:ind w:left="510"/>
        <w:contextualSpacing w:val="0"/>
        <w:rPr>
          <w:rFonts w:ascii="Century Gothic" w:hAnsi="Century Gothic"/>
          <w:sz w:val="23"/>
          <w:szCs w:val="23"/>
        </w:rPr>
      </w:pPr>
      <w:r w:rsidRPr="00793356">
        <w:rPr>
          <w:rFonts w:ascii="Century Gothic" w:hAnsi="Century Gothic"/>
          <w:sz w:val="23"/>
          <w:szCs w:val="23"/>
        </w:rPr>
        <w:t>Que, el artículo 118, numeral 1, de la Ley Electoral, establece que la Junta Ejecutiva será presidida por la Presidencia del Consejo y se integrará con las personas titulares de la Secretaría Ejecutiva, las Direcciones de Organización Electoral y Educación Cívica, y, de Administración.</w:t>
      </w:r>
    </w:p>
    <w:p w14:paraId="175F932D" w14:textId="238A71B3" w:rsidR="006B684C" w:rsidRPr="00793356" w:rsidRDefault="00AB3AF3" w:rsidP="00677636">
      <w:pPr>
        <w:pStyle w:val="Prrafodelista"/>
        <w:spacing w:after="240" w:line="276" w:lineRule="auto"/>
        <w:ind w:left="510"/>
        <w:contextualSpacing w:val="0"/>
        <w:rPr>
          <w:rFonts w:ascii="Century Gothic" w:hAnsi="Century Gothic"/>
          <w:sz w:val="23"/>
          <w:szCs w:val="23"/>
        </w:rPr>
      </w:pPr>
      <w:r w:rsidRPr="00793356">
        <w:rPr>
          <w:rFonts w:ascii="Century Gothic" w:hAnsi="Century Gothic"/>
          <w:sz w:val="23"/>
          <w:szCs w:val="23"/>
        </w:rPr>
        <w:t>Asimismo, el numeral 2, del artículo mencionado establece que, las o los titulares del Órgano Técnico de Fiscalización y de la Contraloría General podrán participar en las sesiones de la Junta Ejecutiva, a convocatoria de la Presidencia del Consejo.</w:t>
      </w:r>
    </w:p>
    <w:p w14:paraId="489DD5AD" w14:textId="77777777" w:rsidR="006B684C" w:rsidRPr="00793356" w:rsidRDefault="00AB3AF3" w:rsidP="00677636">
      <w:pPr>
        <w:pStyle w:val="Ttulo2"/>
        <w:spacing w:line="276" w:lineRule="auto"/>
      </w:pPr>
      <w:r w:rsidRPr="00793356">
        <w:t>Atribuciones de la Junta Ejecutiva</w:t>
      </w:r>
    </w:p>
    <w:p w14:paraId="6A1B2DC1" w14:textId="2F3AA346" w:rsidR="00AB3AF3" w:rsidRPr="00793356" w:rsidRDefault="00AB3AF3" w:rsidP="00677636">
      <w:pPr>
        <w:pStyle w:val="Prrafodelista"/>
        <w:spacing w:after="240" w:line="276" w:lineRule="auto"/>
        <w:ind w:left="510"/>
        <w:contextualSpacing w:val="0"/>
        <w:rPr>
          <w:rFonts w:ascii="Century Gothic" w:hAnsi="Century Gothic"/>
          <w:sz w:val="23"/>
          <w:szCs w:val="23"/>
        </w:rPr>
      </w:pPr>
      <w:r w:rsidRPr="00793356">
        <w:rPr>
          <w:rFonts w:ascii="Century Gothic" w:hAnsi="Century Gothic"/>
          <w:sz w:val="23"/>
          <w:szCs w:val="23"/>
        </w:rPr>
        <w:t xml:space="preserve">Que, el numeral 1, del artículo 119, de la Ley Electoral, señala que, la Junta Ejecutiva se reunirá por lo </w:t>
      </w:r>
      <w:r w:rsidR="004B0D85" w:rsidRPr="00793356">
        <w:rPr>
          <w:rFonts w:ascii="Century Gothic" w:hAnsi="Century Gothic"/>
          <w:sz w:val="23"/>
          <w:szCs w:val="23"/>
        </w:rPr>
        <w:t xml:space="preserve">menos una vez al mes y ejercerá, entre otras </w:t>
      </w:r>
      <w:r w:rsidRPr="00793356">
        <w:rPr>
          <w:rFonts w:ascii="Century Gothic" w:hAnsi="Century Gothic"/>
          <w:sz w:val="23"/>
          <w:szCs w:val="23"/>
        </w:rPr>
        <w:t xml:space="preserve">atribuciones </w:t>
      </w:r>
      <w:r w:rsidR="004B0D85" w:rsidRPr="00793356">
        <w:rPr>
          <w:rFonts w:ascii="Century Gothic" w:hAnsi="Century Gothic"/>
          <w:sz w:val="23"/>
          <w:szCs w:val="23"/>
        </w:rPr>
        <w:t xml:space="preserve">las demás que le encomiende la Ley Electoral, el Consejo Estatal y la Presidencia del Consejo. </w:t>
      </w:r>
    </w:p>
    <w:p w14:paraId="35DBA612" w14:textId="7352E11E" w:rsidR="002B7A16" w:rsidRPr="00793356" w:rsidRDefault="003621C4" w:rsidP="00677636">
      <w:pPr>
        <w:spacing w:line="276" w:lineRule="auto"/>
        <w:rPr>
          <w:rFonts w:ascii="Century Gothic" w:hAnsi="Century Gothic"/>
          <w:sz w:val="23"/>
          <w:szCs w:val="23"/>
        </w:rPr>
      </w:pPr>
      <w:r w:rsidRPr="00793356">
        <w:rPr>
          <w:rFonts w:ascii="Century Gothic" w:hAnsi="Century Gothic"/>
          <w:sz w:val="23"/>
          <w:szCs w:val="23"/>
        </w:rPr>
        <w:t xml:space="preserve">Además, en términos del artículo 4, numerales 2 y 3 del Reglamento de Sesiones, la Junta Estatal, es el órgano encargado de velar por el buen desempeño y el funcionamiento administrativo del Instituto, así como de supervisar la administración de los recursos financieros, humanos y materiales </w:t>
      </w:r>
      <w:r w:rsidR="00ED603D" w:rsidRPr="00793356">
        <w:rPr>
          <w:rFonts w:ascii="Century Gothic" w:hAnsi="Century Gothic"/>
          <w:sz w:val="23"/>
          <w:szCs w:val="23"/>
        </w:rPr>
        <w:t>de este</w:t>
      </w:r>
      <w:r w:rsidRPr="00793356">
        <w:rPr>
          <w:rFonts w:ascii="Century Gothic" w:hAnsi="Century Gothic"/>
          <w:sz w:val="23"/>
          <w:szCs w:val="23"/>
        </w:rPr>
        <w:t>, teniendo las atribuciones asignadas y establecidas en la Ley Electoral, aquellas que le establezcan los acuerdos y las demás disposiciones que emita el Consejo Estatal.</w:t>
      </w:r>
    </w:p>
    <w:p w14:paraId="27FF416C" w14:textId="5F2B29DC" w:rsidR="00F42BBB" w:rsidRPr="00793356" w:rsidRDefault="00F42BBB" w:rsidP="00677636">
      <w:pPr>
        <w:pStyle w:val="Ttulo2"/>
        <w:spacing w:line="276" w:lineRule="auto"/>
      </w:pPr>
      <w:r w:rsidRPr="00793356">
        <w:lastRenderedPageBreak/>
        <w:t>Atribución del Instituto Electoral de aplicar reglas, lineamientos, criterios emitidos por el INE</w:t>
      </w:r>
    </w:p>
    <w:p w14:paraId="067D9CB6" w14:textId="77777777" w:rsidR="00F42BBB" w:rsidRPr="00793356" w:rsidRDefault="00F42BBB" w:rsidP="00677636">
      <w:pPr>
        <w:spacing w:line="276" w:lineRule="auto"/>
        <w:rPr>
          <w:rFonts w:ascii="Century Gothic" w:hAnsi="Century Gothic"/>
          <w:sz w:val="23"/>
          <w:szCs w:val="23"/>
        </w:rPr>
      </w:pPr>
      <w:r w:rsidRPr="00793356">
        <w:rPr>
          <w:rFonts w:ascii="Century Gothic" w:hAnsi="Century Gothic"/>
          <w:sz w:val="23"/>
          <w:szCs w:val="23"/>
        </w:rPr>
        <w:t>Que, el artículo 104, numeral 1, inciso a), de la Ley General, establece que corresponde a los organismos electorales la aplicación de las disposiciones generales, reglas, lineamientos, criterios y formatos que, determine el INE en ejercicio de las facultades que le confiere la Constitución Federal y dicha Ley.</w:t>
      </w:r>
    </w:p>
    <w:p w14:paraId="1BF1A8BE" w14:textId="77777777" w:rsidR="00F42BBB" w:rsidRPr="00793356" w:rsidRDefault="00F42BBB" w:rsidP="00677636">
      <w:pPr>
        <w:pStyle w:val="Ttulo2"/>
        <w:spacing w:line="276" w:lineRule="auto"/>
      </w:pPr>
      <w:r w:rsidRPr="00793356">
        <w:t>Servicio Profesional</w:t>
      </w:r>
    </w:p>
    <w:p w14:paraId="20E34476" w14:textId="77777777" w:rsidR="00F42BBB" w:rsidRPr="00793356" w:rsidRDefault="00F42BBB" w:rsidP="00AD6197">
      <w:pPr>
        <w:spacing w:after="240" w:line="276" w:lineRule="auto"/>
        <w:rPr>
          <w:rFonts w:ascii="Century Gothic" w:hAnsi="Century Gothic"/>
          <w:sz w:val="23"/>
          <w:szCs w:val="23"/>
        </w:rPr>
      </w:pPr>
      <w:r w:rsidRPr="00793356">
        <w:rPr>
          <w:rFonts w:ascii="Century Gothic" w:hAnsi="Century Gothic"/>
          <w:sz w:val="23"/>
          <w:szCs w:val="23"/>
        </w:rPr>
        <w:t xml:space="preserve">Que, como lo dispone el artículo 41, Base V, Apartado D de la Constitución Federal, el Servicio Profesional comprende la selección, ingreso, capacitación, profesionalización, promoción, evaluación, rotación, permanencia y disciplina, de los servidores públicos de los órganos ejecutivos y técnicos del INE y de los organismos electorales de las entidades federativas. </w:t>
      </w:r>
    </w:p>
    <w:p w14:paraId="28EE1438" w14:textId="5077C03E" w:rsidR="00315D50" w:rsidRPr="00793356" w:rsidRDefault="00F42BBB" w:rsidP="00677636">
      <w:pPr>
        <w:spacing w:line="276" w:lineRule="auto"/>
        <w:rPr>
          <w:rFonts w:ascii="Century Gothic" w:hAnsi="Century Gothic"/>
          <w:sz w:val="23"/>
          <w:szCs w:val="23"/>
        </w:rPr>
      </w:pPr>
      <w:r w:rsidRPr="00793356">
        <w:rPr>
          <w:rFonts w:ascii="Century Gothic" w:hAnsi="Century Gothic"/>
          <w:sz w:val="23"/>
          <w:szCs w:val="23"/>
        </w:rPr>
        <w:t>En el caso de la entidad, los artículos 160 y 161 de la Ley Electoral, establecen que, para asegurar el desempeño profesional de las actividades del Instituto Electoral, el INE regulará la organización y funcionamiento del Servicio Profesional, de conformidad con lo establecido por el numeral 41 de la Constitución Federal;  que además, la organización del servicio será regulada por las normas establecidas por la Ley General y por las del Estatuto que apruebe el Consejo  General, en lo relativo al sistema correspondiente a los organismos electorales.</w:t>
      </w:r>
    </w:p>
    <w:p w14:paraId="52116016" w14:textId="77777777" w:rsidR="00F42BBB" w:rsidRPr="00793356" w:rsidRDefault="00F42BBB" w:rsidP="00677636">
      <w:pPr>
        <w:pStyle w:val="Ttulo2"/>
        <w:spacing w:line="276" w:lineRule="auto"/>
      </w:pPr>
      <w:r w:rsidRPr="00793356">
        <w:t>Facultad del INE para regular el Servicio Profesional</w:t>
      </w:r>
    </w:p>
    <w:p w14:paraId="7F9FFD49" w14:textId="77777777" w:rsidR="00F42BBB" w:rsidRPr="00793356" w:rsidRDefault="00F42BBB" w:rsidP="00677636">
      <w:pPr>
        <w:spacing w:line="276" w:lineRule="auto"/>
        <w:rPr>
          <w:rFonts w:ascii="Century Gothic" w:hAnsi="Century Gothic"/>
          <w:sz w:val="23"/>
          <w:szCs w:val="23"/>
        </w:rPr>
      </w:pPr>
      <w:r w:rsidRPr="00793356">
        <w:rPr>
          <w:rFonts w:ascii="Century Gothic" w:hAnsi="Century Gothic"/>
          <w:sz w:val="23"/>
          <w:szCs w:val="23"/>
        </w:rPr>
        <w:t>Que de conformidad con lo dispuesto por el artículo 41, párrafo segundo, Base V, Apartado D, párrafos primero y segundo, de la Constitución Federal, corresponde al INE regular la organización y funcionamiento del Servicio Profesional, y que comprende la selección, ingreso, capacitación, profesionalización, promoción, evaluación, rotación, permanencia y disciplina, de los servidores públicos de los órganos ejecutivos y técnicos del Instituto y de los organismos electorales de las entidades federativas.</w:t>
      </w:r>
    </w:p>
    <w:p w14:paraId="37C4DCCB" w14:textId="77777777" w:rsidR="00F42BBB" w:rsidRPr="00793356" w:rsidRDefault="00F42BBB" w:rsidP="00677636">
      <w:pPr>
        <w:pStyle w:val="Ttulo2"/>
        <w:spacing w:line="276" w:lineRule="auto"/>
      </w:pPr>
      <w:r w:rsidRPr="00793356">
        <w:t>Integración, organización y funcionamiento del Servicio Profesional</w:t>
      </w:r>
    </w:p>
    <w:p w14:paraId="16573A94" w14:textId="1608F944" w:rsidR="00F42BBB" w:rsidRPr="00793356" w:rsidRDefault="00F42BBB" w:rsidP="00677636">
      <w:pPr>
        <w:spacing w:line="276" w:lineRule="auto"/>
        <w:rPr>
          <w:rFonts w:ascii="Century Gothic" w:hAnsi="Century Gothic"/>
          <w:sz w:val="23"/>
          <w:szCs w:val="23"/>
        </w:rPr>
      </w:pPr>
      <w:r w:rsidRPr="00793356">
        <w:rPr>
          <w:rFonts w:ascii="Century Gothic" w:hAnsi="Century Gothic"/>
          <w:sz w:val="23"/>
          <w:szCs w:val="23"/>
        </w:rPr>
        <w:t xml:space="preserve">Que, conforme a lo dispuesto por el artículo 202, numerales 1 y 2 de la Ley General, el Servicio Profesional contará con dos sistemas: uno para el INE y otro para los organismos electorales, los cuales estarán integrados por las y los servidores públicos de sus órganos ejecutivos y técnicos; además, para su </w:t>
      </w:r>
      <w:r w:rsidRPr="00793356">
        <w:rPr>
          <w:rFonts w:ascii="Century Gothic" w:hAnsi="Century Gothic"/>
          <w:sz w:val="23"/>
          <w:szCs w:val="23"/>
        </w:rPr>
        <w:lastRenderedPageBreak/>
        <w:t>adecuado funcionamiento, el INE regulará la organización y aplicará los distintos mecanismos del servicio de conformidad con lo dispuesto en el apartado D, de la Base V, del artículo 41, de la Constitución Federal.</w:t>
      </w:r>
    </w:p>
    <w:p w14:paraId="2B6F09A6" w14:textId="77777777" w:rsidR="00F42BBB" w:rsidRPr="00793356" w:rsidRDefault="00F42BBB" w:rsidP="00677636">
      <w:pPr>
        <w:pStyle w:val="Ttulo2"/>
        <w:spacing w:line="276" w:lineRule="auto"/>
      </w:pPr>
      <w:r w:rsidRPr="00793356">
        <w:t xml:space="preserve">Servicio Profesional del Sistema de Organismos Electorales </w:t>
      </w:r>
    </w:p>
    <w:p w14:paraId="5DD1DC86" w14:textId="111ED129" w:rsidR="00F42BBB" w:rsidRPr="00793356" w:rsidRDefault="00F42BBB" w:rsidP="00677636">
      <w:pPr>
        <w:spacing w:line="276" w:lineRule="auto"/>
        <w:rPr>
          <w:rFonts w:ascii="Century Gothic" w:hAnsi="Century Gothic"/>
          <w:sz w:val="23"/>
          <w:szCs w:val="23"/>
        </w:rPr>
      </w:pPr>
      <w:r w:rsidRPr="00793356">
        <w:rPr>
          <w:rFonts w:ascii="Century Gothic" w:hAnsi="Century Gothic"/>
          <w:sz w:val="23"/>
          <w:szCs w:val="23"/>
        </w:rPr>
        <w:t>Que, el artículo 30, numeral 3, de la Ley General, prevé entre otras cosas que, para el desempeño de sus actividades, los organismos electorales contarán con un cuerpo de servidores públicos en sus órganos ejecutivos y técnicos, integrados en un Servicio Profesional que se regirá por el Estatuto que al efecto apruebe el Consejo General. Asimismo, a través del Servicio Profesional, los organismos electorales contendrán los respectivos mecanismos de selección, ingreso, capacitación, profesionalización, promoción, evaluación, rotación, permanencia y disciplina, así como el catálogo general de los cargos y puestos del personal ejecutivo y técnico, correspondiendo su regulación, organización, funcionamiento y rectoría al INE.</w:t>
      </w:r>
    </w:p>
    <w:p w14:paraId="664AD10F" w14:textId="7837D799" w:rsidR="00E1691A" w:rsidRPr="00793356" w:rsidRDefault="000550E1" w:rsidP="00677636">
      <w:pPr>
        <w:pStyle w:val="Ttulo2"/>
        <w:spacing w:line="276" w:lineRule="auto"/>
      </w:pPr>
      <w:r w:rsidRPr="00793356">
        <w:t>Encargaduría</w:t>
      </w:r>
      <w:r w:rsidR="00E1691A" w:rsidRPr="00793356">
        <w:t xml:space="preserve"> de despacho</w:t>
      </w:r>
    </w:p>
    <w:p w14:paraId="44115E73" w14:textId="2719A49A" w:rsidR="004F2F5B" w:rsidRPr="00793356" w:rsidRDefault="004F2F5B" w:rsidP="00677636">
      <w:pPr>
        <w:spacing w:line="276" w:lineRule="auto"/>
        <w:rPr>
          <w:rFonts w:ascii="Century Gothic" w:hAnsi="Century Gothic"/>
          <w:sz w:val="23"/>
          <w:szCs w:val="23"/>
        </w:rPr>
      </w:pPr>
      <w:r w:rsidRPr="00793356">
        <w:rPr>
          <w:rFonts w:ascii="Century Gothic" w:hAnsi="Century Gothic"/>
          <w:sz w:val="23"/>
          <w:szCs w:val="23"/>
        </w:rPr>
        <w:t>Que, de conformidad con el artículo 7 de los Lineamientos, la designación de encargos de despacho procederá cuando exista un cargo o puesto vacante en el Servicio que requiera ser ocupado de manera inmediata, o bien la persona del servicio se encuentre en los siguientes supuestos: I). Cuente con licencia, licencia médica o se le haya autorizado Disponibilidad, II). Esté suspendida con motivo de una medida precautoria o de una sanción, III). Ocupe un encargo de despacho en otro cargo o puesto del Servicio, y IV). Ocupe un encargo o comisión para atender las funciones inherentes a un cargo de la Rama Administrativa o para actividades específicas del organismo público electoral.</w:t>
      </w:r>
    </w:p>
    <w:p w14:paraId="178E0C6D" w14:textId="60B372DF" w:rsidR="00C7455E" w:rsidRPr="00793356" w:rsidRDefault="005F67A3" w:rsidP="00677636">
      <w:pPr>
        <w:pStyle w:val="Ttulo2"/>
        <w:spacing w:line="276" w:lineRule="auto"/>
      </w:pPr>
      <w:r w:rsidRPr="00793356">
        <w:t>Requisitos preliminares para la</w:t>
      </w:r>
      <w:r w:rsidR="00C7455E" w:rsidRPr="00793356">
        <w:t xml:space="preserve"> designación de personas encargadas de despacho</w:t>
      </w:r>
    </w:p>
    <w:p w14:paraId="43372F66" w14:textId="2A54BE2A" w:rsidR="00366549" w:rsidRPr="00793356" w:rsidRDefault="00366549" w:rsidP="00677636">
      <w:pPr>
        <w:spacing w:after="240" w:line="276" w:lineRule="auto"/>
        <w:rPr>
          <w:rFonts w:ascii="Century Gothic" w:hAnsi="Century Gothic"/>
          <w:sz w:val="23"/>
          <w:szCs w:val="23"/>
        </w:rPr>
      </w:pPr>
      <w:r w:rsidRPr="00793356">
        <w:rPr>
          <w:rFonts w:ascii="Century Gothic" w:hAnsi="Century Gothic"/>
          <w:sz w:val="23"/>
          <w:szCs w:val="23"/>
        </w:rPr>
        <w:t>Que, de acuerdo con el artículo 8 de los Lineamientos, l</w:t>
      </w:r>
      <w:r w:rsidR="004F2F5B" w:rsidRPr="00793356">
        <w:rPr>
          <w:rFonts w:ascii="Century Gothic" w:hAnsi="Century Gothic"/>
          <w:sz w:val="23"/>
          <w:szCs w:val="23"/>
        </w:rPr>
        <w:t>a propuesta de designación de un encargo de despacho recaerá</w:t>
      </w:r>
      <w:r w:rsidRPr="00793356">
        <w:rPr>
          <w:rFonts w:ascii="Century Gothic" w:hAnsi="Century Gothic"/>
          <w:sz w:val="23"/>
          <w:szCs w:val="23"/>
        </w:rPr>
        <w:t xml:space="preserve"> </w:t>
      </w:r>
      <w:r w:rsidR="004F2F5B" w:rsidRPr="00793356">
        <w:rPr>
          <w:rFonts w:ascii="Century Gothic" w:hAnsi="Century Gothic"/>
          <w:sz w:val="23"/>
          <w:szCs w:val="23"/>
        </w:rPr>
        <w:t xml:space="preserve">preferentemente en personal del </w:t>
      </w:r>
      <w:r w:rsidRPr="00793356">
        <w:rPr>
          <w:rFonts w:ascii="Century Gothic" w:hAnsi="Century Gothic"/>
          <w:sz w:val="23"/>
          <w:szCs w:val="23"/>
        </w:rPr>
        <w:t xml:space="preserve">organismo público electoral </w:t>
      </w:r>
      <w:r w:rsidR="004F2F5B" w:rsidRPr="00793356">
        <w:rPr>
          <w:rFonts w:ascii="Century Gothic" w:hAnsi="Century Gothic"/>
          <w:sz w:val="23"/>
          <w:szCs w:val="23"/>
        </w:rPr>
        <w:t xml:space="preserve">que ocupe </w:t>
      </w:r>
      <w:r w:rsidRPr="00793356">
        <w:rPr>
          <w:rFonts w:ascii="Century Gothic" w:hAnsi="Century Gothic"/>
          <w:sz w:val="23"/>
          <w:szCs w:val="23"/>
        </w:rPr>
        <w:t xml:space="preserve">cargos o puestos inmediatos </w:t>
      </w:r>
      <w:r w:rsidR="004F2F5B" w:rsidRPr="00793356">
        <w:rPr>
          <w:rFonts w:ascii="Century Gothic" w:hAnsi="Century Gothic"/>
          <w:sz w:val="23"/>
          <w:szCs w:val="23"/>
        </w:rPr>
        <w:t>inferiores a la plaza que pretenda ser ocupada por esa vía</w:t>
      </w:r>
      <w:r w:rsidRPr="00793356">
        <w:rPr>
          <w:rFonts w:ascii="Century Gothic" w:hAnsi="Century Gothic"/>
          <w:sz w:val="23"/>
          <w:szCs w:val="23"/>
        </w:rPr>
        <w:t>.</w:t>
      </w:r>
    </w:p>
    <w:p w14:paraId="1751750A" w14:textId="43D514BC" w:rsidR="00623BAB" w:rsidRPr="00793356" w:rsidRDefault="00623BAB" w:rsidP="00677636">
      <w:pPr>
        <w:spacing w:after="240" w:line="276" w:lineRule="auto"/>
        <w:rPr>
          <w:rFonts w:ascii="Century Gothic" w:hAnsi="Century Gothic"/>
          <w:sz w:val="23"/>
          <w:szCs w:val="23"/>
        </w:rPr>
      </w:pPr>
      <w:r w:rsidRPr="00793356">
        <w:rPr>
          <w:rFonts w:ascii="Century Gothic" w:hAnsi="Century Gothic"/>
          <w:sz w:val="23"/>
          <w:szCs w:val="23"/>
        </w:rPr>
        <w:t xml:space="preserve">Asimismo, en términos del artículo 9 de los Lineamientos, para la designación de encargos de despacho deberá observarse el siguiente </w:t>
      </w:r>
      <w:r w:rsidR="009E1FC2" w:rsidRPr="00793356">
        <w:rPr>
          <w:rFonts w:ascii="Century Gothic" w:hAnsi="Century Gothic"/>
          <w:sz w:val="23"/>
          <w:szCs w:val="23"/>
        </w:rPr>
        <w:t xml:space="preserve">orden de prelación: </w:t>
      </w:r>
      <w:r w:rsidR="009E1FC2" w:rsidRPr="00793356">
        <w:rPr>
          <w:rFonts w:ascii="Century Gothic" w:hAnsi="Century Gothic"/>
          <w:sz w:val="23"/>
          <w:szCs w:val="23"/>
        </w:rPr>
        <w:lastRenderedPageBreak/>
        <w:t>a) personal del servicio; b) personal de la rama administrativa, y c) de manera excepcional, se podrá considerar a las personas prestadoras de servicios.</w:t>
      </w:r>
    </w:p>
    <w:p w14:paraId="518BC855" w14:textId="5608ABD1" w:rsidR="001517DA" w:rsidRPr="00793356" w:rsidRDefault="001517DA" w:rsidP="00677636">
      <w:pPr>
        <w:pStyle w:val="Ttulo2"/>
        <w:spacing w:line="276" w:lineRule="auto"/>
      </w:pPr>
      <w:r w:rsidRPr="00793356">
        <w:t>Requisitos que deben reunir las personas propuestas</w:t>
      </w:r>
    </w:p>
    <w:p w14:paraId="0411F3F5" w14:textId="0A0C745C" w:rsidR="001517DA" w:rsidRPr="00793356" w:rsidRDefault="001517DA" w:rsidP="00677636">
      <w:pPr>
        <w:spacing w:after="240" w:line="276" w:lineRule="auto"/>
        <w:rPr>
          <w:rFonts w:ascii="Century Gothic" w:hAnsi="Century Gothic"/>
          <w:sz w:val="23"/>
          <w:szCs w:val="23"/>
        </w:rPr>
      </w:pPr>
      <w:r w:rsidRPr="00793356">
        <w:rPr>
          <w:rFonts w:ascii="Century Gothic" w:hAnsi="Century Gothic"/>
          <w:sz w:val="23"/>
          <w:szCs w:val="23"/>
        </w:rPr>
        <w:t>Que, el artículo 11 de los Lineamientos, refiere que, en el supuesto de que el encargo de despacho recaiga en personal del servicio o de la rama administrativa, el área solicitante solamente deberá acreditar que cuenta con credencial para votar vigente y cumple con los requisitos del perfil del cargo o puesto materia del encargo.</w:t>
      </w:r>
    </w:p>
    <w:p w14:paraId="13F3EED6" w14:textId="152193A6" w:rsidR="001517DA" w:rsidRPr="00793356" w:rsidRDefault="001517DA" w:rsidP="00677636">
      <w:pPr>
        <w:spacing w:after="240" w:line="276" w:lineRule="auto"/>
        <w:rPr>
          <w:rFonts w:ascii="Century Gothic" w:hAnsi="Century Gothic"/>
          <w:sz w:val="23"/>
          <w:szCs w:val="23"/>
        </w:rPr>
      </w:pPr>
      <w:r w:rsidRPr="00793356">
        <w:rPr>
          <w:rFonts w:ascii="Century Gothic" w:hAnsi="Century Gothic"/>
          <w:sz w:val="23"/>
          <w:szCs w:val="23"/>
        </w:rPr>
        <w:t>En el caso de que se proponga para un encargo a personas prestadoras de servicios deberán acreditar lo siguiente:</w:t>
      </w:r>
    </w:p>
    <w:p w14:paraId="767BBADA" w14:textId="04DEEAF6" w:rsidR="001517DA" w:rsidRPr="00793356" w:rsidRDefault="001517DA" w:rsidP="00677636">
      <w:pPr>
        <w:pStyle w:val="Cita"/>
        <w:spacing w:line="276" w:lineRule="auto"/>
        <w:rPr>
          <w:sz w:val="23"/>
        </w:rPr>
      </w:pPr>
      <w:r w:rsidRPr="00793356">
        <w:rPr>
          <w:sz w:val="23"/>
        </w:rPr>
        <w:t>“I. Tener la ciudadanía mexicana y estar en pleno goce y ejercicio de sus derechos políticos y civiles;</w:t>
      </w:r>
    </w:p>
    <w:p w14:paraId="675E45DE" w14:textId="6AEBD12C" w:rsidR="001517DA" w:rsidRPr="00793356" w:rsidRDefault="001517DA" w:rsidP="00677636">
      <w:pPr>
        <w:pStyle w:val="Cita"/>
        <w:spacing w:line="276" w:lineRule="auto"/>
        <w:rPr>
          <w:sz w:val="23"/>
        </w:rPr>
      </w:pPr>
      <w:r w:rsidRPr="00793356">
        <w:rPr>
          <w:sz w:val="23"/>
        </w:rPr>
        <w:t>II. Estar inscrita en el Registro Federal de Electores y contar con credencial para votar vigente;</w:t>
      </w:r>
    </w:p>
    <w:p w14:paraId="26AB5195" w14:textId="77777777" w:rsidR="001517DA" w:rsidRPr="00793356" w:rsidRDefault="001517DA" w:rsidP="00677636">
      <w:pPr>
        <w:pStyle w:val="Cita"/>
        <w:spacing w:line="276" w:lineRule="auto"/>
        <w:rPr>
          <w:sz w:val="23"/>
        </w:rPr>
      </w:pPr>
      <w:r w:rsidRPr="00793356">
        <w:rPr>
          <w:sz w:val="23"/>
        </w:rPr>
        <w:t>III. No ser militante de algún partido político;</w:t>
      </w:r>
    </w:p>
    <w:p w14:paraId="72B55344" w14:textId="3B0A8C58" w:rsidR="001517DA" w:rsidRPr="00793356" w:rsidRDefault="001517DA" w:rsidP="00677636">
      <w:pPr>
        <w:pStyle w:val="Cita"/>
        <w:spacing w:line="276" w:lineRule="auto"/>
        <w:rPr>
          <w:sz w:val="23"/>
        </w:rPr>
      </w:pPr>
      <w:r w:rsidRPr="00793356">
        <w:rPr>
          <w:sz w:val="23"/>
        </w:rPr>
        <w:t>IV. No haber sido registrada por un partido político a cargo alguno de elección popular en los últimos tres años anteriores a la designación;</w:t>
      </w:r>
    </w:p>
    <w:p w14:paraId="12708208" w14:textId="63919469" w:rsidR="001517DA" w:rsidRPr="00793356" w:rsidRDefault="001517DA" w:rsidP="00677636">
      <w:pPr>
        <w:pStyle w:val="Cita"/>
        <w:spacing w:line="276" w:lineRule="auto"/>
        <w:rPr>
          <w:sz w:val="23"/>
        </w:rPr>
      </w:pPr>
      <w:r w:rsidRPr="00793356">
        <w:rPr>
          <w:sz w:val="23"/>
        </w:rPr>
        <w:t>V. No ser o haber sido integrante de la dirigencia nacional, estatal o municipal de algún partido político en los tres años inmediatos anteriores a la designación;</w:t>
      </w:r>
    </w:p>
    <w:p w14:paraId="094B4DE1" w14:textId="392DF823" w:rsidR="001517DA" w:rsidRPr="00793356" w:rsidRDefault="001517DA" w:rsidP="00677636">
      <w:pPr>
        <w:pStyle w:val="Cita"/>
        <w:spacing w:line="276" w:lineRule="auto"/>
        <w:rPr>
          <w:sz w:val="23"/>
        </w:rPr>
      </w:pPr>
      <w:r w:rsidRPr="00793356">
        <w:rPr>
          <w:sz w:val="23"/>
        </w:rPr>
        <w:t>VI. No estar inhabilitada para ocupar cargo o puesto público federal, local o municipal, y</w:t>
      </w:r>
    </w:p>
    <w:p w14:paraId="25B4545C" w14:textId="29086013" w:rsidR="001517DA" w:rsidRPr="00793356" w:rsidRDefault="001517DA" w:rsidP="00677636">
      <w:pPr>
        <w:pStyle w:val="Cita"/>
        <w:spacing w:line="276" w:lineRule="auto"/>
        <w:rPr>
          <w:sz w:val="23"/>
        </w:rPr>
      </w:pPr>
      <w:r w:rsidRPr="00793356">
        <w:rPr>
          <w:sz w:val="23"/>
        </w:rPr>
        <w:t>VII. No haber sido condenada por delito alguno, salvo que hubiese sido de carácter culposo.”</w:t>
      </w:r>
    </w:p>
    <w:p w14:paraId="311DA4AD" w14:textId="77777777" w:rsidR="007B43A6" w:rsidRPr="00793356" w:rsidRDefault="001517DA" w:rsidP="00677636">
      <w:pPr>
        <w:pStyle w:val="Ttulo2"/>
        <w:spacing w:line="276" w:lineRule="auto"/>
      </w:pPr>
      <w:r w:rsidRPr="00793356">
        <w:t>Procedimiento para gestionar las soli</w:t>
      </w:r>
      <w:r w:rsidR="007B43A6" w:rsidRPr="00793356">
        <w:t>citudes de encargos de despacho</w:t>
      </w:r>
    </w:p>
    <w:p w14:paraId="00026BCE" w14:textId="6DC2C943" w:rsidR="007B43A6" w:rsidRPr="00793356" w:rsidRDefault="007B43A6" w:rsidP="00677636">
      <w:pPr>
        <w:spacing w:after="240" w:line="276" w:lineRule="auto"/>
        <w:rPr>
          <w:rFonts w:ascii="Century Gothic" w:hAnsi="Century Gothic"/>
          <w:sz w:val="23"/>
          <w:szCs w:val="23"/>
        </w:rPr>
      </w:pPr>
      <w:r w:rsidRPr="00793356">
        <w:rPr>
          <w:rFonts w:ascii="Century Gothic" w:hAnsi="Century Gothic"/>
          <w:sz w:val="23"/>
          <w:szCs w:val="23"/>
        </w:rPr>
        <w:t xml:space="preserve">Que, conforme al artículo 12 de los Lineamientos, las personas titulares de las áreas ejecutivas y técnicas del organismo público electoral, deberán solicitar, por oficio a la persona titular de la Secretaría Ejecutiva, la ocupación de </w:t>
      </w:r>
      <w:r w:rsidRPr="00793356">
        <w:rPr>
          <w:rFonts w:ascii="Century Gothic" w:hAnsi="Century Gothic"/>
          <w:sz w:val="23"/>
          <w:szCs w:val="23"/>
        </w:rPr>
        <w:lastRenderedPageBreak/>
        <w:t>cargos y puestos a través de un encargo de despacho, acreditando el cumplimiento de los requisitos previstos en el artículo 11 de los Lineamientos según corresponda.</w:t>
      </w:r>
    </w:p>
    <w:p w14:paraId="48553ADE" w14:textId="4A0792C2" w:rsidR="00DA0892" w:rsidRPr="00793356" w:rsidRDefault="009F0975" w:rsidP="00677636">
      <w:pPr>
        <w:spacing w:after="240" w:line="276" w:lineRule="auto"/>
        <w:rPr>
          <w:rFonts w:ascii="Century Gothic" w:hAnsi="Century Gothic"/>
          <w:sz w:val="23"/>
          <w:szCs w:val="23"/>
        </w:rPr>
      </w:pPr>
      <w:r w:rsidRPr="00793356">
        <w:rPr>
          <w:rFonts w:ascii="Century Gothic" w:hAnsi="Century Gothic"/>
          <w:sz w:val="23"/>
          <w:szCs w:val="23"/>
        </w:rPr>
        <w:t>Para ello, el oficio de solicitud deberá contener la siguiente información: I). denominación del cargo o puesto, II). adscripción que habrá de ocupar la persona propuesta, III). fecha a partir de la cual se requiere la designación, IV). justificación que acredite la necesidad de la urgente ocupación del cargo o pu</w:t>
      </w:r>
      <w:r w:rsidR="00DA0892" w:rsidRPr="00793356">
        <w:rPr>
          <w:rFonts w:ascii="Century Gothic" w:hAnsi="Century Gothic"/>
          <w:sz w:val="23"/>
          <w:szCs w:val="23"/>
        </w:rPr>
        <w:t>esto, y V). En su caso, la justificación cuando no se observe el orden de prelación previsto en los Lineamientos.</w:t>
      </w:r>
    </w:p>
    <w:p w14:paraId="64AFFB62" w14:textId="065F498E" w:rsidR="00664D9C" w:rsidRPr="00793356" w:rsidRDefault="006F2DB3" w:rsidP="00677636">
      <w:pPr>
        <w:spacing w:after="240" w:line="276" w:lineRule="auto"/>
        <w:rPr>
          <w:rFonts w:ascii="Century Gothic" w:hAnsi="Century Gothic"/>
          <w:sz w:val="23"/>
          <w:szCs w:val="23"/>
        </w:rPr>
      </w:pPr>
      <w:r w:rsidRPr="00793356">
        <w:rPr>
          <w:rFonts w:ascii="Century Gothic" w:hAnsi="Century Gothic"/>
          <w:sz w:val="23"/>
          <w:szCs w:val="23"/>
        </w:rPr>
        <w:t>Las solicitudes deberán remitirse a la Dirección Ejecutiva del Servicio Profesional Electoral Nacional en un plazo mínimo de siete días hábiles previos, a la fecha en que surtirá efectos la designación, por lo que no se gestionarán aquellas que se encuentren fuera de este plazo, salvo casos excepcionales donde se acredite la urgencia de la ocupación.</w:t>
      </w:r>
    </w:p>
    <w:p w14:paraId="1F235012" w14:textId="4ED904A3" w:rsidR="006F2DB3" w:rsidRPr="00793356" w:rsidRDefault="006F2DB3" w:rsidP="00677636">
      <w:pPr>
        <w:spacing w:after="240" w:line="276" w:lineRule="auto"/>
        <w:rPr>
          <w:rFonts w:ascii="Century Gothic" w:hAnsi="Century Gothic"/>
          <w:sz w:val="23"/>
          <w:szCs w:val="23"/>
        </w:rPr>
      </w:pPr>
      <w:r w:rsidRPr="00793356">
        <w:rPr>
          <w:rFonts w:ascii="Century Gothic" w:hAnsi="Century Gothic"/>
          <w:sz w:val="23"/>
          <w:szCs w:val="23"/>
        </w:rPr>
        <w:t>Por su parte, el artículo 13 de los Lineamientos, señala que, la persona titular de la Secretaría Ejecutiva instruirá al Órgano de Enlace gestionar la desi</w:t>
      </w:r>
      <w:r w:rsidR="00E64FB3" w:rsidRPr="00793356">
        <w:rPr>
          <w:rFonts w:ascii="Century Gothic" w:hAnsi="Century Gothic"/>
          <w:sz w:val="23"/>
          <w:szCs w:val="23"/>
        </w:rPr>
        <w:t>gnación de encargos de despacho</w:t>
      </w:r>
      <w:r w:rsidRPr="00793356">
        <w:rPr>
          <w:rFonts w:ascii="Century Gothic" w:hAnsi="Century Gothic"/>
          <w:sz w:val="23"/>
          <w:szCs w:val="23"/>
        </w:rPr>
        <w:t xml:space="preserve"> </w:t>
      </w:r>
      <w:r w:rsidR="00E64FB3" w:rsidRPr="00793356">
        <w:rPr>
          <w:rFonts w:ascii="Century Gothic" w:hAnsi="Century Gothic"/>
          <w:sz w:val="23"/>
          <w:szCs w:val="23"/>
        </w:rPr>
        <w:t>quien,</w:t>
      </w:r>
      <w:r w:rsidRPr="00793356">
        <w:rPr>
          <w:rFonts w:ascii="Century Gothic" w:hAnsi="Century Gothic"/>
          <w:sz w:val="23"/>
          <w:szCs w:val="23"/>
        </w:rPr>
        <w:t xml:space="preserve"> verificará en un plazo de hasta cinco días hábiles, contados a</w:t>
      </w:r>
      <w:r w:rsidR="00E64FB3" w:rsidRPr="00793356">
        <w:rPr>
          <w:rFonts w:ascii="Century Gothic" w:hAnsi="Century Gothic"/>
          <w:sz w:val="23"/>
          <w:szCs w:val="23"/>
        </w:rPr>
        <w:t xml:space="preserve"> </w:t>
      </w:r>
      <w:r w:rsidRPr="00793356">
        <w:rPr>
          <w:rFonts w:ascii="Century Gothic" w:hAnsi="Century Gothic"/>
          <w:sz w:val="23"/>
          <w:szCs w:val="23"/>
        </w:rPr>
        <w:t>partir del día siguiente a la recepción de la solicitud, el cumplimiento de los requisitos</w:t>
      </w:r>
      <w:r w:rsidR="00E64FB3" w:rsidRPr="00793356">
        <w:rPr>
          <w:rFonts w:ascii="Century Gothic" w:hAnsi="Century Gothic"/>
          <w:sz w:val="23"/>
          <w:szCs w:val="23"/>
        </w:rPr>
        <w:t xml:space="preserve"> </w:t>
      </w:r>
      <w:r w:rsidRPr="00793356">
        <w:rPr>
          <w:rFonts w:ascii="Century Gothic" w:hAnsi="Century Gothic"/>
          <w:sz w:val="23"/>
          <w:szCs w:val="23"/>
        </w:rPr>
        <w:t>establecidos en el Estatuto, el Catálogo del Servicio y los Lineamientos.</w:t>
      </w:r>
    </w:p>
    <w:p w14:paraId="67B737F4" w14:textId="7BE92122" w:rsidR="006F2DB3" w:rsidRPr="00793356" w:rsidRDefault="006F2DB3" w:rsidP="00677636">
      <w:pPr>
        <w:spacing w:after="240" w:line="276" w:lineRule="auto"/>
        <w:rPr>
          <w:rFonts w:ascii="Century Gothic" w:hAnsi="Century Gothic"/>
          <w:sz w:val="23"/>
          <w:szCs w:val="23"/>
        </w:rPr>
      </w:pPr>
      <w:r w:rsidRPr="00793356">
        <w:rPr>
          <w:rFonts w:ascii="Century Gothic" w:hAnsi="Century Gothic"/>
          <w:sz w:val="23"/>
          <w:szCs w:val="23"/>
        </w:rPr>
        <w:t>De no recibir la documentación completa que acredite el cumplimiento de requisitos,</w:t>
      </w:r>
      <w:r w:rsidR="00E64FB3" w:rsidRPr="00793356">
        <w:rPr>
          <w:rFonts w:ascii="Century Gothic" w:hAnsi="Century Gothic"/>
          <w:sz w:val="23"/>
          <w:szCs w:val="23"/>
        </w:rPr>
        <w:t xml:space="preserve"> </w:t>
      </w:r>
      <w:r w:rsidRPr="00793356">
        <w:rPr>
          <w:rFonts w:ascii="Century Gothic" w:hAnsi="Century Gothic"/>
          <w:sz w:val="23"/>
          <w:szCs w:val="23"/>
        </w:rPr>
        <w:t>el Órgano de Enlace requerirá la documentación faltante, y una vez recibida, iniciará</w:t>
      </w:r>
      <w:r w:rsidR="00E64FB3" w:rsidRPr="00793356">
        <w:rPr>
          <w:rFonts w:ascii="Century Gothic" w:hAnsi="Century Gothic"/>
          <w:sz w:val="23"/>
          <w:szCs w:val="23"/>
        </w:rPr>
        <w:t xml:space="preserve"> </w:t>
      </w:r>
      <w:r w:rsidRPr="00793356">
        <w:rPr>
          <w:rFonts w:ascii="Century Gothic" w:hAnsi="Century Gothic"/>
          <w:sz w:val="23"/>
          <w:szCs w:val="23"/>
        </w:rPr>
        <w:t>nuevamente el cómputo del plazo señalado en el párrafo anterior.</w:t>
      </w:r>
    </w:p>
    <w:p w14:paraId="35A22D0D" w14:textId="091143A8" w:rsidR="006F2DB3" w:rsidRDefault="00172A99" w:rsidP="00677636">
      <w:pPr>
        <w:spacing w:after="240" w:line="276" w:lineRule="auto"/>
        <w:rPr>
          <w:rFonts w:ascii="Century Gothic" w:hAnsi="Century Gothic"/>
          <w:sz w:val="23"/>
          <w:szCs w:val="23"/>
        </w:rPr>
      </w:pPr>
      <w:r w:rsidRPr="00793356">
        <w:rPr>
          <w:rFonts w:ascii="Century Gothic" w:hAnsi="Century Gothic"/>
          <w:sz w:val="23"/>
          <w:szCs w:val="23"/>
        </w:rPr>
        <w:t>Finalmente, en términos del artículo 14 de los Lineamientos, el Órgano de Enlace, u</w:t>
      </w:r>
      <w:r w:rsidR="006F2DB3" w:rsidRPr="00793356">
        <w:rPr>
          <w:rFonts w:ascii="Century Gothic" w:hAnsi="Century Gothic"/>
          <w:sz w:val="23"/>
          <w:szCs w:val="23"/>
        </w:rPr>
        <w:t>na vez realizado lo anterior, previo conocimiento</w:t>
      </w:r>
      <w:r w:rsidRPr="00793356">
        <w:rPr>
          <w:rFonts w:ascii="Century Gothic" w:hAnsi="Century Gothic"/>
          <w:sz w:val="23"/>
          <w:szCs w:val="23"/>
        </w:rPr>
        <w:t xml:space="preserve"> </w:t>
      </w:r>
      <w:r w:rsidR="006F2DB3" w:rsidRPr="00793356">
        <w:rPr>
          <w:rFonts w:ascii="Century Gothic" w:hAnsi="Century Gothic"/>
          <w:sz w:val="23"/>
          <w:szCs w:val="23"/>
        </w:rPr>
        <w:t>de la Comisión de Seguimiento, enviará inmediatamente por oficio los expedientes</w:t>
      </w:r>
      <w:r w:rsidRPr="00793356">
        <w:rPr>
          <w:rFonts w:ascii="Century Gothic" w:hAnsi="Century Gothic"/>
          <w:sz w:val="23"/>
          <w:szCs w:val="23"/>
        </w:rPr>
        <w:t xml:space="preserve"> </w:t>
      </w:r>
      <w:r w:rsidR="006F2DB3" w:rsidRPr="00793356">
        <w:rPr>
          <w:rFonts w:ascii="Century Gothic" w:hAnsi="Century Gothic"/>
          <w:sz w:val="23"/>
          <w:szCs w:val="23"/>
        </w:rPr>
        <w:t xml:space="preserve">respectivos a la </w:t>
      </w:r>
      <w:r w:rsidR="0087256F" w:rsidRPr="00793356">
        <w:rPr>
          <w:rFonts w:ascii="Century Gothic" w:hAnsi="Century Gothic"/>
          <w:sz w:val="23"/>
          <w:szCs w:val="23"/>
        </w:rPr>
        <w:t>Dirección Ejecutiva del Servicio Profesional Electoral Nacional</w:t>
      </w:r>
      <w:r w:rsidR="006F2DB3" w:rsidRPr="00793356">
        <w:rPr>
          <w:rFonts w:ascii="Century Gothic" w:hAnsi="Century Gothic"/>
          <w:sz w:val="23"/>
          <w:szCs w:val="23"/>
        </w:rPr>
        <w:t>, a fin de que dicha instancia lleve a cabo la verificación</w:t>
      </w:r>
      <w:r w:rsidR="0087256F" w:rsidRPr="00793356">
        <w:rPr>
          <w:rFonts w:ascii="Century Gothic" w:hAnsi="Century Gothic"/>
          <w:sz w:val="23"/>
          <w:szCs w:val="23"/>
        </w:rPr>
        <w:t xml:space="preserve"> </w:t>
      </w:r>
      <w:r w:rsidR="006F2DB3" w:rsidRPr="00793356">
        <w:rPr>
          <w:rFonts w:ascii="Century Gothic" w:hAnsi="Century Gothic"/>
          <w:sz w:val="23"/>
          <w:szCs w:val="23"/>
        </w:rPr>
        <w:t>de la viabilidad normativa de la propuesta.</w:t>
      </w:r>
    </w:p>
    <w:p w14:paraId="765D39D4" w14:textId="77777777" w:rsidR="00621213" w:rsidRPr="00793356" w:rsidRDefault="00621213" w:rsidP="00677636">
      <w:pPr>
        <w:spacing w:after="240" w:line="276" w:lineRule="auto"/>
        <w:rPr>
          <w:rFonts w:ascii="Century Gothic" w:hAnsi="Century Gothic"/>
          <w:sz w:val="23"/>
          <w:szCs w:val="23"/>
        </w:rPr>
      </w:pPr>
      <w:bookmarkStart w:id="0" w:name="_GoBack"/>
      <w:bookmarkEnd w:id="0"/>
    </w:p>
    <w:p w14:paraId="0CA0A0ED" w14:textId="7F378583" w:rsidR="00E4592B" w:rsidRPr="00793356" w:rsidRDefault="006D3B96" w:rsidP="00677636">
      <w:pPr>
        <w:pStyle w:val="Ttulo2"/>
        <w:spacing w:line="276" w:lineRule="auto"/>
      </w:pPr>
      <w:r w:rsidRPr="00793356">
        <w:lastRenderedPageBreak/>
        <w:t>Designación, vigencia y conclusión de encargos de despacho</w:t>
      </w:r>
    </w:p>
    <w:p w14:paraId="3852741F" w14:textId="0109E24B" w:rsidR="006D3B96" w:rsidRPr="00793356" w:rsidRDefault="006D3B96" w:rsidP="00677636">
      <w:pPr>
        <w:spacing w:line="276" w:lineRule="auto"/>
        <w:rPr>
          <w:rFonts w:ascii="Century Gothic" w:hAnsi="Century Gothic"/>
          <w:sz w:val="23"/>
          <w:szCs w:val="23"/>
        </w:rPr>
      </w:pPr>
      <w:r w:rsidRPr="00793356">
        <w:rPr>
          <w:rFonts w:ascii="Century Gothic" w:hAnsi="Century Gothic"/>
          <w:sz w:val="23"/>
          <w:szCs w:val="23"/>
        </w:rPr>
        <w:t>Que, en términos de los artículos 16 y 17 de los Lineamientos, en aquellos casos en que se haya determinado la viabilidad de los encargos de despacho, la designación se autorizará mediante oficio firmado por la persona titular de la Secretaría Ejecutiva; los movimientos respectivos se harán del conocimiento de la Comisión de Seguimiento y de la Dirección Ejecutiva del Servicio Profesional Electoral Nacional, en un plazo máximo tres días posteriores a su designación. En todo caso, los encargos de despacho tendrán una vigencia máxima de seis meses y podrá renovarse hasta por dos periodos iguales, previa justificación que motive la continuidad.</w:t>
      </w:r>
    </w:p>
    <w:p w14:paraId="34D58F56" w14:textId="7B056EC8" w:rsidR="006D3B96" w:rsidRPr="00793356" w:rsidRDefault="00F03F25" w:rsidP="00677636">
      <w:pPr>
        <w:pStyle w:val="Ttulo2"/>
        <w:spacing w:line="276" w:lineRule="auto"/>
      </w:pPr>
      <w:r w:rsidRPr="00793356">
        <w:t>Renovación de los encargos de despacho</w:t>
      </w:r>
    </w:p>
    <w:p w14:paraId="5EBE1B63" w14:textId="41213197" w:rsidR="00B671C9" w:rsidRPr="00793356" w:rsidRDefault="00B671C9" w:rsidP="00677636">
      <w:pPr>
        <w:spacing w:after="240" w:line="276" w:lineRule="auto"/>
        <w:rPr>
          <w:rFonts w:ascii="Century Gothic" w:hAnsi="Century Gothic"/>
          <w:sz w:val="23"/>
          <w:szCs w:val="23"/>
        </w:rPr>
      </w:pPr>
      <w:r w:rsidRPr="00793356">
        <w:rPr>
          <w:rFonts w:ascii="Century Gothic" w:hAnsi="Century Gothic"/>
          <w:sz w:val="23"/>
          <w:szCs w:val="23"/>
        </w:rPr>
        <w:t>Que, el artículo 21 de los Lineamientos, establece que, para renovar un encargo de despacho la solicitud deberá efectuarse por la instancia que hizo la solicitud original, por oficio, con una anticipación de al menos diez días hábiles, a la fecha de su vencimiento. De no hacerlo, el Órgano de Enlace procederá a dar por concluido el encargo de despacho.</w:t>
      </w:r>
    </w:p>
    <w:p w14:paraId="49C22ACC" w14:textId="5BF57693" w:rsidR="00315D50" w:rsidRPr="00793356" w:rsidRDefault="00B671C9" w:rsidP="00677636">
      <w:pPr>
        <w:spacing w:after="240" w:line="276" w:lineRule="auto"/>
        <w:rPr>
          <w:rFonts w:ascii="Century Gothic" w:hAnsi="Century Gothic"/>
          <w:sz w:val="23"/>
          <w:szCs w:val="23"/>
        </w:rPr>
      </w:pPr>
      <w:r w:rsidRPr="00793356">
        <w:rPr>
          <w:rFonts w:ascii="Century Gothic" w:hAnsi="Century Gothic"/>
          <w:sz w:val="23"/>
          <w:szCs w:val="23"/>
        </w:rPr>
        <w:t xml:space="preserve">Asimismo, en términos del artículo 22 de los Lineamientos, </w:t>
      </w:r>
      <w:r w:rsidR="00412B95" w:rsidRPr="00793356">
        <w:rPr>
          <w:rFonts w:ascii="Century Gothic" w:hAnsi="Century Gothic"/>
          <w:sz w:val="23"/>
          <w:szCs w:val="23"/>
        </w:rPr>
        <w:t>l</w:t>
      </w:r>
      <w:r w:rsidRPr="00793356">
        <w:rPr>
          <w:rFonts w:ascii="Century Gothic" w:hAnsi="Century Gothic"/>
          <w:sz w:val="23"/>
          <w:szCs w:val="23"/>
        </w:rPr>
        <w:t>a autorización para renovar un encargo de despacho deberá ser</w:t>
      </w:r>
      <w:r w:rsidR="00412B95" w:rsidRPr="00793356">
        <w:rPr>
          <w:rFonts w:ascii="Century Gothic" w:hAnsi="Century Gothic"/>
          <w:sz w:val="23"/>
          <w:szCs w:val="23"/>
        </w:rPr>
        <w:t xml:space="preserve"> </w:t>
      </w:r>
      <w:r w:rsidRPr="00793356">
        <w:rPr>
          <w:rFonts w:ascii="Century Gothic" w:hAnsi="Century Gothic"/>
          <w:sz w:val="23"/>
          <w:szCs w:val="23"/>
        </w:rPr>
        <w:t>aprobada por la Junta Ejecutiva, su equivalente, o en su caso, por el Órgano</w:t>
      </w:r>
      <w:r w:rsidR="00412B95" w:rsidRPr="00793356">
        <w:rPr>
          <w:rFonts w:ascii="Century Gothic" w:hAnsi="Century Gothic"/>
          <w:sz w:val="23"/>
          <w:szCs w:val="23"/>
        </w:rPr>
        <w:t xml:space="preserve"> </w:t>
      </w:r>
      <w:r w:rsidRPr="00793356">
        <w:rPr>
          <w:rFonts w:ascii="Century Gothic" w:hAnsi="Century Gothic"/>
          <w:sz w:val="23"/>
          <w:szCs w:val="23"/>
        </w:rPr>
        <w:t>Superior, previo conocimiento</w:t>
      </w:r>
      <w:r w:rsidR="00DB190F" w:rsidRPr="00793356">
        <w:rPr>
          <w:rFonts w:ascii="Century Gothic" w:hAnsi="Century Gothic"/>
          <w:sz w:val="23"/>
          <w:szCs w:val="23"/>
        </w:rPr>
        <w:t xml:space="preserve"> de la Comisión de Seguimiento.</w:t>
      </w:r>
    </w:p>
    <w:p w14:paraId="1F6EC5F3" w14:textId="23CACD98" w:rsidR="00142FB9" w:rsidRPr="00793356" w:rsidRDefault="00142FB9" w:rsidP="00677636">
      <w:pPr>
        <w:pStyle w:val="Ttulo2"/>
        <w:spacing w:line="276" w:lineRule="auto"/>
      </w:pPr>
      <w:r w:rsidRPr="00793356">
        <w:t>Solicitud de renovación de</w:t>
      </w:r>
      <w:r w:rsidR="00FB3DED" w:rsidRPr="00793356">
        <w:t>l</w:t>
      </w:r>
      <w:r w:rsidRPr="00793356">
        <w:t xml:space="preserve"> encargo de despacho</w:t>
      </w:r>
    </w:p>
    <w:p w14:paraId="1B86FCCC" w14:textId="5C545DCE" w:rsidR="00B909E6" w:rsidRPr="00793356" w:rsidRDefault="00B909E6" w:rsidP="00677636">
      <w:pPr>
        <w:spacing w:after="240" w:line="276" w:lineRule="auto"/>
        <w:rPr>
          <w:rFonts w:ascii="Century Gothic" w:hAnsi="Century Gothic"/>
          <w:sz w:val="23"/>
          <w:szCs w:val="23"/>
        </w:rPr>
      </w:pPr>
      <w:r w:rsidRPr="00793356">
        <w:rPr>
          <w:rFonts w:ascii="Century Gothic" w:hAnsi="Century Gothic"/>
          <w:sz w:val="23"/>
          <w:szCs w:val="23"/>
        </w:rPr>
        <w:t xml:space="preserve">Que, </w:t>
      </w:r>
      <w:r w:rsidR="009106FE" w:rsidRPr="00793356">
        <w:rPr>
          <w:rFonts w:ascii="Century Gothic" w:hAnsi="Century Gothic"/>
          <w:sz w:val="23"/>
          <w:szCs w:val="23"/>
        </w:rPr>
        <w:t xml:space="preserve">el </w:t>
      </w:r>
      <w:r w:rsidR="00846640" w:rsidRPr="00793356">
        <w:rPr>
          <w:rFonts w:ascii="Century Gothic" w:hAnsi="Century Gothic"/>
          <w:sz w:val="23"/>
          <w:szCs w:val="23"/>
        </w:rPr>
        <w:t>01</w:t>
      </w:r>
      <w:r w:rsidR="009106FE" w:rsidRPr="00793356">
        <w:rPr>
          <w:rFonts w:ascii="Century Gothic" w:hAnsi="Century Gothic"/>
          <w:sz w:val="23"/>
          <w:szCs w:val="23"/>
        </w:rPr>
        <w:t xml:space="preserve"> de </w:t>
      </w:r>
      <w:r w:rsidR="00846640" w:rsidRPr="00793356">
        <w:rPr>
          <w:rFonts w:ascii="Century Gothic" w:hAnsi="Century Gothic"/>
          <w:sz w:val="23"/>
          <w:szCs w:val="23"/>
        </w:rPr>
        <w:t>diciembre</w:t>
      </w:r>
      <w:r w:rsidR="009106FE" w:rsidRPr="00793356">
        <w:rPr>
          <w:rFonts w:ascii="Century Gothic" w:hAnsi="Century Gothic"/>
          <w:sz w:val="23"/>
          <w:szCs w:val="23"/>
        </w:rPr>
        <w:t xml:space="preserve"> de 2023, mediante oficio </w:t>
      </w:r>
      <w:r w:rsidR="00D123B9" w:rsidRPr="00793356">
        <w:rPr>
          <w:rFonts w:ascii="Century Gothic" w:hAnsi="Century Gothic"/>
          <w:sz w:val="23"/>
          <w:szCs w:val="23"/>
        </w:rPr>
        <w:t>D.</w:t>
      </w:r>
      <w:r w:rsidR="00846640" w:rsidRPr="00793356">
        <w:rPr>
          <w:rFonts w:ascii="Century Gothic" w:hAnsi="Century Gothic"/>
          <w:sz w:val="23"/>
          <w:szCs w:val="23"/>
        </w:rPr>
        <w:t>O</w:t>
      </w:r>
      <w:r w:rsidR="00D123B9" w:rsidRPr="00793356">
        <w:rPr>
          <w:rFonts w:ascii="Century Gothic" w:hAnsi="Century Gothic"/>
          <w:sz w:val="23"/>
          <w:szCs w:val="23"/>
        </w:rPr>
        <w:t>.</w:t>
      </w:r>
      <w:r w:rsidR="00846640" w:rsidRPr="00793356">
        <w:rPr>
          <w:rFonts w:ascii="Century Gothic" w:hAnsi="Century Gothic"/>
          <w:sz w:val="23"/>
          <w:szCs w:val="23"/>
        </w:rPr>
        <w:t>E</w:t>
      </w:r>
      <w:r w:rsidR="00D123B9" w:rsidRPr="00793356">
        <w:rPr>
          <w:rFonts w:ascii="Century Gothic" w:hAnsi="Century Gothic"/>
          <w:sz w:val="23"/>
          <w:szCs w:val="23"/>
        </w:rPr>
        <w:t>.</w:t>
      </w:r>
      <w:r w:rsidR="00846640" w:rsidRPr="00793356">
        <w:rPr>
          <w:rFonts w:ascii="Century Gothic" w:hAnsi="Century Gothic"/>
          <w:sz w:val="23"/>
          <w:szCs w:val="23"/>
        </w:rPr>
        <w:t>E</w:t>
      </w:r>
      <w:r w:rsidR="00D123B9" w:rsidRPr="00793356">
        <w:rPr>
          <w:rFonts w:ascii="Century Gothic" w:hAnsi="Century Gothic"/>
          <w:sz w:val="23"/>
          <w:szCs w:val="23"/>
        </w:rPr>
        <w:t>.</w:t>
      </w:r>
      <w:r w:rsidR="00846640" w:rsidRPr="00793356">
        <w:rPr>
          <w:rFonts w:ascii="Century Gothic" w:hAnsi="Century Gothic"/>
          <w:sz w:val="23"/>
          <w:szCs w:val="23"/>
        </w:rPr>
        <w:t>C/1094</w:t>
      </w:r>
      <w:r w:rsidR="00BC043C" w:rsidRPr="00793356">
        <w:rPr>
          <w:rFonts w:ascii="Century Gothic" w:hAnsi="Century Gothic"/>
          <w:sz w:val="23"/>
          <w:szCs w:val="23"/>
        </w:rPr>
        <w:t>/2023</w:t>
      </w:r>
      <w:r w:rsidR="00956E90" w:rsidRPr="00793356">
        <w:rPr>
          <w:rFonts w:ascii="Century Gothic" w:hAnsi="Century Gothic"/>
          <w:sz w:val="23"/>
          <w:szCs w:val="23"/>
        </w:rPr>
        <w:t xml:space="preserve"> el Encargado de despacho de la </w:t>
      </w:r>
      <w:r w:rsidR="003516E4" w:rsidRPr="00793356">
        <w:rPr>
          <w:rFonts w:ascii="Century Gothic" w:hAnsi="Century Gothic"/>
          <w:sz w:val="23"/>
          <w:szCs w:val="23"/>
        </w:rPr>
        <w:t>Dirección</w:t>
      </w:r>
      <w:r w:rsidR="00956E90" w:rsidRPr="00793356">
        <w:rPr>
          <w:rFonts w:ascii="Century Gothic" w:hAnsi="Century Gothic"/>
          <w:sz w:val="23"/>
          <w:szCs w:val="23"/>
        </w:rPr>
        <w:t xml:space="preserve"> de Organización Electoral</w:t>
      </w:r>
      <w:r w:rsidR="00BC043C" w:rsidRPr="00793356">
        <w:rPr>
          <w:rFonts w:ascii="Century Gothic" w:hAnsi="Century Gothic"/>
          <w:sz w:val="23"/>
          <w:szCs w:val="23"/>
        </w:rPr>
        <w:t xml:space="preserve"> y </w:t>
      </w:r>
      <w:r w:rsidR="003516E4" w:rsidRPr="00793356">
        <w:rPr>
          <w:rFonts w:ascii="Century Gothic" w:hAnsi="Century Gothic"/>
          <w:sz w:val="23"/>
          <w:szCs w:val="23"/>
        </w:rPr>
        <w:t xml:space="preserve">Educación Cívica, </w:t>
      </w:r>
      <w:r w:rsidR="009106FE" w:rsidRPr="00793356">
        <w:rPr>
          <w:rFonts w:ascii="Century Gothic" w:hAnsi="Century Gothic"/>
          <w:sz w:val="23"/>
          <w:szCs w:val="23"/>
        </w:rPr>
        <w:t>solicitó la renovación de</w:t>
      </w:r>
      <w:r w:rsidR="003516E4" w:rsidRPr="00793356">
        <w:rPr>
          <w:rFonts w:ascii="Century Gothic" w:hAnsi="Century Gothic"/>
          <w:sz w:val="23"/>
          <w:szCs w:val="23"/>
        </w:rPr>
        <w:t xml:space="preserve">l </w:t>
      </w:r>
      <w:r w:rsidR="009106FE" w:rsidRPr="00793356">
        <w:rPr>
          <w:rFonts w:ascii="Century Gothic" w:hAnsi="Century Gothic"/>
          <w:sz w:val="23"/>
          <w:szCs w:val="23"/>
        </w:rPr>
        <w:t>encargo d</w:t>
      </w:r>
      <w:r w:rsidR="003516E4" w:rsidRPr="00793356">
        <w:rPr>
          <w:rFonts w:ascii="Century Gothic" w:hAnsi="Century Gothic"/>
          <w:sz w:val="23"/>
          <w:szCs w:val="23"/>
        </w:rPr>
        <w:t>e despacho correspondiente a la</w:t>
      </w:r>
      <w:r w:rsidR="009106FE" w:rsidRPr="00793356">
        <w:rPr>
          <w:rFonts w:ascii="Century Gothic" w:hAnsi="Century Gothic"/>
          <w:sz w:val="23"/>
          <w:szCs w:val="23"/>
        </w:rPr>
        <w:t xml:space="preserve"> siguiente plaza</w:t>
      </w:r>
      <w:r w:rsidR="003516E4" w:rsidRPr="00793356">
        <w:rPr>
          <w:rFonts w:ascii="Century Gothic" w:hAnsi="Century Gothic"/>
          <w:sz w:val="23"/>
          <w:szCs w:val="23"/>
        </w:rPr>
        <w:t xml:space="preserve"> incorporada</w:t>
      </w:r>
      <w:r w:rsidR="009106FE" w:rsidRPr="00793356">
        <w:rPr>
          <w:rFonts w:ascii="Century Gothic" w:hAnsi="Century Gothic"/>
          <w:sz w:val="23"/>
          <w:szCs w:val="23"/>
        </w:rPr>
        <w:t xml:space="preserve"> al Servicio Profesional Electoral Nacional de este Instituto, con una vigencia del </w:t>
      </w:r>
      <w:r w:rsidR="007249B3" w:rsidRPr="00793356">
        <w:rPr>
          <w:rFonts w:ascii="Century Gothic" w:hAnsi="Century Gothic"/>
          <w:sz w:val="23"/>
          <w:szCs w:val="23"/>
        </w:rPr>
        <w:t>01</w:t>
      </w:r>
      <w:r w:rsidR="009106FE" w:rsidRPr="00793356">
        <w:rPr>
          <w:rFonts w:ascii="Century Gothic" w:hAnsi="Century Gothic"/>
          <w:sz w:val="23"/>
          <w:szCs w:val="23"/>
        </w:rPr>
        <w:t xml:space="preserve"> de </w:t>
      </w:r>
      <w:r w:rsidR="007249B3" w:rsidRPr="00793356">
        <w:rPr>
          <w:rFonts w:ascii="Century Gothic" w:hAnsi="Century Gothic"/>
          <w:sz w:val="23"/>
          <w:szCs w:val="23"/>
        </w:rPr>
        <w:t>enero</w:t>
      </w:r>
      <w:r w:rsidR="003516E4" w:rsidRPr="00793356">
        <w:rPr>
          <w:rFonts w:ascii="Century Gothic" w:hAnsi="Century Gothic"/>
          <w:sz w:val="23"/>
          <w:szCs w:val="23"/>
        </w:rPr>
        <w:t xml:space="preserve"> </w:t>
      </w:r>
      <w:r w:rsidR="00D123B9" w:rsidRPr="00793356">
        <w:rPr>
          <w:rFonts w:ascii="Century Gothic" w:hAnsi="Century Gothic"/>
          <w:sz w:val="23"/>
          <w:szCs w:val="23"/>
        </w:rPr>
        <w:t>al 30</w:t>
      </w:r>
      <w:r w:rsidR="00AD51A2" w:rsidRPr="00793356">
        <w:rPr>
          <w:rFonts w:ascii="Century Gothic" w:hAnsi="Century Gothic"/>
          <w:sz w:val="23"/>
          <w:szCs w:val="23"/>
        </w:rPr>
        <w:t xml:space="preserve"> de junio</w:t>
      </w:r>
      <w:r w:rsidR="007249B3" w:rsidRPr="00793356">
        <w:rPr>
          <w:rFonts w:ascii="Century Gothic" w:hAnsi="Century Gothic"/>
          <w:sz w:val="23"/>
          <w:szCs w:val="23"/>
        </w:rPr>
        <w:t xml:space="preserve"> de 2024</w:t>
      </w:r>
      <w:r w:rsidR="009106FE" w:rsidRPr="00793356">
        <w:rPr>
          <w:rFonts w:ascii="Century Gothic" w:hAnsi="Century Gothic"/>
          <w:sz w:val="23"/>
          <w:szCs w:val="23"/>
        </w:rPr>
        <w:t>:</w:t>
      </w:r>
    </w:p>
    <w:tbl>
      <w:tblPr>
        <w:tblStyle w:val="Tablaconcuadrcula"/>
        <w:tblW w:w="0" w:type="auto"/>
        <w:tblInd w:w="510" w:type="dxa"/>
        <w:tblLook w:val="04A0" w:firstRow="1" w:lastRow="0" w:firstColumn="1" w:lastColumn="0" w:noHBand="0" w:noVBand="1"/>
      </w:tblPr>
      <w:tblGrid>
        <w:gridCol w:w="3596"/>
        <w:gridCol w:w="4678"/>
      </w:tblGrid>
      <w:tr w:rsidR="009106FE" w:rsidRPr="009106FE" w14:paraId="51761188" w14:textId="77777777" w:rsidTr="009106FE">
        <w:tc>
          <w:tcPr>
            <w:tcW w:w="3596" w:type="dxa"/>
            <w:shd w:val="clear" w:color="auto" w:fill="993366"/>
          </w:tcPr>
          <w:p w14:paraId="68844D49" w14:textId="257BBC84" w:rsidR="009106FE" w:rsidRPr="009106FE" w:rsidRDefault="009106FE" w:rsidP="009106FE">
            <w:pPr>
              <w:spacing w:before="60" w:after="60" w:line="276" w:lineRule="auto"/>
              <w:ind w:left="0"/>
              <w:jc w:val="center"/>
              <w:rPr>
                <w:rFonts w:ascii="Century Gothic" w:hAnsi="Century Gothic"/>
                <w:b/>
                <w:color w:val="FFFFFF" w:themeColor="background1"/>
                <w:sz w:val="18"/>
              </w:rPr>
            </w:pPr>
            <w:r w:rsidRPr="009106FE">
              <w:rPr>
                <w:rFonts w:ascii="Century Gothic" w:hAnsi="Century Gothic"/>
                <w:b/>
                <w:color w:val="FFFFFF" w:themeColor="background1"/>
                <w:sz w:val="18"/>
              </w:rPr>
              <w:t>Nombre</w:t>
            </w:r>
          </w:p>
        </w:tc>
        <w:tc>
          <w:tcPr>
            <w:tcW w:w="4678" w:type="dxa"/>
            <w:shd w:val="clear" w:color="auto" w:fill="993366"/>
          </w:tcPr>
          <w:p w14:paraId="3695E347" w14:textId="57CB1E41" w:rsidR="009106FE" w:rsidRPr="009106FE" w:rsidRDefault="009106FE" w:rsidP="009106FE">
            <w:pPr>
              <w:spacing w:before="60" w:after="60" w:line="276" w:lineRule="auto"/>
              <w:ind w:left="0"/>
              <w:jc w:val="center"/>
              <w:rPr>
                <w:rFonts w:ascii="Century Gothic" w:hAnsi="Century Gothic"/>
                <w:b/>
                <w:color w:val="FFFFFF" w:themeColor="background1"/>
                <w:sz w:val="18"/>
              </w:rPr>
            </w:pPr>
            <w:r w:rsidRPr="009106FE">
              <w:rPr>
                <w:rFonts w:ascii="Century Gothic" w:hAnsi="Century Gothic"/>
                <w:b/>
                <w:color w:val="FFFFFF" w:themeColor="background1"/>
                <w:sz w:val="18"/>
              </w:rPr>
              <w:t>Cargo</w:t>
            </w:r>
          </w:p>
        </w:tc>
      </w:tr>
      <w:tr w:rsidR="009106FE" w:rsidRPr="009106FE" w14:paraId="73720363" w14:textId="77777777" w:rsidTr="009106FE">
        <w:tc>
          <w:tcPr>
            <w:tcW w:w="3596" w:type="dxa"/>
          </w:tcPr>
          <w:p w14:paraId="2A2E84AB" w14:textId="4B13DDE5" w:rsidR="009106FE" w:rsidRPr="009106FE" w:rsidRDefault="00AD51A2" w:rsidP="003516E4">
            <w:pPr>
              <w:spacing w:before="60" w:after="60" w:line="276" w:lineRule="auto"/>
              <w:ind w:left="0"/>
              <w:rPr>
                <w:rFonts w:ascii="Century Gothic" w:hAnsi="Century Gothic"/>
                <w:sz w:val="20"/>
              </w:rPr>
            </w:pPr>
            <w:r>
              <w:rPr>
                <w:rFonts w:ascii="Century Gothic" w:hAnsi="Century Gothic"/>
                <w:sz w:val="20"/>
              </w:rPr>
              <w:t xml:space="preserve">Mariela </w:t>
            </w:r>
            <w:proofErr w:type="spellStart"/>
            <w:r>
              <w:rPr>
                <w:rFonts w:ascii="Century Gothic" w:hAnsi="Century Gothic"/>
                <w:sz w:val="20"/>
              </w:rPr>
              <w:t>Pereztosca</w:t>
            </w:r>
            <w:proofErr w:type="spellEnd"/>
            <w:r>
              <w:rPr>
                <w:rFonts w:ascii="Century Gothic" w:hAnsi="Century Gothic"/>
                <w:sz w:val="20"/>
              </w:rPr>
              <w:t xml:space="preserve"> Jiménez</w:t>
            </w:r>
          </w:p>
        </w:tc>
        <w:tc>
          <w:tcPr>
            <w:tcW w:w="4678" w:type="dxa"/>
          </w:tcPr>
          <w:p w14:paraId="1C546B49" w14:textId="77777777" w:rsidR="005E132D" w:rsidRDefault="009106FE" w:rsidP="00B91EAD">
            <w:pPr>
              <w:spacing w:before="60" w:after="60" w:line="240" w:lineRule="auto"/>
              <w:ind w:left="0"/>
              <w:jc w:val="center"/>
              <w:rPr>
                <w:rFonts w:ascii="Century Gothic" w:hAnsi="Century Gothic"/>
                <w:sz w:val="20"/>
              </w:rPr>
            </w:pPr>
            <w:r w:rsidRPr="009106FE">
              <w:rPr>
                <w:rFonts w:ascii="Century Gothic" w:hAnsi="Century Gothic"/>
                <w:sz w:val="20"/>
              </w:rPr>
              <w:t xml:space="preserve">Técnico de </w:t>
            </w:r>
            <w:r w:rsidR="005E132D">
              <w:rPr>
                <w:rFonts w:ascii="Century Gothic" w:hAnsi="Century Gothic"/>
                <w:sz w:val="20"/>
              </w:rPr>
              <w:t>Educación Cívica</w:t>
            </w:r>
          </w:p>
          <w:p w14:paraId="55A4615F" w14:textId="6E3B6631" w:rsidR="009106FE" w:rsidRPr="009106FE" w:rsidRDefault="005E132D" w:rsidP="00B91EAD">
            <w:pPr>
              <w:spacing w:before="60" w:after="60" w:line="240" w:lineRule="auto"/>
              <w:ind w:left="0"/>
              <w:jc w:val="center"/>
              <w:rPr>
                <w:rFonts w:ascii="Century Gothic" w:hAnsi="Century Gothic"/>
                <w:sz w:val="20"/>
              </w:rPr>
            </w:pPr>
            <w:r>
              <w:rPr>
                <w:rFonts w:ascii="Century Gothic" w:hAnsi="Century Gothic"/>
                <w:sz w:val="20"/>
              </w:rPr>
              <w:t>(</w:t>
            </w:r>
            <w:r w:rsidR="00315D50">
              <w:rPr>
                <w:rFonts w:ascii="Century Gothic" w:hAnsi="Century Gothic"/>
                <w:sz w:val="20"/>
              </w:rPr>
              <w:t xml:space="preserve">con categoría </w:t>
            </w:r>
            <w:r w:rsidR="009106FE" w:rsidRPr="009106FE">
              <w:rPr>
                <w:rFonts w:ascii="Century Gothic" w:hAnsi="Century Gothic"/>
                <w:sz w:val="20"/>
              </w:rPr>
              <w:t>Técnico “</w:t>
            </w:r>
            <w:r>
              <w:rPr>
                <w:rFonts w:ascii="Century Gothic" w:hAnsi="Century Gothic"/>
                <w:sz w:val="20"/>
              </w:rPr>
              <w:t>B</w:t>
            </w:r>
            <w:r w:rsidR="009106FE" w:rsidRPr="009106FE">
              <w:rPr>
                <w:rFonts w:ascii="Century Gothic" w:hAnsi="Century Gothic"/>
                <w:sz w:val="20"/>
              </w:rPr>
              <w:t>” SPEN</w:t>
            </w:r>
            <w:r>
              <w:rPr>
                <w:rFonts w:ascii="Century Gothic" w:hAnsi="Century Gothic"/>
                <w:sz w:val="20"/>
              </w:rPr>
              <w:t>)</w:t>
            </w:r>
          </w:p>
        </w:tc>
      </w:tr>
    </w:tbl>
    <w:p w14:paraId="740504B2" w14:textId="5B2FDC12" w:rsidR="009106FE" w:rsidRDefault="009106FE" w:rsidP="009106FE">
      <w:pPr>
        <w:rPr>
          <w:rFonts w:ascii="Century Gothic" w:hAnsi="Century Gothic"/>
        </w:rPr>
      </w:pPr>
    </w:p>
    <w:p w14:paraId="2B60EC71" w14:textId="3B856311" w:rsidR="00FD7304" w:rsidRPr="00793356" w:rsidRDefault="00934C36" w:rsidP="00FD7304">
      <w:pPr>
        <w:spacing w:after="240" w:line="276" w:lineRule="auto"/>
        <w:rPr>
          <w:rFonts w:ascii="Century Gothic" w:hAnsi="Century Gothic"/>
          <w:sz w:val="23"/>
          <w:szCs w:val="23"/>
        </w:rPr>
      </w:pPr>
      <w:r w:rsidRPr="00C50102">
        <w:rPr>
          <w:rFonts w:ascii="Century Gothic" w:hAnsi="Century Gothic"/>
          <w:sz w:val="23"/>
          <w:szCs w:val="23"/>
        </w:rPr>
        <w:lastRenderedPageBreak/>
        <w:t xml:space="preserve">En </w:t>
      </w:r>
      <w:r w:rsidRPr="00793356">
        <w:rPr>
          <w:rFonts w:ascii="Century Gothic" w:hAnsi="Century Gothic"/>
          <w:sz w:val="23"/>
          <w:szCs w:val="23"/>
        </w:rPr>
        <w:t xml:space="preserve">ese sentido, considerando que, la persona mencionada </w:t>
      </w:r>
      <w:r w:rsidR="00917733" w:rsidRPr="00793356">
        <w:rPr>
          <w:rFonts w:ascii="Century Gothic" w:hAnsi="Century Gothic"/>
          <w:sz w:val="23"/>
          <w:szCs w:val="23"/>
        </w:rPr>
        <w:t>previamente acredit</w:t>
      </w:r>
      <w:r w:rsidR="005E132D" w:rsidRPr="00793356">
        <w:rPr>
          <w:rFonts w:ascii="Century Gothic" w:hAnsi="Century Gothic"/>
          <w:sz w:val="23"/>
          <w:szCs w:val="23"/>
        </w:rPr>
        <w:t>o</w:t>
      </w:r>
      <w:r w:rsidR="00917733" w:rsidRPr="00793356">
        <w:rPr>
          <w:rFonts w:ascii="Century Gothic" w:hAnsi="Century Gothic"/>
          <w:sz w:val="23"/>
          <w:szCs w:val="23"/>
        </w:rPr>
        <w:t xml:space="preserve"> los requisitos que exigen los Lineamientos, </w:t>
      </w:r>
      <w:r w:rsidR="001C0B3E" w:rsidRPr="00793356">
        <w:rPr>
          <w:rFonts w:ascii="Century Gothic" w:hAnsi="Century Gothic"/>
          <w:sz w:val="23"/>
          <w:szCs w:val="23"/>
        </w:rPr>
        <w:t xml:space="preserve">además, </w:t>
      </w:r>
      <w:r w:rsidR="00917733" w:rsidRPr="00793356">
        <w:rPr>
          <w:rFonts w:ascii="Century Gothic" w:hAnsi="Century Gothic"/>
          <w:sz w:val="23"/>
          <w:szCs w:val="23"/>
        </w:rPr>
        <w:t>la solicitud se realizó con la debida anticipación y no existe inconveniente legal para ello, este órgano electoral aprueba la renovación de</w:t>
      </w:r>
      <w:r w:rsidR="00B91EAD" w:rsidRPr="00793356">
        <w:rPr>
          <w:rFonts w:ascii="Century Gothic" w:hAnsi="Century Gothic"/>
          <w:sz w:val="23"/>
          <w:szCs w:val="23"/>
        </w:rPr>
        <w:t>l</w:t>
      </w:r>
      <w:r w:rsidR="00917733" w:rsidRPr="00793356">
        <w:rPr>
          <w:rFonts w:ascii="Century Gothic" w:hAnsi="Century Gothic"/>
          <w:sz w:val="23"/>
          <w:szCs w:val="23"/>
        </w:rPr>
        <w:t xml:space="preserve"> encargo de despacho de la</w:t>
      </w:r>
      <w:r w:rsidR="00B91EAD" w:rsidRPr="00793356">
        <w:rPr>
          <w:rFonts w:ascii="Century Gothic" w:hAnsi="Century Gothic"/>
          <w:sz w:val="23"/>
          <w:szCs w:val="23"/>
        </w:rPr>
        <w:t xml:space="preserve"> persona</w:t>
      </w:r>
      <w:r w:rsidR="00917733" w:rsidRPr="00793356">
        <w:rPr>
          <w:rFonts w:ascii="Century Gothic" w:hAnsi="Century Gothic"/>
          <w:sz w:val="23"/>
          <w:szCs w:val="23"/>
        </w:rPr>
        <w:t xml:space="preserve"> señalada</w:t>
      </w:r>
      <w:r w:rsidR="00965021" w:rsidRPr="00793356">
        <w:rPr>
          <w:rFonts w:ascii="Century Gothic" w:hAnsi="Century Gothic"/>
          <w:sz w:val="23"/>
          <w:szCs w:val="23"/>
        </w:rPr>
        <w:t xml:space="preserve">, con una </w:t>
      </w:r>
      <w:r w:rsidR="00965021" w:rsidRPr="00793356">
        <w:rPr>
          <w:rFonts w:ascii="Century Gothic" w:hAnsi="Century Gothic"/>
          <w:b/>
          <w:sz w:val="23"/>
          <w:szCs w:val="23"/>
        </w:rPr>
        <w:t xml:space="preserve">vigencia del </w:t>
      </w:r>
      <w:r w:rsidR="00AD51A2" w:rsidRPr="00793356">
        <w:rPr>
          <w:rFonts w:ascii="Century Gothic" w:hAnsi="Century Gothic"/>
          <w:b/>
          <w:sz w:val="23"/>
          <w:szCs w:val="23"/>
        </w:rPr>
        <w:t>01</w:t>
      </w:r>
      <w:r w:rsidR="00965021" w:rsidRPr="00793356">
        <w:rPr>
          <w:rFonts w:ascii="Century Gothic" w:hAnsi="Century Gothic"/>
          <w:b/>
          <w:sz w:val="23"/>
          <w:szCs w:val="23"/>
        </w:rPr>
        <w:t xml:space="preserve"> de </w:t>
      </w:r>
      <w:proofErr w:type="gramStart"/>
      <w:r w:rsidR="00AD51A2" w:rsidRPr="00793356">
        <w:rPr>
          <w:rFonts w:ascii="Century Gothic" w:hAnsi="Century Gothic"/>
          <w:b/>
          <w:sz w:val="23"/>
          <w:szCs w:val="23"/>
        </w:rPr>
        <w:t>Enero</w:t>
      </w:r>
      <w:proofErr w:type="gramEnd"/>
      <w:r w:rsidR="00965021" w:rsidRPr="00793356">
        <w:rPr>
          <w:rFonts w:ascii="Century Gothic" w:hAnsi="Century Gothic"/>
          <w:b/>
          <w:sz w:val="23"/>
          <w:szCs w:val="23"/>
        </w:rPr>
        <w:t xml:space="preserve"> </w:t>
      </w:r>
      <w:r w:rsidR="00AD51A2" w:rsidRPr="00793356">
        <w:rPr>
          <w:rFonts w:ascii="Century Gothic" w:hAnsi="Century Gothic"/>
          <w:b/>
          <w:sz w:val="23"/>
          <w:szCs w:val="23"/>
        </w:rPr>
        <w:t>al 30</w:t>
      </w:r>
      <w:r w:rsidR="00965021" w:rsidRPr="00793356">
        <w:rPr>
          <w:rFonts w:ascii="Century Gothic" w:hAnsi="Century Gothic"/>
          <w:b/>
          <w:sz w:val="23"/>
          <w:szCs w:val="23"/>
        </w:rPr>
        <w:t xml:space="preserve"> de </w:t>
      </w:r>
      <w:r w:rsidR="00AD51A2" w:rsidRPr="00793356">
        <w:rPr>
          <w:rFonts w:ascii="Century Gothic" w:hAnsi="Century Gothic"/>
          <w:b/>
          <w:sz w:val="23"/>
          <w:szCs w:val="23"/>
        </w:rPr>
        <w:t>Junio de 2024</w:t>
      </w:r>
      <w:r w:rsidR="00965021" w:rsidRPr="00793356">
        <w:rPr>
          <w:rFonts w:ascii="Century Gothic" w:hAnsi="Century Gothic"/>
          <w:sz w:val="23"/>
          <w:szCs w:val="23"/>
        </w:rPr>
        <w:t xml:space="preserve">. No obstante, ésta podrá concluir cuando concurra cualquiera de los supuestos establecidos en el artículo </w:t>
      </w:r>
      <w:r w:rsidR="00FD7304" w:rsidRPr="00793356">
        <w:rPr>
          <w:rFonts w:ascii="Century Gothic" w:hAnsi="Century Gothic"/>
          <w:sz w:val="23"/>
          <w:szCs w:val="23"/>
        </w:rPr>
        <w:t xml:space="preserve">25 de los Lineamientos, es decir, I). Cuando la plaza deba ser ocupada por alguna de las vías previstas en el artículo 390 del Estatuto, II). Cuando así lo requieran las necesidades del servicio, y, III). Por determinación de autoridad competente del </w:t>
      </w:r>
      <w:r w:rsidR="00FB2046" w:rsidRPr="00793356">
        <w:rPr>
          <w:rFonts w:ascii="Century Gothic" w:hAnsi="Century Gothic"/>
          <w:sz w:val="23"/>
          <w:szCs w:val="23"/>
        </w:rPr>
        <w:t>organismo público local electoral</w:t>
      </w:r>
      <w:r w:rsidR="00FD7304" w:rsidRPr="00793356">
        <w:rPr>
          <w:rFonts w:ascii="Century Gothic" w:hAnsi="Century Gothic"/>
          <w:sz w:val="23"/>
          <w:szCs w:val="23"/>
        </w:rPr>
        <w:t>.</w:t>
      </w:r>
    </w:p>
    <w:p w14:paraId="46851480" w14:textId="75B0D1B3" w:rsidR="00490318" w:rsidRPr="00793356" w:rsidRDefault="00490318" w:rsidP="00917733">
      <w:pPr>
        <w:spacing w:after="240" w:line="276" w:lineRule="auto"/>
        <w:ind w:left="0"/>
        <w:rPr>
          <w:rFonts w:ascii="Century Gothic" w:hAnsi="Century Gothic"/>
          <w:sz w:val="23"/>
          <w:szCs w:val="23"/>
        </w:rPr>
      </w:pPr>
      <w:r w:rsidRPr="00793356">
        <w:rPr>
          <w:rFonts w:ascii="Century Gothic" w:hAnsi="Century Gothic"/>
          <w:sz w:val="23"/>
          <w:szCs w:val="23"/>
        </w:rPr>
        <w:t xml:space="preserve">Sobre la base de las consideraciones señaladas, </w:t>
      </w:r>
      <w:r w:rsidR="00325450" w:rsidRPr="00793356">
        <w:rPr>
          <w:rFonts w:ascii="Century Gothic" w:hAnsi="Century Gothic"/>
          <w:sz w:val="23"/>
          <w:szCs w:val="23"/>
        </w:rPr>
        <w:t xml:space="preserve">esta Junta Estatal </w:t>
      </w:r>
      <w:r w:rsidRPr="00793356">
        <w:rPr>
          <w:rFonts w:ascii="Century Gothic" w:hAnsi="Century Gothic"/>
          <w:sz w:val="23"/>
          <w:szCs w:val="23"/>
        </w:rPr>
        <w:t>emite el siguiente:</w:t>
      </w:r>
    </w:p>
    <w:p w14:paraId="7A703BA0" w14:textId="4B582EFD" w:rsidR="003718AB" w:rsidRPr="00793356" w:rsidRDefault="003718AB" w:rsidP="00917733">
      <w:pPr>
        <w:pStyle w:val="Ttulo1"/>
        <w:spacing w:line="276" w:lineRule="auto"/>
        <w:rPr>
          <w:sz w:val="24"/>
          <w:szCs w:val="24"/>
        </w:rPr>
      </w:pPr>
      <w:r w:rsidRPr="00793356">
        <w:rPr>
          <w:sz w:val="24"/>
          <w:szCs w:val="24"/>
        </w:rPr>
        <w:t>ACUERDO</w:t>
      </w:r>
    </w:p>
    <w:p w14:paraId="0E8DEFD9" w14:textId="3221EB4F" w:rsidR="00B07914" w:rsidRDefault="003718AB" w:rsidP="00E21FC9">
      <w:pPr>
        <w:spacing w:after="240" w:line="276" w:lineRule="auto"/>
        <w:ind w:left="0"/>
        <w:rPr>
          <w:rFonts w:ascii="Century Gothic" w:hAnsi="Century Gothic"/>
          <w:sz w:val="23"/>
          <w:szCs w:val="23"/>
        </w:rPr>
      </w:pPr>
      <w:r w:rsidRPr="00793356">
        <w:rPr>
          <w:rFonts w:ascii="Century Gothic" w:hAnsi="Century Gothic"/>
          <w:b/>
          <w:sz w:val="23"/>
          <w:szCs w:val="23"/>
        </w:rPr>
        <w:t>PRIMERO.</w:t>
      </w:r>
      <w:r w:rsidRPr="00793356">
        <w:rPr>
          <w:rFonts w:ascii="Century Gothic" w:hAnsi="Century Gothic"/>
          <w:sz w:val="23"/>
          <w:szCs w:val="23"/>
        </w:rPr>
        <w:t xml:space="preserve"> </w:t>
      </w:r>
      <w:r w:rsidR="00E17E9C" w:rsidRPr="00793356">
        <w:rPr>
          <w:rFonts w:ascii="Century Gothic" w:hAnsi="Century Gothic"/>
          <w:sz w:val="23"/>
          <w:szCs w:val="23"/>
        </w:rPr>
        <w:t xml:space="preserve">Por los motivos y fundamentos señalados en el presente, se </w:t>
      </w:r>
      <w:r w:rsidR="000B3E3B" w:rsidRPr="00793356">
        <w:rPr>
          <w:rFonts w:ascii="Century Gothic" w:hAnsi="Century Gothic"/>
          <w:sz w:val="23"/>
          <w:szCs w:val="23"/>
        </w:rPr>
        <w:t>aprueba la renovación de la</w:t>
      </w:r>
      <w:r w:rsidR="00E21FC9" w:rsidRPr="00793356">
        <w:rPr>
          <w:rFonts w:ascii="Century Gothic" w:hAnsi="Century Gothic"/>
          <w:sz w:val="23"/>
          <w:szCs w:val="23"/>
        </w:rPr>
        <w:t xml:space="preserve"> siguiente persona, en </w:t>
      </w:r>
      <w:r w:rsidR="005E132D" w:rsidRPr="00793356">
        <w:rPr>
          <w:rFonts w:ascii="Century Gothic" w:hAnsi="Century Gothic"/>
          <w:sz w:val="23"/>
          <w:szCs w:val="23"/>
        </w:rPr>
        <w:t>el</w:t>
      </w:r>
      <w:r w:rsidR="00E21FC9" w:rsidRPr="00793356">
        <w:rPr>
          <w:rFonts w:ascii="Century Gothic" w:hAnsi="Century Gothic"/>
          <w:sz w:val="23"/>
          <w:szCs w:val="23"/>
        </w:rPr>
        <w:t xml:space="preserve"> encargo de despacho de la plaza adscrita a la Dirección Ejecutiva de Organización Electoral y Educación Cívica con una </w:t>
      </w:r>
      <w:r w:rsidR="00E21FC9" w:rsidRPr="00793356">
        <w:rPr>
          <w:rFonts w:ascii="Century Gothic" w:hAnsi="Century Gothic"/>
          <w:b/>
          <w:sz w:val="23"/>
          <w:szCs w:val="23"/>
        </w:rPr>
        <w:t xml:space="preserve">vigencia del </w:t>
      </w:r>
      <w:r w:rsidR="00AD51A2" w:rsidRPr="00793356">
        <w:rPr>
          <w:rFonts w:ascii="Century Gothic" w:hAnsi="Century Gothic"/>
          <w:b/>
          <w:sz w:val="23"/>
          <w:szCs w:val="23"/>
        </w:rPr>
        <w:t xml:space="preserve">01 </w:t>
      </w:r>
      <w:r w:rsidR="00E21FC9" w:rsidRPr="00793356">
        <w:rPr>
          <w:rFonts w:ascii="Century Gothic" w:hAnsi="Century Gothic"/>
          <w:b/>
          <w:sz w:val="23"/>
          <w:szCs w:val="23"/>
        </w:rPr>
        <w:t xml:space="preserve">de </w:t>
      </w:r>
      <w:proofErr w:type="gramStart"/>
      <w:r w:rsidR="00AD51A2" w:rsidRPr="00793356">
        <w:rPr>
          <w:rFonts w:ascii="Century Gothic" w:hAnsi="Century Gothic"/>
          <w:b/>
          <w:sz w:val="23"/>
          <w:szCs w:val="23"/>
        </w:rPr>
        <w:t>Enero</w:t>
      </w:r>
      <w:proofErr w:type="gramEnd"/>
      <w:r w:rsidR="00AD51A2" w:rsidRPr="00793356">
        <w:rPr>
          <w:rFonts w:ascii="Century Gothic" w:hAnsi="Century Gothic"/>
          <w:b/>
          <w:sz w:val="23"/>
          <w:szCs w:val="23"/>
        </w:rPr>
        <w:t xml:space="preserve"> al 30</w:t>
      </w:r>
      <w:r w:rsidR="00E21FC9" w:rsidRPr="00793356">
        <w:rPr>
          <w:rFonts w:ascii="Century Gothic" w:hAnsi="Century Gothic"/>
          <w:b/>
          <w:sz w:val="23"/>
          <w:szCs w:val="23"/>
        </w:rPr>
        <w:t xml:space="preserve"> de </w:t>
      </w:r>
      <w:r w:rsidR="00AD51A2" w:rsidRPr="00793356">
        <w:rPr>
          <w:rFonts w:ascii="Century Gothic" w:hAnsi="Century Gothic"/>
          <w:b/>
          <w:sz w:val="23"/>
          <w:szCs w:val="23"/>
        </w:rPr>
        <w:t>Junio de 2024</w:t>
      </w:r>
      <w:r w:rsidR="00E21FC9" w:rsidRPr="00793356">
        <w:rPr>
          <w:rFonts w:ascii="Century Gothic" w:hAnsi="Century Gothic"/>
          <w:sz w:val="23"/>
          <w:szCs w:val="23"/>
        </w:rPr>
        <w:t>:</w:t>
      </w:r>
    </w:p>
    <w:tbl>
      <w:tblPr>
        <w:tblStyle w:val="Tablaconcuadrcula"/>
        <w:tblW w:w="0" w:type="auto"/>
        <w:tblInd w:w="-5" w:type="dxa"/>
        <w:tblLook w:val="04A0" w:firstRow="1" w:lastRow="0" w:firstColumn="1" w:lastColumn="0" w:noHBand="0" w:noVBand="1"/>
      </w:tblPr>
      <w:tblGrid>
        <w:gridCol w:w="3686"/>
        <w:gridCol w:w="5103"/>
      </w:tblGrid>
      <w:tr w:rsidR="00E21FC9" w:rsidRPr="009106FE" w14:paraId="1783EF0F" w14:textId="77777777" w:rsidTr="00E21FC9">
        <w:tc>
          <w:tcPr>
            <w:tcW w:w="3686" w:type="dxa"/>
            <w:shd w:val="clear" w:color="auto" w:fill="993366"/>
          </w:tcPr>
          <w:p w14:paraId="0868C0B6" w14:textId="77777777" w:rsidR="00E21FC9" w:rsidRPr="009106FE" w:rsidRDefault="00E21FC9" w:rsidP="0016435A">
            <w:pPr>
              <w:spacing w:before="60" w:after="60" w:line="276" w:lineRule="auto"/>
              <w:ind w:left="0"/>
              <w:jc w:val="center"/>
              <w:rPr>
                <w:rFonts w:ascii="Century Gothic" w:hAnsi="Century Gothic"/>
                <w:b/>
                <w:color w:val="FFFFFF" w:themeColor="background1"/>
                <w:sz w:val="18"/>
              </w:rPr>
            </w:pPr>
            <w:r w:rsidRPr="009106FE">
              <w:rPr>
                <w:rFonts w:ascii="Century Gothic" w:hAnsi="Century Gothic"/>
                <w:b/>
                <w:color w:val="FFFFFF" w:themeColor="background1"/>
                <w:sz w:val="18"/>
              </w:rPr>
              <w:t>Nombre</w:t>
            </w:r>
          </w:p>
        </w:tc>
        <w:tc>
          <w:tcPr>
            <w:tcW w:w="5103" w:type="dxa"/>
            <w:shd w:val="clear" w:color="auto" w:fill="993366"/>
          </w:tcPr>
          <w:p w14:paraId="35B5B8EB" w14:textId="77777777" w:rsidR="00E21FC9" w:rsidRPr="009106FE" w:rsidRDefault="00E21FC9" w:rsidP="0016435A">
            <w:pPr>
              <w:spacing w:before="60" w:after="60" w:line="276" w:lineRule="auto"/>
              <w:ind w:left="0"/>
              <w:jc w:val="center"/>
              <w:rPr>
                <w:rFonts w:ascii="Century Gothic" w:hAnsi="Century Gothic"/>
                <w:b/>
                <w:color w:val="FFFFFF" w:themeColor="background1"/>
                <w:sz w:val="18"/>
              </w:rPr>
            </w:pPr>
            <w:r w:rsidRPr="009106FE">
              <w:rPr>
                <w:rFonts w:ascii="Century Gothic" w:hAnsi="Century Gothic"/>
                <w:b/>
                <w:color w:val="FFFFFF" w:themeColor="background1"/>
                <w:sz w:val="18"/>
              </w:rPr>
              <w:t>Cargo</w:t>
            </w:r>
          </w:p>
        </w:tc>
      </w:tr>
      <w:tr w:rsidR="005E132D" w:rsidRPr="009106FE" w14:paraId="1AB56979" w14:textId="77777777" w:rsidTr="00E21FC9">
        <w:tc>
          <w:tcPr>
            <w:tcW w:w="3686" w:type="dxa"/>
          </w:tcPr>
          <w:p w14:paraId="3B76C434" w14:textId="0416FA9E" w:rsidR="005E132D" w:rsidRPr="009106FE" w:rsidRDefault="00AD51A2" w:rsidP="005E132D">
            <w:pPr>
              <w:spacing w:before="60" w:after="60" w:line="276" w:lineRule="auto"/>
              <w:ind w:left="0"/>
              <w:rPr>
                <w:rFonts w:ascii="Century Gothic" w:hAnsi="Century Gothic"/>
                <w:sz w:val="20"/>
              </w:rPr>
            </w:pPr>
            <w:r>
              <w:rPr>
                <w:rFonts w:ascii="Century Gothic" w:hAnsi="Century Gothic"/>
                <w:sz w:val="20"/>
              </w:rPr>
              <w:t xml:space="preserve">Mariela </w:t>
            </w:r>
            <w:proofErr w:type="spellStart"/>
            <w:r>
              <w:rPr>
                <w:rFonts w:ascii="Century Gothic" w:hAnsi="Century Gothic"/>
                <w:sz w:val="20"/>
              </w:rPr>
              <w:t>Pereztosca</w:t>
            </w:r>
            <w:proofErr w:type="spellEnd"/>
            <w:r>
              <w:rPr>
                <w:rFonts w:ascii="Century Gothic" w:hAnsi="Century Gothic"/>
                <w:sz w:val="20"/>
              </w:rPr>
              <w:t xml:space="preserve"> Jiménez</w:t>
            </w:r>
          </w:p>
        </w:tc>
        <w:tc>
          <w:tcPr>
            <w:tcW w:w="5103" w:type="dxa"/>
          </w:tcPr>
          <w:p w14:paraId="07FF4A32" w14:textId="77777777" w:rsidR="005E132D" w:rsidRDefault="005E132D" w:rsidP="00A1138C">
            <w:pPr>
              <w:spacing w:before="60" w:after="60" w:line="240" w:lineRule="auto"/>
              <w:ind w:left="0"/>
              <w:jc w:val="center"/>
              <w:rPr>
                <w:rFonts w:ascii="Century Gothic" w:hAnsi="Century Gothic"/>
                <w:sz w:val="20"/>
              </w:rPr>
            </w:pPr>
            <w:r w:rsidRPr="009106FE">
              <w:rPr>
                <w:rFonts w:ascii="Century Gothic" w:hAnsi="Century Gothic"/>
                <w:sz w:val="20"/>
              </w:rPr>
              <w:t xml:space="preserve">Técnico de </w:t>
            </w:r>
            <w:r>
              <w:rPr>
                <w:rFonts w:ascii="Century Gothic" w:hAnsi="Century Gothic"/>
                <w:sz w:val="20"/>
              </w:rPr>
              <w:t>Educación Cívica</w:t>
            </w:r>
          </w:p>
          <w:p w14:paraId="5651C9BE" w14:textId="0E68E13B" w:rsidR="005E132D" w:rsidRPr="009106FE" w:rsidRDefault="005E132D" w:rsidP="00A1138C">
            <w:pPr>
              <w:spacing w:before="60" w:after="60" w:line="240" w:lineRule="auto"/>
              <w:ind w:left="0"/>
              <w:jc w:val="center"/>
              <w:rPr>
                <w:rFonts w:ascii="Century Gothic" w:hAnsi="Century Gothic"/>
                <w:sz w:val="20"/>
              </w:rPr>
            </w:pPr>
            <w:r>
              <w:rPr>
                <w:rFonts w:ascii="Century Gothic" w:hAnsi="Century Gothic"/>
                <w:sz w:val="20"/>
              </w:rPr>
              <w:t>(</w:t>
            </w:r>
            <w:r w:rsidR="000B3E3B">
              <w:rPr>
                <w:rFonts w:ascii="Century Gothic" w:hAnsi="Century Gothic"/>
                <w:sz w:val="20"/>
              </w:rPr>
              <w:t xml:space="preserve">con categoría </w:t>
            </w:r>
            <w:r w:rsidRPr="009106FE">
              <w:rPr>
                <w:rFonts w:ascii="Century Gothic" w:hAnsi="Century Gothic"/>
                <w:sz w:val="20"/>
              </w:rPr>
              <w:t>Técnico “</w:t>
            </w:r>
            <w:r>
              <w:rPr>
                <w:rFonts w:ascii="Century Gothic" w:hAnsi="Century Gothic"/>
                <w:sz w:val="20"/>
              </w:rPr>
              <w:t>B</w:t>
            </w:r>
            <w:r w:rsidRPr="009106FE">
              <w:rPr>
                <w:rFonts w:ascii="Century Gothic" w:hAnsi="Century Gothic"/>
                <w:sz w:val="20"/>
              </w:rPr>
              <w:t>” SPEN</w:t>
            </w:r>
            <w:r>
              <w:rPr>
                <w:rFonts w:ascii="Century Gothic" w:hAnsi="Century Gothic"/>
                <w:sz w:val="20"/>
              </w:rPr>
              <w:t>)</w:t>
            </w:r>
          </w:p>
        </w:tc>
      </w:tr>
    </w:tbl>
    <w:p w14:paraId="6EC319E4" w14:textId="6E6E55D4" w:rsidR="00E21FC9" w:rsidRPr="00793356" w:rsidRDefault="008C21F2" w:rsidP="008C21F2">
      <w:pPr>
        <w:spacing w:before="240" w:after="240" w:line="276" w:lineRule="auto"/>
        <w:ind w:left="0"/>
        <w:rPr>
          <w:rFonts w:ascii="Century Gothic" w:hAnsi="Century Gothic"/>
          <w:sz w:val="23"/>
          <w:szCs w:val="23"/>
        </w:rPr>
      </w:pPr>
      <w:r w:rsidRPr="00793356">
        <w:rPr>
          <w:rFonts w:ascii="Century Gothic" w:hAnsi="Century Gothic"/>
          <w:sz w:val="23"/>
          <w:szCs w:val="23"/>
        </w:rPr>
        <w:t>No obstante, la vigencia podrá concluir cuando concurra cualquiera de los supuestos establecidos en el artículo 25 de los Lineamientos, es decir, I). Cuando la plaza deba ser ocupada por alguna de las vías previstas en el artículo 390 del Estatuto, II). Cuando así lo requieran las necesidades del servicio, y, III). Por determinación de autoridad competente del organismo público local electoral.</w:t>
      </w:r>
    </w:p>
    <w:p w14:paraId="062ED6D7" w14:textId="70A44C5F" w:rsidR="00522ACB" w:rsidRPr="00793356" w:rsidRDefault="00E6775C" w:rsidP="00522ACB">
      <w:pPr>
        <w:spacing w:after="240" w:line="276" w:lineRule="auto"/>
        <w:ind w:left="0"/>
        <w:rPr>
          <w:rFonts w:ascii="Century Gothic" w:hAnsi="Century Gothic"/>
          <w:sz w:val="23"/>
          <w:szCs w:val="23"/>
        </w:rPr>
      </w:pPr>
      <w:r w:rsidRPr="00793356">
        <w:rPr>
          <w:rFonts w:ascii="Century Gothic" w:hAnsi="Century Gothic"/>
          <w:b/>
          <w:sz w:val="23"/>
          <w:szCs w:val="23"/>
        </w:rPr>
        <w:t>SEGUNDO.</w:t>
      </w:r>
      <w:r w:rsidRPr="00793356">
        <w:rPr>
          <w:rFonts w:ascii="Century Gothic" w:hAnsi="Century Gothic"/>
          <w:sz w:val="23"/>
          <w:szCs w:val="23"/>
        </w:rPr>
        <w:t xml:space="preserve"> </w:t>
      </w:r>
      <w:r w:rsidR="00522ACB" w:rsidRPr="00793356">
        <w:rPr>
          <w:rFonts w:ascii="Century Gothic" w:hAnsi="Century Gothic"/>
          <w:sz w:val="23"/>
          <w:szCs w:val="23"/>
        </w:rPr>
        <w:t xml:space="preserve">En términos del artículo 19 de los Lineamientos, las personas designadas como encargadas de despacho: I). Serán responsables del ejercicio de su encargo, conforme a las atribuciones conferidas al cargo o puesto al que son </w:t>
      </w:r>
      <w:r w:rsidR="00522ACB" w:rsidRPr="00793356">
        <w:rPr>
          <w:rFonts w:ascii="Century Gothic" w:hAnsi="Century Gothic"/>
          <w:sz w:val="23"/>
          <w:szCs w:val="23"/>
        </w:rPr>
        <w:lastRenderedPageBreak/>
        <w:t>designadas; y, II). Deberán presentar y remitir un informe de actividades al concluir su encargo, al Órgano de Enlace, en un plazo no mayor a cinco días hábiles, quien deberá concentrar dicha información.</w:t>
      </w:r>
    </w:p>
    <w:p w14:paraId="1FEA04A1" w14:textId="6E992F5D" w:rsidR="004F7CB0" w:rsidRPr="00793356" w:rsidRDefault="00314200" w:rsidP="004F7CB0">
      <w:pPr>
        <w:spacing w:after="240" w:line="276" w:lineRule="auto"/>
        <w:ind w:left="0"/>
        <w:rPr>
          <w:rFonts w:ascii="Century Gothic" w:hAnsi="Century Gothic"/>
          <w:sz w:val="23"/>
          <w:szCs w:val="23"/>
        </w:rPr>
      </w:pPr>
      <w:r w:rsidRPr="00793356">
        <w:rPr>
          <w:rFonts w:ascii="Century Gothic" w:hAnsi="Century Gothic"/>
          <w:b/>
          <w:sz w:val="23"/>
          <w:szCs w:val="23"/>
        </w:rPr>
        <w:t xml:space="preserve">TERCERO. </w:t>
      </w:r>
      <w:r w:rsidR="0092335A" w:rsidRPr="00793356">
        <w:rPr>
          <w:rFonts w:ascii="Century Gothic" w:hAnsi="Century Gothic"/>
          <w:sz w:val="23"/>
          <w:szCs w:val="23"/>
        </w:rPr>
        <w:t xml:space="preserve">Se instruye </w:t>
      </w:r>
      <w:r w:rsidR="004F7CB0" w:rsidRPr="00793356">
        <w:rPr>
          <w:rFonts w:ascii="Century Gothic" w:hAnsi="Century Gothic"/>
          <w:sz w:val="23"/>
          <w:szCs w:val="23"/>
        </w:rPr>
        <w:t xml:space="preserve">al Órgano de Enlace informe la presente renovación a la Dirección Ejecutiva del Servicio Profesional Electoral Nacional. Asimismo, se instruye a la Secretaría Ejecutiva notifique por oficio la </w:t>
      </w:r>
      <w:r w:rsidR="005E132D" w:rsidRPr="00793356">
        <w:rPr>
          <w:rFonts w:ascii="Century Gothic" w:hAnsi="Century Gothic"/>
          <w:sz w:val="23"/>
          <w:szCs w:val="23"/>
        </w:rPr>
        <w:t>renovación</w:t>
      </w:r>
      <w:r w:rsidR="004F7CB0" w:rsidRPr="00793356">
        <w:rPr>
          <w:rFonts w:ascii="Century Gothic" w:hAnsi="Century Gothic"/>
          <w:sz w:val="23"/>
          <w:szCs w:val="23"/>
        </w:rPr>
        <w:t xml:space="preserve"> </w:t>
      </w:r>
      <w:r w:rsidR="002415DE" w:rsidRPr="00793356">
        <w:rPr>
          <w:rFonts w:ascii="Century Gothic" w:hAnsi="Century Gothic"/>
          <w:sz w:val="23"/>
          <w:szCs w:val="23"/>
        </w:rPr>
        <w:t>del encargo de despacho.</w:t>
      </w:r>
    </w:p>
    <w:p w14:paraId="56456A60" w14:textId="2D9D62FD" w:rsidR="0092335A" w:rsidRPr="00793356" w:rsidRDefault="002415DE" w:rsidP="00917733">
      <w:pPr>
        <w:spacing w:after="240" w:line="276" w:lineRule="auto"/>
        <w:ind w:left="0"/>
        <w:rPr>
          <w:rFonts w:ascii="Century Gothic" w:hAnsi="Century Gothic"/>
          <w:sz w:val="23"/>
          <w:szCs w:val="23"/>
        </w:rPr>
      </w:pPr>
      <w:r w:rsidRPr="00793356">
        <w:rPr>
          <w:rFonts w:ascii="Century Gothic" w:hAnsi="Century Gothic"/>
          <w:b/>
          <w:sz w:val="23"/>
          <w:szCs w:val="23"/>
        </w:rPr>
        <w:t xml:space="preserve">CUARTO. </w:t>
      </w:r>
      <w:r w:rsidR="0092335A" w:rsidRPr="00793356">
        <w:rPr>
          <w:rFonts w:ascii="Century Gothic" w:hAnsi="Century Gothic"/>
          <w:sz w:val="23"/>
          <w:szCs w:val="23"/>
        </w:rPr>
        <w:t xml:space="preserve"> </w:t>
      </w:r>
      <w:r w:rsidRPr="00793356">
        <w:rPr>
          <w:rFonts w:ascii="Century Gothic" w:hAnsi="Century Gothic"/>
          <w:sz w:val="23"/>
          <w:szCs w:val="23"/>
        </w:rPr>
        <w:t xml:space="preserve">Se instruye a </w:t>
      </w:r>
      <w:r w:rsidR="00620A7B" w:rsidRPr="00793356">
        <w:rPr>
          <w:rFonts w:ascii="Century Gothic" w:hAnsi="Century Gothic"/>
          <w:sz w:val="23"/>
          <w:szCs w:val="23"/>
        </w:rPr>
        <w:t>la Dirección</w:t>
      </w:r>
      <w:r w:rsidR="00AB1C30" w:rsidRPr="00793356">
        <w:rPr>
          <w:rFonts w:ascii="Century Gothic" w:hAnsi="Century Gothic"/>
          <w:sz w:val="23"/>
          <w:szCs w:val="23"/>
        </w:rPr>
        <w:t xml:space="preserve"> de Administración realice</w:t>
      </w:r>
      <w:r w:rsidR="0092335A" w:rsidRPr="00793356">
        <w:rPr>
          <w:rFonts w:ascii="Century Gothic" w:hAnsi="Century Gothic"/>
          <w:sz w:val="23"/>
          <w:szCs w:val="23"/>
        </w:rPr>
        <w:t xml:space="preserve"> los trámites administrativos </w:t>
      </w:r>
      <w:r w:rsidR="00AB1C30" w:rsidRPr="00793356">
        <w:rPr>
          <w:rFonts w:ascii="Century Gothic" w:hAnsi="Century Gothic"/>
          <w:sz w:val="23"/>
          <w:szCs w:val="23"/>
        </w:rPr>
        <w:t>para dar cumplimiento al presente acuerdo.</w:t>
      </w:r>
    </w:p>
    <w:p w14:paraId="1640B3F5" w14:textId="37D059BC" w:rsidR="00E17E9C" w:rsidRPr="00793356" w:rsidRDefault="002415DE" w:rsidP="00917733">
      <w:pPr>
        <w:spacing w:after="240" w:line="276" w:lineRule="auto"/>
        <w:ind w:left="0"/>
        <w:rPr>
          <w:rFonts w:ascii="Century Gothic" w:hAnsi="Century Gothic"/>
          <w:sz w:val="23"/>
          <w:szCs w:val="23"/>
        </w:rPr>
      </w:pPr>
      <w:r w:rsidRPr="00793356">
        <w:rPr>
          <w:rFonts w:ascii="Century Gothic" w:hAnsi="Century Gothic"/>
          <w:b/>
          <w:sz w:val="23"/>
          <w:szCs w:val="23"/>
        </w:rPr>
        <w:t>QUINTO</w:t>
      </w:r>
      <w:r w:rsidR="0034692E" w:rsidRPr="00793356">
        <w:rPr>
          <w:rFonts w:ascii="Century Gothic" w:hAnsi="Century Gothic"/>
          <w:b/>
          <w:sz w:val="23"/>
          <w:szCs w:val="23"/>
        </w:rPr>
        <w:t xml:space="preserve">. </w:t>
      </w:r>
      <w:r w:rsidR="00E17E9C" w:rsidRPr="00793356">
        <w:rPr>
          <w:rFonts w:ascii="Century Gothic" w:hAnsi="Century Gothic"/>
          <w:sz w:val="23"/>
          <w:szCs w:val="23"/>
        </w:rPr>
        <w:t>Publíquese el presente acuerdo en el Periódico Oficial del Estado y en la página de internet del Instituto, de conformidad con lo dispuesto en el artículo 114 de la Ley Electoral.</w:t>
      </w:r>
    </w:p>
    <w:p w14:paraId="1BC24D5C" w14:textId="1FE0E9C9" w:rsidR="003718AB" w:rsidRPr="00450FD8" w:rsidRDefault="003718AB" w:rsidP="00917733">
      <w:pPr>
        <w:spacing w:line="276" w:lineRule="auto"/>
        <w:ind w:left="0"/>
        <w:rPr>
          <w:rFonts w:ascii="Century Gothic" w:hAnsi="Century Gothic"/>
          <w:sz w:val="23"/>
          <w:szCs w:val="23"/>
        </w:rPr>
      </w:pPr>
      <w:r w:rsidRPr="00793356">
        <w:rPr>
          <w:rFonts w:ascii="Century Gothic" w:hAnsi="Century Gothic"/>
          <w:sz w:val="23"/>
          <w:szCs w:val="23"/>
        </w:rPr>
        <w:t xml:space="preserve">El </w:t>
      </w:r>
      <w:r w:rsidRPr="00450FD8">
        <w:rPr>
          <w:rFonts w:ascii="Century Gothic" w:hAnsi="Century Gothic"/>
          <w:sz w:val="23"/>
          <w:szCs w:val="23"/>
        </w:rPr>
        <w:t>presente</w:t>
      </w:r>
      <w:r w:rsidR="00BD34B7" w:rsidRPr="00450FD8">
        <w:rPr>
          <w:rFonts w:ascii="Century Gothic" w:hAnsi="Century Gothic"/>
          <w:sz w:val="23"/>
          <w:szCs w:val="23"/>
        </w:rPr>
        <w:t xml:space="preserve"> acuerdo fue aprobado en sesión </w:t>
      </w:r>
      <w:r w:rsidR="001F6A42" w:rsidRPr="00450FD8">
        <w:rPr>
          <w:rFonts w:ascii="Century Gothic" w:hAnsi="Century Gothic"/>
          <w:sz w:val="23"/>
          <w:szCs w:val="23"/>
        </w:rPr>
        <w:t>ordinar</w:t>
      </w:r>
      <w:r w:rsidR="00982F88" w:rsidRPr="00450FD8">
        <w:rPr>
          <w:rFonts w:ascii="Century Gothic" w:hAnsi="Century Gothic"/>
          <w:sz w:val="23"/>
          <w:szCs w:val="23"/>
        </w:rPr>
        <w:t>i</w:t>
      </w:r>
      <w:r w:rsidR="001F6A42" w:rsidRPr="00450FD8">
        <w:rPr>
          <w:rFonts w:ascii="Century Gothic" w:hAnsi="Century Gothic"/>
          <w:sz w:val="23"/>
          <w:szCs w:val="23"/>
        </w:rPr>
        <w:t>a</w:t>
      </w:r>
      <w:r w:rsidRPr="00450FD8">
        <w:rPr>
          <w:rFonts w:ascii="Century Gothic" w:hAnsi="Century Gothic"/>
          <w:sz w:val="23"/>
          <w:szCs w:val="23"/>
        </w:rPr>
        <w:t xml:space="preserve"> efectuada el </w:t>
      </w:r>
      <w:r w:rsidR="00BD34B7" w:rsidRPr="00450FD8">
        <w:rPr>
          <w:rFonts w:ascii="Century Gothic" w:hAnsi="Century Gothic"/>
          <w:sz w:val="23"/>
          <w:szCs w:val="23"/>
        </w:rPr>
        <w:t>28</w:t>
      </w:r>
      <w:r w:rsidR="00ED7E9C" w:rsidRPr="00450FD8">
        <w:rPr>
          <w:rFonts w:ascii="Century Gothic" w:hAnsi="Century Gothic"/>
          <w:sz w:val="23"/>
          <w:szCs w:val="23"/>
        </w:rPr>
        <w:t xml:space="preserve"> </w:t>
      </w:r>
      <w:r w:rsidR="00982F88" w:rsidRPr="00450FD8">
        <w:rPr>
          <w:rFonts w:ascii="Century Gothic" w:hAnsi="Century Gothic"/>
          <w:sz w:val="23"/>
          <w:szCs w:val="23"/>
        </w:rPr>
        <w:t xml:space="preserve">de </w:t>
      </w:r>
      <w:r w:rsidR="00BD34B7" w:rsidRPr="00450FD8">
        <w:rPr>
          <w:rFonts w:ascii="Century Gothic" w:hAnsi="Century Gothic"/>
          <w:sz w:val="23"/>
          <w:szCs w:val="23"/>
        </w:rPr>
        <w:t>diciembre</w:t>
      </w:r>
      <w:r w:rsidR="00ED7E9C" w:rsidRPr="00450FD8">
        <w:rPr>
          <w:rFonts w:ascii="Century Gothic" w:hAnsi="Century Gothic"/>
          <w:sz w:val="23"/>
          <w:szCs w:val="23"/>
        </w:rPr>
        <w:t xml:space="preserve"> </w:t>
      </w:r>
      <w:r w:rsidR="00982F88" w:rsidRPr="00450FD8">
        <w:rPr>
          <w:rFonts w:ascii="Century Gothic" w:hAnsi="Century Gothic"/>
          <w:sz w:val="23"/>
          <w:szCs w:val="23"/>
        </w:rPr>
        <w:t xml:space="preserve">del </w:t>
      </w:r>
      <w:r w:rsidRPr="00450FD8">
        <w:rPr>
          <w:rFonts w:ascii="Century Gothic" w:hAnsi="Century Gothic"/>
          <w:sz w:val="23"/>
          <w:szCs w:val="23"/>
        </w:rPr>
        <w:t xml:space="preserve">año dos mil </w:t>
      </w:r>
      <w:r w:rsidR="001B28CB" w:rsidRPr="00450FD8">
        <w:rPr>
          <w:rFonts w:ascii="Century Gothic" w:hAnsi="Century Gothic"/>
          <w:sz w:val="23"/>
          <w:szCs w:val="23"/>
        </w:rPr>
        <w:t>veintitrés</w:t>
      </w:r>
      <w:r w:rsidRPr="00450FD8">
        <w:rPr>
          <w:rFonts w:ascii="Century Gothic" w:hAnsi="Century Gothic"/>
          <w:sz w:val="23"/>
          <w:szCs w:val="23"/>
        </w:rPr>
        <w:t xml:space="preserve">, por votación </w:t>
      </w:r>
      <w:r w:rsidR="000C12BA" w:rsidRPr="00450FD8">
        <w:rPr>
          <w:rFonts w:ascii="Century Gothic" w:hAnsi="Century Gothic"/>
          <w:sz w:val="23"/>
          <w:szCs w:val="23"/>
        </w:rPr>
        <w:t>unánime</w:t>
      </w:r>
      <w:r w:rsidR="00ED7E9C" w:rsidRPr="00450FD8">
        <w:rPr>
          <w:rFonts w:ascii="Century Gothic" w:hAnsi="Century Gothic"/>
          <w:sz w:val="23"/>
          <w:szCs w:val="23"/>
        </w:rPr>
        <w:t xml:space="preserve"> </w:t>
      </w:r>
      <w:r w:rsidRPr="00450FD8">
        <w:rPr>
          <w:rFonts w:ascii="Century Gothic" w:hAnsi="Century Gothic"/>
          <w:sz w:val="23"/>
          <w:szCs w:val="23"/>
        </w:rPr>
        <w:t xml:space="preserve">de la y los integrantes de la Junta Estatal Ejecutiva del Instituto Electoral y de Participación Ciudadana de Tabasco: </w:t>
      </w:r>
      <w:r w:rsidR="005324FE" w:rsidRPr="00450FD8">
        <w:rPr>
          <w:rFonts w:ascii="Century Gothic" w:hAnsi="Century Gothic"/>
          <w:sz w:val="23"/>
          <w:szCs w:val="23"/>
        </w:rPr>
        <w:t>Lic.</w:t>
      </w:r>
      <w:r w:rsidRPr="00450FD8">
        <w:rPr>
          <w:rFonts w:ascii="Century Gothic" w:hAnsi="Century Gothic"/>
          <w:sz w:val="23"/>
          <w:szCs w:val="23"/>
        </w:rPr>
        <w:t xml:space="preserve"> </w:t>
      </w:r>
      <w:r w:rsidR="005324FE" w:rsidRPr="00450FD8">
        <w:rPr>
          <w:rFonts w:ascii="Century Gothic" w:hAnsi="Century Gothic"/>
          <w:sz w:val="23"/>
          <w:szCs w:val="23"/>
        </w:rPr>
        <w:t>Javier García Rodríguez</w:t>
      </w:r>
      <w:r w:rsidR="00BD34B7" w:rsidRPr="00450FD8">
        <w:rPr>
          <w:rFonts w:ascii="Century Gothic" w:hAnsi="Century Gothic"/>
          <w:sz w:val="23"/>
          <w:szCs w:val="23"/>
        </w:rPr>
        <w:t>, Director</w:t>
      </w:r>
      <w:r w:rsidR="005324FE" w:rsidRPr="00450FD8">
        <w:rPr>
          <w:rFonts w:ascii="Century Gothic" w:hAnsi="Century Gothic"/>
          <w:sz w:val="23"/>
          <w:szCs w:val="23"/>
        </w:rPr>
        <w:t xml:space="preserve"> </w:t>
      </w:r>
      <w:r w:rsidRPr="00450FD8">
        <w:rPr>
          <w:rFonts w:ascii="Century Gothic" w:hAnsi="Century Gothic"/>
          <w:sz w:val="23"/>
          <w:szCs w:val="23"/>
        </w:rPr>
        <w:t xml:space="preserve">de Administración; </w:t>
      </w:r>
      <w:r w:rsidR="005324FE" w:rsidRPr="00450FD8">
        <w:rPr>
          <w:rFonts w:ascii="Century Gothic" w:hAnsi="Century Gothic"/>
          <w:sz w:val="23"/>
          <w:szCs w:val="23"/>
        </w:rPr>
        <w:t>Lic</w:t>
      </w:r>
      <w:r w:rsidRPr="00450FD8">
        <w:rPr>
          <w:rFonts w:ascii="Century Gothic" w:hAnsi="Century Gothic"/>
          <w:sz w:val="23"/>
          <w:szCs w:val="23"/>
        </w:rPr>
        <w:t>.</w:t>
      </w:r>
      <w:r w:rsidR="00315D50" w:rsidRPr="00450FD8">
        <w:rPr>
          <w:rFonts w:ascii="Century Gothic" w:hAnsi="Century Gothic"/>
          <w:sz w:val="23"/>
          <w:szCs w:val="23"/>
        </w:rPr>
        <w:t xml:space="preserve"> Rigoberto de la O Gallegos, encargado de despacho de la Dirección de Organización Electoral y Educación Cívica; Lic.</w:t>
      </w:r>
      <w:r w:rsidRPr="00450FD8">
        <w:rPr>
          <w:rFonts w:ascii="Century Gothic" w:hAnsi="Century Gothic"/>
          <w:sz w:val="23"/>
          <w:szCs w:val="23"/>
        </w:rPr>
        <w:t xml:space="preserve"> </w:t>
      </w:r>
      <w:r w:rsidR="00D43C8C" w:rsidRPr="00450FD8">
        <w:rPr>
          <w:rFonts w:ascii="Century Gothic" w:hAnsi="Century Gothic"/>
          <w:sz w:val="23"/>
          <w:szCs w:val="23"/>
        </w:rPr>
        <w:t>Jorge Alberto Zavala Frías</w:t>
      </w:r>
      <w:r w:rsidRPr="00450FD8">
        <w:rPr>
          <w:rFonts w:ascii="Century Gothic" w:hAnsi="Century Gothic"/>
          <w:sz w:val="23"/>
          <w:szCs w:val="23"/>
        </w:rPr>
        <w:t xml:space="preserve">, Secretario Ejecutivo y </w:t>
      </w:r>
      <w:r w:rsidR="00D43C8C" w:rsidRPr="00450FD8">
        <w:rPr>
          <w:rFonts w:ascii="Century Gothic" w:hAnsi="Century Gothic"/>
          <w:sz w:val="23"/>
          <w:szCs w:val="23"/>
        </w:rPr>
        <w:t>Mtra</w:t>
      </w:r>
      <w:r w:rsidRPr="00450FD8">
        <w:rPr>
          <w:rFonts w:ascii="Century Gothic" w:hAnsi="Century Gothic"/>
          <w:sz w:val="23"/>
          <w:szCs w:val="23"/>
        </w:rPr>
        <w:t xml:space="preserve">. </w:t>
      </w:r>
      <w:r w:rsidR="00677613" w:rsidRPr="00450FD8">
        <w:rPr>
          <w:rFonts w:ascii="Century Gothic" w:hAnsi="Century Gothic"/>
          <w:sz w:val="23"/>
          <w:szCs w:val="23"/>
        </w:rPr>
        <w:t>Elizabeth Nava Gutiérrez</w:t>
      </w:r>
      <w:r w:rsidRPr="00450FD8">
        <w:rPr>
          <w:rFonts w:ascii="Century Gothic" w:hAnsi="Century Gothic"/>
          <w:sz w:val="23"/>
          <w:szCs w:val="23"/>
        </w:rPr>
        <w:t>, Presidenta de la Junta Estatal Ejecutiva.</w:t>
      </w:r>
    </w:p>
    <w:p w14:paraId="081E7574" w14:textId="77777777" w:rsidR="00F5781C" w:rsidRPr="00450FD8" w:rsidRDefault="00F5781C" w:rsidP="00917733">
      <w:pPr>
        <w:spacing w:line="276" w:lineRule="auto"/>
        <w:ind w:left="0"/>
        <w:rPr>
          <w:rFonts w:ascii="Century Gothic" w:hAnsi="Century Gothic"/>
          <w:sz w:val="23"/>
          <w:szCs w:val="23"/>
        </w:rPr>
      </w:pPr>
    </w:p>
    <w:p w14:paraId="138C8B01" w14:textId="3F54EB2F" w:rsidR="00A86E08" w:rsidRPr="00450FD8" w:rsidRDefault="00A86E08" w:rsidP="00196D47">
      <w:pPr>
        <w:spacing w:line="276" w:lineRule="auto"/>
        <w:ind w:left="0"/>
        <w:rPr>
          <w:rFonts w:ascii="Century Gothic" w:hAnsi="Century Gothic"/>
          <w:sz w:val="23"/>
          <w:szCs w:val="23"/>
        </w:rPr>
      </w:pPr>
    </w:p>
    <w:p w14:paraId="37CF3288" w14:textId="77777777" w:rsidR="009D1A05" w:rsidRPr="00793356" w:rsidRDefault="009D1A05" w:rsidP="00196D47">
      <w:pPr>
        <w:spacing w:line="276" w:lineRule="auto"/>
        <w:ind w:left="0"/>
        <w:rPr>
          <w:rFonts w:ascii="Century Gothic" w:hAnsi="Century Gothic"/>
          <w:sz w:val="23"/>
          <w:szCs w:val="23"/>
        </w:rPr>
      </w:pPr>
    </w:p>
    <w:p w14:paraId="11BD711E" w14:textId="77777777" w:rsidR="008E2E5C" w:rsidRPr="00793356" w:rsidRDefault="008E2E5C" w:rsidP="00196D47">
      <w:pPr>
        <w:spacing w:line="276" w:lineRule="auto"/>
        <w:ind w:left="0"/>
        <w:rPr>
          <w:rFonts w:ascii="Century Gothic" w:hAnsi="Century Gothic"/>
          <w:sz w:val="23"/>
          <w:szCs w:val="23"/>
        </w:rPr>
      </w:pPr>
    </w:p>
    <w:p w14:paraId="2BA957E1" w14:textId="77777777" w:rsidR="003718AB" w:rsidRPr="00793356" w:rsidRDefault="003718AB" w:rsidP="00196D47">
      <w:pPr>
        <w:spacing w:line="276" w:lineRule="auto"/>
        <w:rPr>
          <w:rFonts w:ascii="Century Gothic" w:hAnsi="Century Gothic"/>
          <w:sz w:val="23"/>
          <w:szCs w:val="23"/>
        </w:rPr>
      </w:pPr>
    </w:p>
    <w:p w14:paraId="1A9D0D43" w14:textId="77777777" w:rsidR="003718AB" w:rsidRPr="00793356" w:rsidRDefault="003718AB" w:rsidP="00196D47">
      <w:pPr>
        <w:spacing w:line="276" w:lineRule="auto"/>
        <w:rPr>
          <w:rFonts w:ascii="Century Gothic" w:hAnsi="Century Gothic"/>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8E2E5C" w:rsidRPr="00793356" w14:paraId="1A69C203" w14:textId="77777777" w:rsidTr="004938FE">
        <w:tc>
          <w:tcPr>
            <w:tcW w:w="4395" w:type="dxa"/>
          </w:tcPr>
          <w:p w14:paraId="16127180" w14:textId="77777777" w:rsidR="008E2E5C" w:rsidRPr="00793356" w:rsidRDefault="008E2E5C" w:rsidP="00196D47">
            <w:pPr>
              <w:widowControl w:val="0"/>
              <w:spacing w:line="276" w:lineRule="auto"/>
              <w:ind w:left="0"/>
              <w:jc w:val="center"/>
              <w:rPr>
                <w:rFonts w:ascii="Century Gothic" w:hAnsi="Century Gothic"/>
                <w:b/>
                <w:spacing w:val="-10"/>
                <w:sz w:val="23"/>
                <w:szCs w:val="23"/>
              </w:rPr>
            </w:pPr>
            <w:r w:rsidRPr="00793356">
              <w:rPr>
                <w:rFonts w:ascii="Century Gothic" w:hAnsi="Century Gothic"/>
                <w:b/>
                <w:spacing w:val="-10"/>
                <w:sz w:val="23"/>
                <w:szCs w:val="23"/>
              </w:rPr>
              <w:t>MTRA. ELIZABETH NAVA GUTIÉRREZ</w:t>
            </w:r>
          </w:p>
          <w:p w14:paraId="5C98EAC7" w14:textId="77777777" w:rsidR="008E2E5C" w:rsidRPr="00793356" w:rsidRDefault="008E2E5C" w:rsidP="00196D47">
            <w:pPr>
              <w:widowControl w:val="0"/>
              <w:spacing w:line="276" w:lineRule="auto"/>
              <w:ind w:left="0"/>
              <w:jc w:val="center"/>
              <w:rPr>
                <w:rFonts w:ascii="Century Gothic" w:hAnsi="Century Gothic"/>
                <w:b/>
                <w:sz w:val="23"/>
                <w:szCs w:val="23"/>
              </w:rPr>
            </w:pPr>
            <w:r w:rsidRPr="00793356">
              <w:rPr>
                <w:rFonts w:ascii="Century Gothic" w:hAnsi="Century Gothic"/>
                <w:b/>
                <w:spacing w:val="-10"/>
                <w:sz w:val="23"/>
                <w:szCs w:val="23"/>
              </w:rPr>
              <w:t>CONSEJERA PRESIDENTA</w:t>
            </w:r>
          </w:p>
        </w:tc>
        <w:tc>
          <w:tcPr>
            <w:tcW w:w="278" w:type="dxa"/>
          </w:tcPr>
          <w:p w14:paraId="7173C5BB" w14:textId="77777777" w:rsidR="008E2E5C" w:rsidRPr="00793356" w:rsidRDefault="008E2E5C" w:rsidP="00196D47">
            <w:pPr>
              <w:widowControl w:val="0"/>
              <w:spacing w:line="276" w:lineRule="auto"/>
              <w:rPr>
                <w:rFonts w:ascii="Century Gothic" w:hAnsi="Century Gothic"/>
                <w:b/>
                <w:sz w:val="23"/>
                <w:szCs w:val="23"/>
              </w:rPr>
            </w:pPr>
          </w:p>
        </w:tc>
        <w:tc>
          <w:tcPr>
            <w:tcW w:w="4400" w:type="dxa"/>
          </w:tcPr>
          <w:p w14:paraId="0175974A" w14:textId="77777777" w:rsidR="008E2E5C" w:rsidRPr="00793356" w:rsidRDefault="008E2E5C" w:rsidP="00196D47">
            <w:pPr>
              <w:widowControl w:val="0"/>
              <w:spacing w:line="276" w:lineRule="auto"/>
              <w:ind w:left="0"/>
              <w:jc w:val="center"/>
              <w:rPr>
                <w:rFonts w:ascii="Century Gothic" w:hAnsi="Century Gothic"/>
                <w:b/>
                <w:spacing w:val="-10"/>
                <w:sz w:val="23"/>
                <w:szCs w:val="23"/>
              </w:rPr>
            </w:pPr>
            <w:r w:rsidRPr="00793356">
              <w:rPr>
                <w:rFonts w:ascii="Century Gothic" w:hAnsi="Century Gothic"/>
                <w:b/>
                <w:spacing w:val="-10"/>
                <w:sz w:val="23"/>
                <w:szCs w:val="23"/>
              </w:rPr>
              <w:t>LIC. JORGE ALBERTO ZAVALA FRÍAS</w:t>
            </w:r>
          </w:p>
          <w:p w14:paraId="1739AB35" w14:textId="77777777" w:rsidR="008E2E5C" w:rsidRPr="00793356" w:rsidRDefault="008E2E5C" w:rsidP="00196D47">
            <w:pPr>
              <w:widowControl w:val="0"/>
              <w:spacing w:line="276" w:lineRule="auto"/>
              <w:ind w:left="0"/>
              <w:jc w:val="center"/>
              <w:rPr>
                <w:rFonts w:ascii="Century Gothic" w:hAnsi="Century Gothic"/>
                <w:b/>
                <w:sz w:val="23"/>
                <w:szCs w:val="23"/>
              </w:rPr>
            </w:pPr>
            <w:r w:rsidRPr="00793356">
              <w:rPr>
                <w:rFonts w:ascii="Century Gothic" w:hAnsi="Century Gothic"/>
                <w:b/>
                <w:spacing w:val="-10"/>
                <w:sz w:val="23"/>
                <w:szCs w:val="23"/>
              </w:rPr>
              <w:t xml:space="preserve">SECRETARIO </w:t>
            </w:r>
            <w:r w:rsidR="00A86E08" w:rsidRPr="00793356">
              <w:rPr>
                <w:rFonts w:ascii="Century Gothic" w:hAnsi="Century Gothic"/>
                <w:b/>
                <w:spacing w:val="-10"/>
                <w:sz w:val="23"/>
                <w:szCs w:val="23"/>
              </w:rPr>
              <w:t>EJECUTIVO</w:t>
            </w:r>
          </w:p>
        </w:tc>
      </w:tr>
    </w:tbl>
    <w:p w14:paraId="66449D14" w14:textId="77777777" w:rsidR="008E2E5C" w:rsidRPr="00793356" w:rsidRDefault="008E2E5C" w:rsidP="00807EF8">
      <w:pPr>
        <w:spacing w:line="276" w:lineRule="auto"/>
        <w:ind w:left="0"/>
        <w:rPr>
          <w:rFonts w:ascii="Century Gothic" w:hAnsi="Century Gothic"/>
          <w:sz w:val="23"/>
          <w:szCs w:val="23"/>
        </w:rPr>
      </w:pPr>
    </w:p>
    <w:sectPr w:rsidR="008E2E5C" w:rsidRPr="00793356" w:rsidSect="00807EF8">
      <w:headerReference w:type="default" r:id="rId7"/>
      <w:footerReference w:type="default" r:id="rId8"/>
      <w:headerReference w:type="first" r:id="rId9"/>
      <w:pgSz w:w="12240" w:h="15840" w:code="1"/>
      <w:pgMar w:top="2835" w:right="1325" w:bottom="1276"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5B74C" w14:textId="77777777" w:rsidR="00283B51" w:rsidRDefault="00283B51" w:rsidP="00FC3DB5">
      <w:r>
        <w:separator/>
      </w:r>
    </w:p>
  </w:endnote>
  <w:endnote w:type="continuationSeparator" w:id="0">
    <w:p w14:paraId="033F881D" w14:textId="77777777" w:rsidR="00283B51" w:rsidRDefault="00283B51" w:rsidP="00FC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cs="Tahoma"/>
        <w:b/>
        <w:color w:val="943634" w:themeColor="accent2" w:themeShade="BF"/>
      </w:rPr>
      <w:id w:val="-1130857860"/>
      <w:docPartObj>
        <w:docPartGallery w:val="Page Numbers (Bottom of Page)"/>
        <w:docPartUnique/>
      </w:docPartObj>
    </w:sdtPr>
    <w:sdtContent>
      <w:sdt>
        <w:sdtPr>
          <w:rPr>
            <w:rFonts w:ascii="Century Gothic" w:hAnsi="Century Gothic" w:cs="Tahoma"/>
            <w:b/>
            <w:color w:val="943634" w:themeColor="accent2" w:themeShade="BF"/>
          </w:rPr>
          <w:id w:val="-1769616900"/>
          <w:docPartObj>
            <w:docPartGallery w:val="Page Numbers (Top of Page)"/>
            <w:docPartUnique/>
          </w:docPartObj>
        </w:sdtPr>
        <w:sdtContent>
          <w:p w14:paraId="4212D3B5" w14:textId="0738DB5C" w:rsidR="004B60C2" w:rsidRPr="004B60C2" w:rsidRDefault="004B60C2">
            <w:pPr>
              <w:pStyle w:val="Piedepgina"/>
              <w:jc w:val="right"/>
              <w:rPr>
                <w:rFonts w:ascii="Century Gothic" w:hAnsi="Century Gothic" w:cs="Tahoma"/>
                <w:b/>
                <w:color w:val="943634" w:themeColor="accent2" w:themeShade="BF"/>
              </w:rPr>
            </w:pPr>
            <w:r w:rsidRPr="004B60C2">
              <w:rPr>
                <w:rFonts w:ascii="Century Gothic" w:hAnsi="Century Gothic" w:cs="Tahoma"/>
                <w:b/>
                <w:color w:val="943634" w:themeColor="accent2" w:themeShade="BF"/>
                <w:lang w:val="es-ES"/>
              </w:rPr>
              <w:t xml:space="preserve">Página </w:t>
            </w:r>
            <w:r w:rsidRPr="004B60C2">
              <w:rPr>
                <w:rFonts w:ascii="Century Gothic" w:hAnsi="Century Gothic" w:cs="Tahoma"/>
                <w:b/>
                <w:bCs/>
                <w:color w:val="943634" w:themeColor="accent2" w:themeShade="BF"/>
                <w:sz w:val="24"/>
                <w:szCs w:val="24"/>
              </w:rPr>
              <w:fldChar w:fldCharType="begin"/>
            </w:r>
            <w:r w:rsidRPr="004B60C2">
              <w:rPr>
                <w:rFonts w:ascii="Century Gothic" w:hAnsi="Century Gothic" w:cs="Tahoma"/>
                <w:b/>
                <w:bCs/>
                <w:color w:val="943634" w:themeColor="accent2" w:themeShade="BF"/>
              </w:rPr>
              <w:instrText>PAGE</w:instrText>
            </w:r>
            <w:r w:rsidRPr="004B60C2">
              <w:rPr>
                <w:rFonts w:ascii="Century Gothic" w:hAnsi="Century Gothic" w:cs="Tahoma"/>
                <w:b/>
                <w:bCs/>
                <w:color w:val="943634" w:themeColor="accent2" w:themeShade="BF"/>
                <w:sz w:val="24"/>
                <w:szCs w:val="24"/>
              </w:rPr>
              <w:fldChar w:fldCharType="separate"/>
            </w:r>
            <w:r w:rsidR="00027303">
              <w:rPr>
                <w:rFonts w:ascii="Century Gothic" w:hAnsi="Century Gothic" w:cs="Tahoma"/>
                <w:b/>
                <w:bCs/>
                <w:noProof/>
                <w:color w:val="943634" w:themeColor="accent2" w:themeShade="BF"/>
              </w:rPr>
              <w:t>11</w:t>
            </w:r>
            <w:r w:rsidRPr="004B60C2">
              <w:rPr>
                <w:rFonts w:ascii="Century Gothic" w:hAnsi="Century Gothic" w:cs="Tahoma"/>
                <w:b/>
                <w:bCs/>
                <w:color w:val="943634" w:themeColor="accent2" w:themeShade="BF"/>
                <w:sz w:val="24"/>
                <w:szCs w:val="24"/>
              </w:rPr>
              <w:fldChar w:fldCharType="end"/>
            </w:r>
            <w:r w:rsidRPr="004B60C2">
              <w:rPr>
                <w:rFonts w:ascii="Century Gothic" w:hAnsi="Century Gothic" w:cs="Tahoma"/>
                <w:b/>
                <w:color w:val="943634" w:themeColor="accent2" w:themeShade="BF"/>
                <w:lang w:val="es-ES"/>
              </w:rPr>
              <w:t xml:space="preserve"> de </w:t>
            </w:r>
            <w:r w:rsidRPr="004B60C2">
              <w:rPr>
                <w:rFonts w:ascii="Century Gothic" w:hAnsi="Century Gothic" w:cs="Tahoma"/>
                <w:b/>
                <w:bCs/>
                <w:color w:val="943634" w:themeColor="accent2" w:themeShade="BF"/>
                <w:sz w:val="24"/>
                <w:szCs w:val="24"/>
              </w:rPr>
              <w:fldChar w:fldCharType="begin"/>
            </w:r>
            <w:r w:rsidRPr="004B60C2">
              <w:rPr>
                <w:rFonts w:ascii="Century Gothic" w:hAnsi="Century Gothic" w:cs="Tahoma"/>
                <w:b/>
                <w:bCs/>
                <w:color w:val="943634" w:themeColor="accent2" w:themeShade="BF"/>
              </w:rPr>
              <w:instrText>NUMPAGES</w:instrText>
            </w:r>
            <w:r w:rsidRPr="004B60C2">
              <w:rPr>
                <w:rFonts w:ascii="Century Gothic" w:hAnsi="Century Gothic" w:cs="Tahoma"/>
                <w:b/>
                <w:bCs/>
                <w:color w:val="943634" w:themeColor="accent2" w:themeShade="BF"/>
                <w:sz w:val="24"/>
                <w:szCs w:val="24"/>
              </w:rPr>
              <w:fldChar w:fldCharType="separate"/>
            </w:r>
            <w:r w:rsidR="00027303">
              <w:rPr>
                <w:rFonts w:ascii="Century Gothic" w:hAnsi="Century Gothic" w:cs="Tahoma"/>
                <w:b/>
                <w:bCs/>
                <w:noProof/>
                <w:color w:val="943634" w:themeColor="accent2" w:themeShade="BF"/>
              </w:rPr>
              <w:t>11</w:t>
            </w:r>
            <w:r w:rsidRPr="004B60C2">
              <w:rPr>
                <w:rFonts w:ascii="Century Gothic" w:hAnsi="Century Gothic" w:cs="Tahoma"/>
                <w:b/>
                <w:bCs/>
                <w:color w:val="943634" w:themeColor="accent2" w:themeShade="BF"/>
                <w:sz w:val="24"/>
                <w:szCs w:val="24"/>
              </w:rPr>
              <w:fldChar w:fldCharType="end"/>
            </w:r>
          </w:p>
        </w:sdtContent>
      </w:sdt>
    </w:sdtContent>
  </w:sdt>
  <w:p w14:paraId="295CD592" w14:textId="2C5C63CC" w:rsidR="005C4A76" w:rsidRPr="004B60C2" w:rsidRDefault="005C4A76" w:rsidP="004B60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E649F" w14:textId="77777777" w:rsidR="00283B51" w:rsidRDefault="00283B51" w:rsidP="00FC3DB5">
      <w:r>
        <w:separator/>
      </w:r>
    </w:p>
  </w:footnote>
  <w:footnote w:type="continuationSeparator" w:id="0">
    <w:p w14:paraId="090F2BDC" w14:textId="77777777" w:rsidR="00283B51" w:rsidRDefault="00283B51" w:rsidP="00FC3D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C865DA" w:rsidRPr="00070D95" w14:paraId="26EFFD5B" w14:textId="77777777" w:rsidTr="004938FE">
      <w:tc>
        <w:tcPr>
          <w:tcW w:w="1418" w:type="dxa"/>
        </w:tcPr>
        <w:p w14:paraId="4626D95E" w14:textId="77777777" w:rsidR="00C865DA" w:rsidRPr="00070D95" w:rsidRDefault="00C865DA" w:rsidP="00C865DA">
          <w:pPr>
            <w:pStyle w:val="Encabezado"/>
            <w:ind w:left="-170"/>
            <w:jc w:val="left"/>
            <w:rPr>
              <w:rFonts w:ascii="Arial" w:hAnsi="Arial"/>
            </w:rPr>
          </w:pPr>
          <w:r w:rsidRPr="00070D95">
            <w:rPr>
              <w:rFonts w:ascii="Arial" w:hAnsi="Arial"/>
              <w:b/>
              <w:noProof/>
              <w:sz w:val="32"/>
              <w:lang w:eastAsia="es-MX"/>
            </w:rPr>
            <w:drawing>
              <wp:inline distT="0" distB="0" distL="0" distR="0" wp14:anchorId="18BBEE1E" wp14:editId="7CAAA1A1">
                <wp:extent cx="1014331" cy="1199403"/>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5B6DC549" w14:textId="77777777" w:rsidR="00C865DA" w:rsidRPr="00070D95" w:rsidRDefault="00C865DA" w:rsidP="00C865DA">
          <w:pPr>
            <w:pStyle w:val="Encabezado"/>
            <w:spacing w:before="720"/>
            <w:ind w:left="0"/>
            <w:jc w:val="center"/>
            <w:rPr>
              <w:rFonts w:ascii="Arial" w:hAnsi="Arial"/>
              <w:b/>
              <w:bCs/>
              <w:sz w:val="25"/>
              <w:szCs w:val="25"/>
            </w:rPr>
          </w:pPr>
          <w:r w:rsidRPr="00070D95">
            <w:rPr>
              <w:rFonts w:ascii="Arial" w:hAnsi="Arial"/>
              <w:b/>
              <w:bCs/>
              <w:sz w:val="25"/>
              <w:szCs w:val="25"/>
            </w:rPr>
            <w:t>INSTITUTO ELECTORAL Y DE PARTICIPACIÓN CIUDADANA DE TABASCO</w:t>
          </w:r>
        </w:p>
        <w:p w14:paraId="1D366F11" w14:textId="77777777" w:rsidR="00C865DA" w:rsidRPr="00070D95" w:rsidRDefault="009F41D1" w:rsidP="00C865DA">
          <w:pPr>
            <w:pStyle w:val="Encabezado"/>
            <w:ind w:left="0"/>
            <w:jc w:val="center"/>
            <w:rPr>
              <w:rFonts w:ascii="Arial" w:hAnsi="Arial"/>
              <w:sz w:val="25"/>
              <w:szCs w:val="25"/>
            </w:rPr>
          </w:pPr>
          <w:r w:rsidRPr="00070D95">
            <w:rPr>
              <w:rFonts w:ascii="Arial" w:hAnsi="Arial"/>
              <w:sz w:val="25"/>
              <w:szCs w:val="25"/>
            </w:rPr>
            <w:t>JUNTA</w:t>
          </w:r>
          <w:r w:rsidR="00C865DA" w:rsidRPr="00070D95">
            <w:rPr>
              <w:rFonts w:ascii="Arial" w:hAnsi="Arial"/>
              <w:sz w:val="25"/>
              <w:szCs w:val="25"/>
            </w:rPr>
            <w:t xml:space="preserve"> ESTATAL</w:t>
          </w:r>
          <w:r w:rsidRPr="00070D95">
            <w:rPr>
              <w:rFonts w:ascii="Arial" w:hAnsi="Arial"/>
              <w:sz w:val="25"/>
              <w:szCs w:val="25"/>
            </w:rPr>
            <w:t xml:space="preserve"> EJECUTIVA</w:t>
          </w:r>
        </w:p>
      </w:tc>
      <w:tc>
        <w:tcPr>
          <w:tcW w:w="1701" w:type="dxa"/>
        </w:tcPr>
        <w:p w14:paraId="4C4FA815" w14:textId="77777777" w:rsidR="00C865DA" w:rsidRPr="00070D95" w:rsidRDefault="00C865DA" w:rsidP="00C865DA">
          <w:pPr>
            <w:pStyle w:val="Encabezado"/>
            <w:spacing w:before="480"/>
            <w:ind w:left="0"/>
            <w:rPr>
              <w:rFonts w:ascii="Arial" w:hAnsi="Arial"/>
            </w:rPr>
          </w:pPr>
          <w:r w:rsidRPr="00070D95">
            <w:rPr>
              <w:rFonts w:ascii="Arial" w:hAnsi="Arial"/>
              <w:noProof/>
              <w:lang w:eastAsia="es-MX"/>
            </w:rPr>
            <w:drawing>
              <wp:inline distT="0" distB="0" distL="0" distR="0" wp14:anchorId="39078830" wp14:editId="71006616">
                <wp:extent cx="921600" cy="756000"/>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5FD749B9" w14:textId="3D656C87" w:rsidR="00C865DA" w:rsidRPr="00070D95" w:rsidRDefault="00982F88" w:rsidP="00982F88">
    <w:pPr>
      <w:pStyle w:val="Encabezado"/>
      <w:jc w:val="right"/>
      <w:rPr>
        <w:rFonts w:ascii="Arial" w:hAnsi="Arial"/>
        <w:b/>
      </w:rPr>
    </w:pPr>
    <w:r w:rsidRPr="00070D95">
      <w:rPr>
        <w:rFonts w:ascii="Arial" w:hAnsi="Arial"/>
        <w:b/>
      </w:rPr>
      <w:t>JEE/2023/</w:t>
    </w:r>
    <w:r w:rsidR="000D51B6">
      <w:rPr>
        <w:rFonts w:ascii="Arial" w:hAnsi="Arial"/>
        <w:b/>
      </w:rPr>
      <w:t>0</w:t>
    </w:r>
    <w:r w:rsidR="005645ED">
      <w:rPr>
        <w:rFonts w:ascii="Arial" w:hAnsi="Arial"/>
        <w:b/>
      </w:rPr>
      <w:t>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982F88" w:rsidRPr="00CD4F78" w14:paraId="0E4DE677" w14:textId="77777777" w:rsidTr="007820F2">
      <w:tc>
        <w:tcPr>
          <w:tcW w:w="1418" w:type="dxa"/>
        </w:tcPr>
        <w:p w14:paraId="17A78003" w14:textId="77777777" w:rsidR="00982F88" w:rsidRPr="00CD4F78" w:rsidRDefault="00982F88" w:rsidP="00982F88">
          <w:pPr>
            <w:pStyle w:val="Encabezado"/>
            <w:ind w:left="-170"/>
            <w:jc w:val="left"/>
            <w:rPr>
              <w:rFonts w:ascii="Arial" w:hAnsi="Arial"/>
            </w:rPr>
          </w:pPr>
          <w:r w:rsidRPr="00CD4F78">
            <w:rPr>
              <w:rFonts w:ascii="Arial" w:hAnsi="Arial"/>
              <w:b/>
              <w:noProof/>
              <w:sz w:val="32"/>
              <w:lang w:eastAsia="es-MX"/>
            </w:rPr>
            <w:drawing>
              <wp:inline distT="0" distB="0" distL="0" distR="0" wp14:anchorId="5D8F0BC4" wp14:editId="53C3424E">
                <wp:extent cx="1014331" cy="1199403"/>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0FE6A751" w14:textId="77777777" w:rsidR="00982F88" w:rsidRPr="00CD4F78" w:rsidRDefault="00982F88" w:rsidP="00982F88">
          <w:pPr>
            <w:pStyle w:val="Encabezado"/>
            <w:spacing w:before="720"/>
            <w:ind w:left="0"/>
            <w:jc w:val="center"/>
            <w:rPr>
              <w:rFonts w:ascii="Arial" w:hAnsi="Arial"/>
              <w:b/>
              <w:bCs/>
              <w:sz w:val="25"/>
              <w:szCs w:val="25"/>
            </w:rPr>
          </w:pPr>
          <w:r w:rsidRPr="00CD4F78">
            <w:rPr>
              <w:rFonts w:ascii="Arial" w:hAnsi="Arial"/>
              <w:b/>
              <w:bCs/>
              <w:sz w:val="25"/>
              <w:szCs w:val="25"/>
            </w:rPr>
            <w:t>INSTITUTO ELECTORAL Y DE PARTICIPACIÓN CIUDADANA DE TABASCO</w:t>
          </w:r>
        </w:p>
        <w:p w14:paraId="1EAD990F" w14:textId="77777777" w:rsidR="00982F88" w:rsidRPr="00CD4F78" w:rsidRDefault="00982F88" w:rsidP="00982F88">
          <w:pPr>
            <w:pStyle w:val="Encabezado"/>
            <w:ind w:left="0"/>
            <w:jc w:val="center"/>
            <w:rPr>
              <w:rFonts w:ascii="Arial" w:hAnsi="Arial"/>
              <w:sz w:val="25"/>
              <w:szCs w:val="25"/>
            </w:rPr>
          </w:pPr>
          <w:r w:rsidRPr="00CD4F78">
            <w:rPr>
              <w:rFonts w:ascii="Arial" w:hAnsi="Arial"/>
              <w:sz w:val="25"/>
              <w:szCs w:val="25"/>
            </w:rPr>
            <w:t>JUNTA ESTATAL EJECUTIVA</w:t>
          </w:r>
        </w:p>
      </w:tc>
      <w:tc>
        <w:tcPr>
          <w:tcW w:w="1701" w:type="dxa"/>
        </w:tcPr>
        <w:p w14:paraId="04D584A2" w14:textId="77777777" w:rsidR="00982F88" w:rsidRPr="00CD4F78" w:rsidRDefault="00982F88" w:rsidP="00982F88">
          <w:pPr>
            <w:pStyle w:val="Encabezado"/>
            <w:spacing w:before="480"/>
            <w:ind w:left="0"/>
            <w:rPr>
              <w:rFonts w:ascii="Arial" w:hAnsi="Arial"/>
            </w:rPr>
          </w:pPr>
          <w:r w:rsidRPr="00CD4F78">
            <w:rPr>
              <w:rFonts w:ascii="Arial" w:hAnsi="Arial"/>
              <w:noProof/>
              <w:lang w:eastAsia="es-MX"/>
            </w:rPr>
            <w:drawing>
              <wp:inline distT="0" distB="0" distL="0" distR="0" wp14:anchorId="04D39DF4" wp14:editId="455F5788">
                <wp:extent cx="921600" cy="756000"/>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08032E5B" w14:textId="77777777" w:rsidR="005645ED" w:rsidRPr="005645ED" w:rsidRDefault="005645ED" w:rsidP="005645ED">
    <w:pPr>
      <w:pStyle w:val="Rubro"/>
      <w:spacing w:line="293" w:lineRule="auto"/>
      <w:ind w:left="0"/>
      <w:jc w:val="right"/>
      <w:rPr>
        <w:sz w:val="24"/>
        <w:szCs w:val="24"/>
      </w:rPr>
    </w:pPr>
    <w:r w:rsidRPr="005645ED">
      <w:rPr>
        <w:sz w:val="24"/>
        <w:szCs w:val="24"/>
      </w:rPr>
      <w:t>JEE/2023/017</w:t>
    </w:r>
  </w:p>
  <w:p w14:paraId="36356DAD" w14:textId="77777777" w:rsidR="00982F88" w:rsidRPr="00CD4F78" w:rsidRDefault="00982F88">
    <w:pPr>
      <w:pStyle w:val="Encabezado"/>
      <w:rPr>
        <w:rFonts w:ascii="Arial" w:hAnsi="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974B7"/>
    <w:multiLevelType w:val="multilevel"/>
    <w:tmpl w:val="8872030C"/>
    <w:lvl w:ilvl="0">
      <w:start w:val="1"/>
      <w:numFmt w:val="decimal"/>
      <w:pStyle w:val="Ttulo1"/>
      <w:lvlText w:val="%1"/>
      <w:lvlJc w:val="left"/>
      <w:pPr>
        <w:ind w:left="432" w:hanging="432"/>
      </w:pPr>
      <w:rPr>
        <w:w w:val="100"/>
        <w:sz w:val="28"/>
        <w:szCs w:val="32"/>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35345790"/>
    <w:multiLevelType w:val="hybridMultilevel"/>
    <w:tmpl w:val="77244670"/>
    <w:lvl w:ilvl="0" w:tplc="C6F8D50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9562169"/>
    <w:multiLevelType w:val="hybridMultilevel"/>
    <w:tmpl w:val="0304FEF6"/>
    <w:lvl w:ilvl="0" w:tplc="FB5E0F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8EB6536"/>
    <w:multiLevelType w:val="hybridMultilevel"/>
    <w:tmpl w:val="299CD416"/>
    <w:lvl w:ilvl="0" w:tplc="080A000F">
      <w:start w:val="1"/>
      <w:numFmt w:val="decimal"/>
      <w:lvlText w:val="%1."/>
      <w:lvlJc w:val="left"/>
      <w:pPr>
        <w:ind w:left="1230" w:hanging="360"/>
      </w:pPr>
    </w:lvl>
    <w:lvl w:ilvl="1" w:tplc="080A0019" w:tentative="1">
      <w:start w:val="1"/>
      <w:numFmt w:val="lowerLetter"/>
      <w:lvlText w:val="%2."/>
      <w:lvlJc w:val="left"/>
      <w:pPr>
        <w:ind w:left="1950" w:hanging="360"/>
      </w:pPr>
    </w:lvl>
    <w:lvl w:ilvl="2" w:tplc="080A001B" w:tentative="1">
      <w:start w:val="1"/>
      <w:numFmt w:val="lowerRoman"/>
      <w:lvlText w:val="%3."/>
      <w:lvlJc w:val="right"/>
      <w:pPr>
        <w:ind w:left="2670" w:hanging="180"/>
      </w:pPr>
    </w:lvl>
    <w:lvl w:ilvl="3" w:tplc="080A000F" w:tentative="1">
      <w:start w:val="1"/>
      <w:numFmt w:val="decimal"/>
      <w:lvlText w:val="%4."/>
      <w:lvlJc w:val="left"/>
      <w:pPr>
        <w:ind w:left="3390" w:hanging="360"/>
      </w:pPr>
    </w:lvl>
    <w:lvl w:ilvl="4" w:tplc="080A0019" w:tentative="1">
      <w:start w:val="1"/>
      <w:numFmt w:val="lowerLetter"/>
      <w:lvlText w:val="%5."/>
      <w:lvlJc w:val="left"/>
      <w:pPr>
        <w:ind w:left="4110" w:hanging="360"/>
      </w:pPr>
    </w:lvl>
    <w:lvl w:ilvl="5" w:tplc="080A001B" w:tentative="1">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4" w15:restartNumberingAfterBreak="0">
    <w:nsid w:val="593D3B75"/>
    <w:multiLevelType w:val="hybridMultilevel"/>
    <w:tmpl w:val="51405B16"/>
    <w:lvl w:ilvl="0" w:tplc="9692D4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D5574EB"/>
    <w:multiLevelType w:val="hybridMultilevel"/>
    <w:tmpl w:val="BB52C406"/>
    <w:lvl w:ilvl="0" w:tplc="8742691C">
      <w:start w:val="1"/>
      <w:numFmt w:val="lowerLetter"/>
      <w:lvlText w:val="%1)"/>
      <w:lvlJc w:val="left"/>
      <w:pPr>
        <w:ind w:left="870" w:hanging="360"/>
      </w:pPr>
      <w:rPr>
        <w:rFonts w:hint="default"/>
      </w:rPr>
    </w:lvl>
    <w:lvl w:ilvl="1" w:tplc="080A0019" w:tentative="1">
      <w:start w:val="1"/>
      <w:numFmt w:val="lowerLetter"/>
      <w:lvlText w:val="%2."/>
      <w:lvlJc w:val="left"/>
      <w:pPr>
        <w:ind w:left="1590" w:hanging="360"/>
      </w:pPr>
    </w:lvl>
    <w:lvl w:ilvl="2" w:tplc="080A001B" w:tentative="1">
      <w:start w:val="1"/>
      <w:numFmt w:val="lowerRoman"/>
      <w:lvlText w:val="%3."/>
      <w:lvlJc w:val="right"/>
      <w:pPr>
        <w:ind w:left="2310" w:hanging="180"/>
      </w:pPr>
    </w:lvl>
    <w:lvl w:ilvl="3" w:tplc="080A000F" w:tentative="1">
      <w:start w:val="1"/>
      <w:numFmt w:val="decimal"/>
      <w:lvlText w:val="%4."/>
      <w:lvlJc w:val="left"/>
      <w:pPr>
        <w:ind w:left="3030" w:hanging="360"/>
      </w:pPr>
    </w:lvl>
    <w:lvl w:ilvl="4" w:tplc="080A0019" w:tentative="1">
      <w:start w:val="1"/>
      <w:numFmt w:val="lowerLetter"/>
      <w:lvlText w:val="%5."/>
      <w:lvlJc w:val="left"/>
      <w:pPr>
        <w:ind w:left="3750" w:hanging="360"/>
      </w:pPr>
    </w:lvl>
    <w:lvl w:ilvl="5" w:tplc="080A001B" w:tentative="1">
      <w:start w:val="1"/>
      <w:numFmt w:val="lowerRoman"/>
      <w:lvlText w:val="%6."/>
      <w:lvlJc w:val="right"/>
      <w:pPr>
        <w:ind w:left="4470" w:hanging="180"/>
      </w:pPr>
    </w:lvl>
    <w:lvl w:ilvl="6" w:tplc="080A000F" w:tentative="1">
      <w:start w:val="1"/>
      <w:numFmt w:val="decimal"/>
      <w:lvlText w:val="%7."/>
      <w:lvlJc w:val="left"/>
      <w:pPr>
        <w:ind w:left="5190" w:hanging="360"/>
      </w:pPr>
    </w:lvl>
    <w:lvl w:ilvl="7" w:tplc="080A0019" w:tentative="1">
      <w:start w:val="1"/>
      <w:numFmt w:val="lowerLetter"/>
      <w:lvlText w:val="%8."/>
      <w:lvlJc w:val="left"/>
      <w:pPr>
        <w:ind w:left="5910" w:hanging="360"/>
      </w:pPr>
    </w:lvl>
    <w:lvl w:ilvl="8" w:tplc="080A001B" w:tentative="1">
      <w:start w:val="1"/>
      <w:numFmt w:val="lowerRoman"/>
      <w:lvlText w:val="%9."/>
      <w:lvlJc w:val="right"/>
      <w:pPr>
        <w:ind w:left="663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9BB"/>
    <w:rsid w:val="00003A2B"/>
    <w:rsid w:val="00007ADA"/>
    <w:rsid w:val="000202AF"/>
    <w:rsid w:val="000212A4"/>
    <w:rsid w:val="00025400"/>
    <w:rsid w:val="00027303"/>
    <w:rsid w:val="0003105E"/>
    <w:rsid w:val="00036ECB"/>
    <w:rsid w:val="000434BA"/>
    <w:rsid w:val="000550E1"/>
    <w:rsid w:val="00056579"/>
    <w:rsid w:val="00061008"/>
    <w:rsid w:val="00070D95"/>
    <w:rsid w:val="000761CC"/>
    <w:rsid w:val="00081071"/>
    <w:rsid w:val="000841C1"/>
    <w:rsid w:val="00086E43"/>
    <w:rsid w:val="0009150A"/>
    <w:rsid w:val="00092D45"/>
    <w:rsid w:val="00093B80"/>
    <w:rsid w:val="000A5F01"/>
    <w:rsid w:val="000B3AEB"/>
    <w:rsid w:val="000B3E3B"/>
    <w:rsid w:val="000B49F0"/>
    <w:rsid w:val="000C12BA"/>
    <w:rsid w:val="000D51B6"/>
    <w:rsid w:val="000E2EB9"/>
    <w:rsid w:val="000E630B"/>
    <w:rsid w:val="000F5716"/>
    <w:rsid w:val="001025B1"/>
    <w:rsid w:val="00103049"/>
    <w:rsid w:val="00103A96"/>
    <w:rsid w:val="00106095"/>
    <w:rsid w:val="00106A16"/>
    <w:rsid w:val="00111365"/>
    <w:rsid w:val="0011414A"/>
    <w:rsid w:val="00122CF8"/>
    <w:rsid w:val="00126050"/>
    <w:rsid w:val="0012697D"/>
    <w:rsid w:val="00127227"/>
    <w:rsid w:val="00131B30"/>
    <w:rsid w:val="00142267"/>
    <w:rsid w:val="00142FB9"/>
    <w:rsid w:val="001517DA"/>
    <w:rsid w:val="00160B9C"/>
    <w:rsid w:val="00160CBE"/>
    <w:rsid w:val="00161695"/>
    <w:rsid w:val="001677B5"/>
    <w:rsid w:val="00172A99"/>
    <w:rsid w:val="00173BBC"/>
    <w:rsid w:val="00176188"/>
    <w:rsid w:val="001778F3"/>
    <w:rsid w:val="00196D47"/>
    <w:rsid w:val="001B042A"/>
    <w:rsid w:val="001B28CB"/>
    <w:rsid w:val="001B521F"/>
    <w:rsid w:val="001B630A"/>
    <w:rsid w:val="001C0B3E"/>
    <w:rsid w:val="001C73A5"/>
    <w:rsid w:val="001C75AE"/>
    <w:rsid w:val="001E2E51"/>
    <w:rsid w:val="001E5E75"/>
    <w:rsid w:val="001E6B93"/>
    <w:rsid w:val="001F0E0D"/>
    <w:rsid w:val="001F3CBC"/>
    <w:rsid w:val="001F6A42"/>
    <w:rsid w:val="00207C0B"/>
    <w:rsid w:val="0021779D"/>
    <w:rsid w:val="002246C9"/>
    <w:rsid w:val="00234469"/>
    <w:rsid w:val="002415DE"/>
    <w:rsid w:val="00244FC0"/>
    <w:rsid w:val="00252160"/>
    <w:rsid w:val="00257063"/>
    <w:rsid w:val="00274F3C"/>
    <w:rsid w:val="002829FE"/>
    <w:rsid w:val="00283B51"/>
    <w:rsid w:val="002B085B"/>
    <w:rsid w:val="002B4A96"/>
    <w:rsid w:val="002B7A16"/>
    <w:rsid w:val="002C3EA8"/>
    <w:rsid w:val="002C4C41"/>
    <w:rsid w:val="002D0125"/>
    <w:rsid w:val="002D4874"/>
    <w:rsid w:val="002F4BBD"/>
    <w:rsid w:val="00314200"/>
    <w:rsid w:val="00315D50"/>
    <w:rsid w:val="00325450"/>
    <w:rsid w:val="003279DD"/>
    <w:rsid w:val="003307CC"/>
    <w:rsid w:val="00334878"/>
    <w:rsid w:val="003355E3"/>
    <w:rsid w:val="00335ED4"/>
    <w:rsid w:val="003413DD"/>
    <w:rsid w:val="00341F99"/>
    <w:rsid w:val="0034692E"/>
    <w:rsid w:val="003516E4"/>
    <w:rsid w:val="003621C4"/>
    <w:rsid w:val="00366549"/>
    <w:rsid w:val="003718AB"/>
    <w:rsid w:val="00371927"/>
    <w:rsid w:val="003744C7"/>
    <w:rsid w:val="00380BAC"/>
    <w:rsid w:val="003925DA"/>
    <w:rsid w:val="00393EA0"/>
    <w:rsid w:val="003A60EA"/>
    <w:rsid w:val="003A7C41"/>
    <w:rsid w:val="003B2D6E"/>
    <w:rsid w:val="003B7FF6"/>
    <w:rsid w:val="003C01C3"/>
    <w:rsid w:val="003C6907"/>
    <w:rsid w:val="003D1BA4"/>
    <w:rsid w:val="003E1955"/>
    <w:rsid w:val="003E4D4C"/>
    <w:rsid w:val="003E6A3C"/>
    <w:rsid w:val="003F3D08"/>
    <w:rsid w:val="004026F8"/>
    <w:rsid w:val="00402D95"/>
    <w:rsid w:val="0041001F"/>
    <w:rsid w:val="00412B95"/>
    <w:rsid w:val="00414D2F"/>
    <w:rsid w:val="00427C14"/>
    <w:rsid w:val="004338D2"/>
    <w:rsid w:val="00437535"/>
    <w:rsid w:val="00437C56"/>
    <w:rsid w:val="004479BE"/>
    <w:rsid w:val="00450FD8"/>
    <w:rsid w:val="00462624"/>
    <w:rsid w:val="00463F5D"/>
    <w:rsid w:val="004654DC"/>
    <w:rsid w:val="00472283"/>
    <w:rsid w:val="004835A0"/>
    <w:rsid w:val="0048775D"/>
    <w:rsid w:val="00490318"/>
    <w:rsid w:val="00496F41"/>
    <w:rsid w:val="004A1307"/>
    <w:rsid w:val="004A1A41"/>
    <w:rsid w:val="004A2A2A"/>
    <w:rsid w:val="004A769A"/>
    <w:rsid w:val="004B0D85"/>
    <w:rsid w:val="004B1CC4"/>
    <w:rsid w:val="004B60C2"/>
    <w:rsid w:val="004C14E4"/>
    <w:rsid w:val="004C610B"/>
    <w:rsid w:val="004D77E5"/>
    <w:rsid w:val="004E0774"/>
    <w:rsid w:val="004F2F5B"/>
    <w:rsid w:val="004F42C7"/>
    <w:rsid w:val="004F7CB0"/>
    <w:rsid w:val="00500A32"/>
    <w:rsid w:val="005054A8"/>
    <w:rsid w:val="00511AB2"/>
    <w:rsid w:val="00521B58"/>
    <w:rsid w:val="00522ACB"/>
    <w:rsid w:val="00524CCF"/>
    <w:rsid w:val="005277D8"/>
    <w:rsid w:val="005324FE"/>
    <w:rsid w:val="0053550D"/>
    <w:rsid w:val="00552EF1"/>
    <w:rsid w:val="00556D65"/>
    <w:rsid w:val="005645ED"/>
    <w:rsid w:val="00565DBA"/>
    <w:rsid w:val="00572A3E"/>
    <w:rsid w:val="005755B5"/>
    <w:rsid w:val="00575FC1"/>
    <w:rsid w:val="005806E0"/>
    <w:rsid w:val="00582FD1"/>
    <w:rsid w:val="005964FE"/>
    <w:rsid w:val="005A6E65"/>
    <w:rsid w:val="005C265E"/>
    <w:rsid w:val="005C4A76"/>
    <w:rsid w:val="005C4E79"/>
    <w:rsid w:val="005D03DB"/>
    <w:rsid w:val="005D11BA"/>
    <w:rsid w:val="005E132D"/>
    <w:rsid w:val="005E2EC4"/>
    <w:rsid w:val="005E45A4"/>
    <w:rsid w:val="005F0521"/>
    <w:rsid w:val="005F67A3"/>
    <w:rsid w:val="0060158E"/>
    <w:rsid w:val="0060690F"/>
    <w:rsid w:val="00611B2D"/>
    <w:rsid w:val="006123B8"/>
    <w:rsid w:val="00614748"/>
    <w:rsid w:val="00620A7B"/>
    <w:rsid w:val="00621213"/>
    <w:rsid w:val="00623BAB"/>
    <w:rsid w:val="00625872"/>
    <w:rsid w:val="0063663C"/>
    <w:rsid w:val="00642926"/>
    <w:rsid w:val="006476D7"/>
    <w:rsid w:val="006513E6"/>
    <w:rsid w:val="00653A13"/>
    <w:rsid w:val="00661190"/>
    <w:rsid w:val="00664D9C"/>
    <w:rsid w:val="00672A35"/>
    <w:rsid w:val="00677613"/>
    <w:rsid w:val="00677636"/>
    <w:rsid w:val="0068187F"/>
    <w:rsid w:val="00692367"/>
    <w:rsid w:val="006968C2"/>
    <w:rsid w:val="006A2E63"/>
    <w:rsid w:val="006A79F0"/>
    <w:rsid w:val="006B2610"/>
    <w:rsid w:val="006B30EA"/>
    <w:rsid w:val="006B42F0"/>
    <w:rsid w:val="006B684C"/>
    <w:rsid w:val="006C3825"/>
    <w:rsid w:val="006D2C04"/>
    <w:rsid w:val="006D3A4C"/>
    <w:rsid w:val="006D3B96"/>
    <w:rsid w:val="006D580B"/>
    <w:rsid w:val="006F0DFD"/>
    <w:rsid w:val="006F2DB3"/>
    <w:rsid w:val="006F34CF"/>
    <w:rsid w:val="00704F2C"/>
    <w:rsid w:val="007075E2"/>
    <w:rsid w:val="00707ECA"/>
    <w:rsid w:val="007102B8"/>
    <w:rsid w:val="00715822"/>
    <w:rsid w:val="0071785A"/>
    <w:rsid w:val="007249B3"/>
    <w:rsid w:val="007265C3"/>
    <w:rsid w:val="00726F6C"/>
    <w:rsid w:val="007316CC"/>
    <w:rsid w:val="00742EC3"/>
    <w:rsid w:val="00755638"/>
    <w:rsid w:val="0076329D"/>
    <w:rsid w:val="007666FB"/>
    <w:rsid w:val="00771B8B"/>
    <w:rsid w:val="00772BD4"/>
    <w:rsid w:val="0077634D"/>
    <w:rsid w:val="00793356"/>
    <w:rsid w:val="007B43A6"/>
    <w:rsid w:val="007C2994"/>
    <w:rsid w:val="007D102D"/>
    <w:rsid w:val="007D3C99"/>
    <w:rsid w:val="007E2A08"/>
    <w:rsid w:val="007E3354"/>
    <w:rsid w:val="007E6EC2"/>
    <w:rsid w:val="007F36D3"/>
    <w:rsid w:val="00807EF8"/>
    <w:rsid w:val="00811E23"/>
    <w:rsid w:val="00815787"/>
    <w:rsid w:val="008249B9"/>
    <w:rsid w:val="008361D8"/>
    <w:rsid w:val="00844272"/>
    <w:rsid w:val="00846640"/>
    <w:rsid w:val="008653CD"/>
    <w:rsid w:val="0087256F"/>
    <w:rsid w:val="008728D0"/>
    <w:rsid w:val="00876015"/>
    <w:rsid w:val="008760AF"/>
    <w:rsid w:val="00881634"/>
    <w:rsid w:val="008859BB"/>
    <w:rsid w:val="00891A19"/>
    <w:rsid w:val="00892EDE"/>
    <w:rsid w:val="0089408C"/>
    <w:rsid w:val="008961D1"/>
    <w:rsid w:val="00896A91"/>
    <w:rsid w:val="008B3184"/>
    <w:rsid w:val="008B407D"/>
    <w:rsid w:val="008B4308"/>
    <w:rsid w:val="008C21F2"/>
    <w:rsid w:val="008D09A6"/>
    <w:rsid w:val="008D5820"/>
    <w:rsid w:val="008E2E5C"/>
    <w:rsid w:val="008E4E94"/>
    <w:rsid w:val="008E7E6C"/>
    <w:rsid w:val="009106FE"/>
    <w:rsid w:val="00917733"/>
    <w:rsid w:val="0092335A"/>
    <w:rsid w:val="00925318"/>
    <w:rsid w:val="0092579F"/>
    <w:rsid w:val="00931DB4"/>
    <w:rsid w:val="00933C48"/>
    <w:rsid w:val="00934C36"/>
    <w:rsid w:val="00935E9B"/>
    <w:rsid w:val="00935F47"/>
    <w:rsid w:val="00936A5C"/>
    <w:rsid w:val="0094610D"/>
    <w:rsid w:val="009464A0"/>
    <w:rsid w:val="00956E90"/>
    <w:rsid w:val="00960272"/>
    <w:rsid w:val="00965021"/>
    <w:rsid w:val="00973AA2"/>
    <w:rsid w:val="009755DB"/>
    <w:rsid w:val="00982F88"/>
    <w:rsid w:val="00983FE2"/>
    <w:rsid w:val="009A13AF"/>
    <w:rsid w:val="009B0726"/>
    <w:rsid w:val="009B52EF"/>
    <w:rsid w:val="009B61A5"/>
    <w:rsid w:val="009B6832"/>
    <w:rsid w:val="009C121F"/>
    <w:rsid w:val="009D1A05"/>
    <w:rsid w:val="009E1FC2"/>
    <w:rsid w:val="009E3C17"/>
    <w:rsid w:val="009F0975"/>
    <w:rsid w:val="009F41D1"/>
    <w:rsid w:val="00A03DC1"/>
    <w:rsid w:val="00A1138C"/>
    <w:rsid w:val="00A20CF0"/>
    <w:rsid w:val="00A20E24"/>
    <w:rsid w:val="00A228A7"/>
    <w:rsid w:val="00A36638"/>
    <w:rsid w:val="00A53765"/>
    <w:rsid w:val="00A61AC9"/>
    <w:rsid w:val="00A61C52"/>
    <w:rsid w:val="00A70B33"/>
    <w:rsid w:val="00A74457"/>
    <w:rsid w:val="00A83A68"/>
    <w:rsid w:val="00A86E08"/>
    <w:rsid w:val="00A907A7"/>
    <w:rsid w:val="00A9160F"/>
    <w:rsid w:val="00A91C85"/>
    <w:rsid w:val="00A94C16"/>
    <w:rsid w:val="00A95C4A"/>
    <w:rsid w:val="00A97E99"/>
    <w:rsid w:val="00AA29F8"/>
    <w:rsid w:val="00AA6669"/>
    <w:rsid w:val="00AA7AD6"/>
    <w:rsid w:val="00AA7BFE"/>
    <w:rsid w:val="00AB1C30"/>
    <w:rsid w:val="00AB3AF3"/>
    <w:rsid w:val="00AC1328"/>
    <w:rsid w:val="00AC6193"/>
    <w:rsid w:val="00AC6B76"/>
    <w:rsid w:val="00AD2CCC"/>
    <w:rsid w:val="00AD51A2"/>
    <w:rsid w:val="00AD6197"/>
    <w:rsid w:val="00AE5E58"/>
    <w:rsid w:val="00AF2167"/>
    <w:rsid w:val="00B011F1"/>
    <w:rsid w:val="00B07914"/>
    <w:rsid w:val="00B11524"/>
    <w:rsid w:val="00B1252D"/>
    <w:rsid w:val="00B13DDD"/>
    <w:rsid w:val="00B20521"/>
    <w:rsid w:val="00B24DC6"/>
    <w:rsid w:val="00B373D0"/>
    <w:rsid w:val="00B4147D"/>
    <w:rsid w:val="00B51A20"/>
    <w:rsid w:val="00B524AC"/>
    <w:rsid w:val="00B55798"/>
    <w:rsid w:val="00B56538"/>
    <w:rsid w:val="00B61231"/>
    <w:rsid w:val="00B671C9"/>
    <w:rsid w:val="00B7306F"/>
    <w:rsid w:val="00B75995"/>
    <w:rsid w:val="00B8247D"/>
    <w:rsid w:val="00B85FDA"/>
    <w:rsid w:val="00B86A95"/>
    <w:rsid w:val="00B909E6"/>
    <w:rsid w:val="00B91EAD"/>
    <w:rsid w:val="00BA1002"/>
    <w:rsid w:val="00BB0C71"/>
    <w:rsid w:val="00BB7728"/>
    <w:rsid w:val="00BC043C"/>
    <w:rsid w:val="00BD22E8"/>
    <w:rsid w:val="00BD34B7"/>
    <w:rsid w:val="00BD4CCA"/>
    <w:rsid w:val="00BD732B"/>
    <w:rsid w:val="00BD7E15"/>
    <w:rsid w:val="00BE5140"/>
    <w:rsid w:val="00BE5D19"/>
    <w:rsid w:val="00BE67F5"/>
    <w:rsid w:val="00BF03EC"/>
    <w:rsid w:val="00BF1235"/>
    <w:rsid w:val="00BF148F"/>
    <w:rsid w:val="00BF7951"/>
    <w:rsid w:val="00C00C32"/>
    <w:rsid w:val="00C12898"/>
    <w:rsid w:val="00C155A8"/>
    <w:rsid w:val="00C231E8"/>
    <w:rsid w:val="00C3367C"/>
    <w:rsid w:val="00C35192"/>
    <w:rsid w:val="00C36B1B"/>
    <w:rsid w:val="00C50102"/>
    <w:rsid w:val="00C61002"/>
    <w:rsid w:val="00C7455E"/>
    <w:rsid w:val="00C85DAD"/>
    <w:rsid w:val="00C865DA"/>
    <w:rsid w:val="00C95F0E"/>
    <w:rsid w:val="00C97993"/>
    <w:rsid w:val="00CA2809"/>
    <w:rsid w:val="00CB36E0"/>
    <w:rsid w:val="00CC00EA"/>
    <w:rsid w:val="00CC1F22"/>
    <w:rsid w:val="00CC4EC3"/>
    <w:rsid w:val="00CD0782"/>
    <w:rsid w:val="00CD2519"/>
    <w:rsid w:val="00CD4F78"/>
    <w:rsid w:val="00CE01D0"/>
    <w:rsid w:val="00CE1F37"/>
    <w:rsid w:val="00CF0D74"/>
    <w:rsid w:val="00CF4322"/>
    <w:rsid w:val="00CF6AF1"/>
    <w:rsid w:val="00D01213"/>
    <w:rsid w:val="00D123B9"/>
    <w:rsid w:val="00D32F9A"/>
    <w:rsid w:val="00D43C8C"/>
    <w:rsid w:val="00D44F19"/>
    <w:rsid w:val="00D459BC"/>
    <w:rsid w:val="00D632A0"/>
    <w:rsid w:val="00D63C93"/>
    <w:rsid w:val="00D73987"/>
    <w:rsid w:val="00D774B9"/>
    <w:rsid w:val="00D84BDA"/>
    <w:rsid w:val="00D96B68"/>
    <w:rsid w:val="00DA0892"/>
    <w:rsid w:val="00DA312B"/>
    <w:rsid w:val="00DB190F"/>
    <w:rsid w:val="00DD2223"/>
    <w:rsid w:val="00DD68F9"/>
    <w:rsid w:val="00DE3540"/>
    <w:rsid w:val="00DF79A6"/>
    <w:rsid w:val="00E02C88"/>
    <w:rsid w:val="00E03FC9"/>
    <w:rsid w:val="00E07437"/>
    <w:rsid w:val="00E107AB"/>
    <w:rsid w:val="00E14895"/>
    <w:rsid w:val="00E16827"/>
    <w:rsid w:val="00E1691A"/>
    <w:rsid w:val="00E17E9C"/>
    <w:rsid w:val="00E21FC9"/>
    <w:rsid w:val="00E27225"/>
    <w:rsid w:val="00E30766"/>
    <w:rsid w:val="00E368D0"/>
    <w:rsid w:val="00E4592B"/>
    <w:rsid w:val="00E64FB3"/>
    <w:rsid w:val="00E65F03"/>
    <w:rsid w:val="00E6775C"/>
    <w:rsid w:val="00E67D47"/>
    <w:rsid w:val="00E75FC9"/>
    <w:rsid w:val="00E808A0"/>
    <w:rsid w:val="00E8164D"/>
    <w:rsid w:val="00E87384"/>
    <w:rsid w:val="00E92A6A"/>
    <w:rsid w:val="00E95B6F"/>
    <w:rsid w:val="00E96AA5"/>
    <w:rsid w:val="00EB45B6"/>
    <w:rsid w:val="00ED603D"/>
    <w:rsid w:val="00ED7E9C"/>
    <w:rsid w:val="00EE500E"/>
    <w:rsid w:val="00EF4214"/>
    <w:rsid w:val="00F03F25"/>
    <w:rsid w:val="00F1161E"/>
    <w:rsid w:val="00F169C2"/>
    <w:rsid w:val="00F23F56"/>
    <w:rsid w:val="00F30CC2"/>
    <w:rsid w:val="00F360B9"/>
    <w:rsid w:val="00F41AF6"/>
    <w:rsid w:val="00F42BBB"/>
    <w:rsid w:val="00F52327"/>
    <w:rsid w:val="00F5781C"/>
    <w:rsid w:val="00F57E87"/>
    <w:rsid w:val="00F70B5B"/>
    <w:rsid w:val="00F71B64"/>
    <w:rsid w:val="00F71D9A"/>
    <w:rsid w:val="00F742FC"/>
    <w:rsid w:val="00F919B8"/>
    <w:rsid w:val="00FA007A"/>
    <w:rsid w:val="00FB2046"/>
    <w:rsid w:val="00FB3DED"/>
    <w:rsid w:val="00FC3DB5"/>
    <w:rsid w:val="00FD1F2C"/>
    <w:rsid w:val="00FD7304"/>
    <w:rsid w:val="00FE63DB"/>
    <w:rsid w:val="00FE6E11"/>
    <w:rsid w:val="00FF6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AAE03"/>
  <w15:chartTrackingRefBased/>
  <w15:docId w15:val="{DAEF3E44-77DB-4311-8592-255DE130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DB5"/>
    <w:pPr>
      <w:spacing w:after="0" w:line="312" w:lineRule="auto"/>
      <w:ind w:left="510"/>
      <w:jc w:val="both"/>
    </w:pPr>
    <w:rPr>
      <w:rFonts w:ascii="Calisto MT" w:hAnsi="Calisto MT" w:cs="Arial"/>
    </w:rPr>
  </w:style>
  <w:style w:type="paragraph" w:styleId="Ttulo1">
    <w:name w:val="heading 1"/>
    <w:basedOn w:val="Normal"/>
    <w:next w:val="Normal"/>
    <w:link w:val="Ttulo1Car"/>
    <w:uiPriority w:val="9"/>
    <w:qFormat/>
    <w:rsid w:val="00F1161E"/>
    <w:pPr>
      <w:numPr>
        <w:numId w:val="4"/>
      </w:numPr>
      <w:spacing w:before="720" w:after="240" w:line="300" w:lineRule="auto"/>
      <w:jc w:val="center"/>
      <w:outlineLvl w:val="0"/>
    </w:pPr>
    <w:rPr>
      <w:rFonts w:ascii="Century Gothic" w:hAnsi="Century Gothic"/>
      <w:b/>
      <w:sz w:val="28"/>
      <w:szCs w:val="28"/>
    </w:rPr>
  </w:style>
  <w:style w:type="paragraph" w:styleId="Ttulo2">
    <w:name w:val="heading 2"/>
    <w:basedOn w:val="Normal"/>
    <w:next w:val="Normal"/>
    <w:link w:val="Ttulo2Car"/>
    <w:uiPriority w:val="9"/>
    <w:unhideWhenUsed/>
    <w:qFormat/>
    <w:rsid w:val="00176188"/>
    <w:pPr>
      <w:numPr>
        <w:ilvl w:val="1"/>
        <w:numId w:val="4"/>
      </w:numPr>
      <w:spacing w:before="240" w:line="293" w:lineRule="auto"/>
      <w:ind w:left="510" w:hanging="510"/>
      <w:outlineLvl w:val="1"/>
    </w:pPr>
    <w:rPr>
      <w:rFonts w:ascii="Century Gothic" w:hAnsi="Century Gothic"/>
      <w:b/>
      <w:bCs/>
      <w:sz w:val="23"/>
      <w:szCs w:val="23"/>
    </w:rPr>
  </w:style>
  <w:style w:type="paragraph" w:styleId="Ttulo3">
    <w:name w:val="heading 3"/>
    <w:basedOn w:val="Normal"/>
    <w:next w:val="Normal"/>
    <w:link w:val="Ttulo3Car"/>
    <w:uiPriority w:val="9"/>
    <w:semiHidden/>
    <w:unhideWhenUsed/>
    <w:qFormat/>
    <w:rsid w:val="005C265E"/>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5C265E"/>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5C265E"/>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5C265E"/>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5C265E"/>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5C265E"/>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C265E"/>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161E"/>
    <w:rPr>
      <w:rFonts w:ascii="Century Gothic" w:hAnsi="Century Gothic" w:cs="Arial"/>
      <w:b/>
      <w:sz w:val="28"/>
      <w:szCs w:val="28"/>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1B521F"/>
    <w:pPr>
      <w:ind w:left="720"/>
      <w:contextualSpacing/>
    </w:p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1B521F"/>
    <w:rPr>
      <w:rFonts w:ascii="Arial" w:hAnsi="Arial" w:cs="Arial"/>
      <w:sz w:val="24"/>
    </w:rPr>
  </w:style>
  <w:style w:type="paragraph" w:styleId="Cita">
    <w:name w:val="Quote"/>
    <w:basedOn w:val="Normal"/>
    <w:next w:val="Normal"/>
    <w:link w:val="CitaCar"/>
    <w:uiPriority w:val="29"/>
    <w:qFormat/>
    <w:rsid w:val="006D2C04"/>
    <w:pPr>
      <w:spacing w:before="200" w:after="160" w:line="293" w:lineRule="auto"/>
      <w:ind w:left="1021" w:right="510"/>
    </w:pPr>
    <w:rPr>
      <w:rFonts w:ascii="Century Gothic" w:hAnsi="Century Gothic"/>
      <w:sz w:val="20"/>
      <w:szCs w:val="23"/>
    </w:rPr>
  </w:style>
  <w:style w:type="character" w:customStyle="1" w:styleId="CitaCar">
    <w:name w:val="Cita Car"/>
    <w:basedOn w:val="Fuentedeprrafopredeter"/>
    <w:link w:val="Cita"/>
    <w:uiPriority w:val="29"/>
    <w:rsid w:val="006D2C04"/>
    <w:rPr>
      <w:rFonts w:ascii="Century Gothic" w:hAnsi="Century Gothic" w:cs="Arial"/>
      <w:sz w:val="20"/>
      <w:szCs w:val="23"/>
    </w:rPr>
  </w:style>
  <w:style w:type="paragraph" w:styleId="Encabezado">
    <w:name w:val="header"/>
    <w:basedOn w:val="Normal"/>
    <w:link w:val="EncabezadoCar"/>
    <w:uiPriority w:val="99"/>
    <w:unhideWhenUsed/>
    <w:rsid w:val="001B042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B042A"/>
    <w:rPr>
      <w:rFonts w:ascii="Arial" w:hAnsi="Arial" w:cs="Arial"/>
      <w:sz w:val="24"/>
    </w:rPr>
  </w:style>
  <w:style w:type="paragraph" w:styleId="Piedepgina">
    <w:name w:val="footer"/>
    <w:basedOn w:val="Normal"/>
    <w:link w:val="PiedepginaCar"/>
    <w:uiPriority w:val="99"/>
    <w:unhideWhenUsed/>
    <w:rsid w:val="001B042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B042A"/>
    <w:rPr>
      <w:rFonts w:ascii="Arial" w:hAnsi="Arial" w:cs="Arial"/>
      <w:sz w:val="24"/>
    </w:rPr>
  </w:style>
  <w:style w:type="table" w:styleId="Tablaconcuadrcula">
    <w:name w:val="Table Grid"/>
    <w:basedOn w:val="Tablanormal"/>
    <w:uiPriority w:val="3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o">
    <w:name w:val="Rubro"/>
    <w:basedOn w:val="Normal"/>
    <w:link w:val="RubroCar"/>
    <w:qFormat/>
    <w:rsid w:val="005E2EC4"/>
    <w:rPr>
      <w:rFonts w:ascii="Century Gothic" w:hAnsi="Century Gothic"/>
      <w:b/>
    </w:rPr>
  </w:style>
  <w:style w:type="character" w:customStyle="1" w:styleId="Ttulo2Car">
    <w:name w:val="Título 2 Car"/>
    <w:basedOn w:val="Fuentedeprrafopredeter"/>
    <w:link w:val="Ttulo2"/>
    <w:uiPriority w:val="9"/>
    <w:rsid w:val="00176188"/>
    <w:rPr>
      <w:rFonts w:ascii="Century Gothic" w:hAnsi="Century Gothic" w:cs="Arial"/>
      <w:b/>
      <w:bCs/>
      <w:sz w:val="23"/>
      <w:szCs w:val="23"/>
    </w:rPr>
  </w:style>
  <w:style w:type="character" w:customStyle="1" w:styleId="RubroCar">
    <w:name w:val="Rubro Car"/>
    <w:basedOn w:val="Fuentedeprrafopredeter"/>
    <w:link w:val="Rubro"/>
    <w:rsid w:val="005E2EC4"/>
    <w:rPr>
      <w:rFonts w:ascii="Century Gothic" w:hAnsi="Century Gothic" w:cs="Arial"/>
      <w:b/>
      <w:sz w:val="24"/>
    </w:rPr>
  </w:style>
  <w:style w:type="character" w:customStyle="1" w:styleId="Ttulo3Car">
    <w:name w:val="Título 3 Car"/>
    <w:basedOn w:val="Fuentedeprrafopredeter"/>
    <w:link w:val="Ttulo3"/>
    <w:uiPriority w:val="9"/>
    <w:semiHidden/>
    <w:rsid w:val="005C265E"/>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5C265E"/>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5C265E"/>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5C265E"/>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5C265E"/>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5C265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C265E"/>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unhideWhenUsed/>
    <w:rsid w:val="00A228A7"/>
    <w:rPr>
      <w:color w:val="0000FF" w:themeColor="hyperlink"/>
      <w:u w:val="single"/>
    </w:rPr>
  </w:style>
  <w:style w:type="paragraph" w:styleId="Textodeglobo">
    <w:name w:val="Balloon Text"/>
    <w:basedOn w:val="Normal"/>
    <w:link w:val="TextodegloboCar"/>
    <w:uiPriority w:val="99"/>
    <w:semiHidden/>
    <w:unhideWhenUsed/>
    <w:rsid w:val="0009150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15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3141</Words>
  <Characters>17278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Lic_ Carlos E. León Mayo</dc:creator>
  <cp:keywords/>
  <dc:description/>
  <cp:lastModifiedBy>Jaqueline del Carmen Carrillo Llergo</cp:lastModifiedBy>
  <cp:revision>6</cp:revision>
  <cp:lastPrinted>2023-12-28T18:48:00Z</cp:lastPrinted>
  <dcterms:created xsi:type="dcterms:W3CDTF">2023-12-22T21:50:00Z</dcterms:created>
  <dcterms:modified xsi:type="dcterms:W3CDTF">2023-12-28T18:52:00Z</dcterms:modified>
</cp:coreProperties>
</file>