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513B" w14:textId="790D8229" w:rsidR="00966B34" w:rsidRPr="003A3DF8" w:rsidRDefault="00966B34" w:rsidP="00966B34">
      <w:pPr>
        <w:spacing w:before="0" w:after="0"/>
        <w:rPr>
          <w:sz w:val="24"/>
          <w:szCs w:val="24"/>
        </w:rPr>
      </w:pPr>
      <w:r w:rsidRPr="003A3DF8">
        <w:rPr>
          <w:sz w:val="24"/>
          <w:szCs w:val="24"/>
        </w:rPr>
        <w:t xml:space="preserve">ACUERDO QUE EMITE LA JUNTA ESTATAL EJECUTIVA DEL INSTITUTO ELECTORAL Y DE PARTICIPACIÓN CIUDADANA DE TABASCO, POR EL QUE SE AUTORIZA: A) </w:t>
      </w:r>
      <w:r w:rsidR="00696864" w:rsidRPr="003A3DF8">
        <w:rPr>
          <w:sz w:val="24"/>
          <w:szCs w:val="24"/>
        </w:rPr>
        <w:t xml:space="preserve">LA </w:t>
      </w:r>
      <w:r w:rsidR="000F6897" w:rsidRPr="003A3DF8">
        <w:rPr>
          <w:sz w:val="24"/>
          <w:szCs w:val="24"/>
        </w:rPr>
        <w:t>PROMOCIÓN</w:t>
      </w:r>
      <w:r w:rsidR="00696864" w:rsidRPr="003A3DF8">
        <w:rPr>
          <w:sz w:val="24"/>
          <w:szCs w:val="24"/>
        </w:rPr>
        <w:t xml:space="preserve"> CON ADSCRIPCIÓN A LA CONTRAL</w:t>
      </w:r>
      <w:r w:rsidR="003F0009" w:rsidRPr="003A3DF8">
        <w:rPr>
          <w:sz w:val="24"/>
          <w:szCs w:val="24"/>
        </w:rPr>
        <w:t>OR</w:t>
      </w:r>
      <w:r w:rsidR="00696864" w:rsidRPr="003A3DF8">
        <w:rPr>
          <w:sz w:val="24"/>
          <w:szCs w:val="24"/>
        </w:rPr>
        <w:t>ÍA GENERAL</w:t>
      </w:r>
      <w:r w:rsidRPr="003A3DF8">
        <w:rPr>
          <w:sz w:val="24"/>
          <w:szCs w:val="24"/>
        </w:rPr>
        <w:t xml:space="preserve"> Y</w:t>
      </w:r>
      <w:r w:rsidR="003F0009" w:rsidRPr="003A3DF8">
        <w:rPr>
          <w:sz w:val="24"/>
          <w:szCs w:val="24"/>
        </w:rPr>
        <w:t>,</w:t>
      </w:r>
      <w:r w:rsidRPr="003A3DF8">
        <w:rPr>
          <w:sz w:val="24"/>
          <w:szCs w:val="24"/>
        </w:rPr>
        <w:t xml:space="preserve"> B) LA DESIGNACIÓN</w:t>
      </w:r>
      <w:r w:rsidR="003F0009" w:rsidRPr="003A3DF8">
        <w:rPr>
          <w:sz w:val="24"/>
          <w:szCs w:val="24"/>
        </w:rPr>
        <w:t xml:space="preserve"> CON ADSCRIPCIÓN A LA DIRECCIÓN DE ADMINISTRACIÓN</w:t>
      </w:r>
      <w:r w:rsidRPr="003A3DF8">
        <w:rPr>
          <w:sz w:val="24"/>
          <w:szCs w:val="24"/>
        </w:rPr>
        <w:t>, DE LAS PERSONAS SERVIDORAS PÚBLICAS QUE OCUPARÁN LAS VACANTES GENERADAS EN LOS ÓRGANOS CENTRALES DEL INSTITUTO</w:t>
      </w:r>
    </w:p>
    <w:p w14:paraId="72F20ACA" w14:textId="77777777" w:rsidR="00966B34" w:rsidRPr="0027740A" w:rsidRDefault="00966B34" w:rsidP="00966B34">
      <w:pPr>
        <w:spacing w:before="0" w:after="0"/>
        <w:rPr>
          <w:rFonts w:cs="Arial"/>
          <w:b w:val="0"/>
          <w:sz w:val="22"/>
        </w:rPr>
      </w:pPr>
    </w:p>
    <w:p w14:paraId="4A94D6BA" w14:textId="77777777" w:rsidR="00966B34" w:rsidRPr="009232A5" w:rsidRDefault="00966B34" w:rsidP="00966B34">
      <w:pPr>
        <w:spacing w:before="0" w:after="0"/>
        <w:rPr>
          <w:rFonts w:cs="Arial"/>
          <w:b w:val="0"/>
          <w:bCs/>
          <w:sz w:val="22"/>
        </w:rPr>
      </w:pPr>
      <w:r w:rsidRPr="009232A5">
        <w:rPr>
          <w:rFonts w:cs="Arial"/>
          <w:b w:val="0"/>
          <w:bCs/>
          <w:sz w:val="22"/>
        </w:rPr>
        <w:t>Para efectos del presente acuerdo se usarán las abreviaturas y definiciones siguientes:</w:t>
      </w:r>
    </w:p>
    <w:p w14:paraId="4AFE7469" w14:textId="77777777" w:rsidR="00966B34" w:rsidRPr="00427EC0" w:rsidRDefault="00966B34" w:rsidP="00966B34">
      <w:pPr>
        <w:spacing w:before="0" w:after="0"/>
        <w:rPr>
          <w:rFonts w:cs="Arial"/>
          <w:b w:val="0"/>
          <w:bCs/>
          <w:sz w:val="23"/>
          <w:szCs w:val="23"/>
        </w:rPr>
      </w:pPr>
    </w:p>
    <w:tbl>
      <w:tblPr>
        <w:tblStyle w:val="Tablaconcuadrcula"/>
        <w:tblW w:w="0" w:type="auto"/>
        <w:tblInd w:w="704" w:type="dxa"/>
        <w:tblLook w:val="04A0" w:firstRow="1" w:lastRow="0" w:firstColumn="1" w:lastColumn="0" w:noHBand="0" w:noVBand="1"/>
      </w:tblPr>
      <w:tblGrid>
        <w:gridCol w:w="2693"/>
        <w:gridCol w:w="4962"/>
      </w:tblGrid>
      <w:tr w:rsidR="00966B34" w:rsidRPr="00427EC0" w14:paraId="6E0E108A"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1EC4CDFE"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Consejo Estatal:</w:t>
            </w:r>
          </w:p>
        </w:tc>
        <w:tc>
          <w:tcPr>
            <w:tcW w:w="4962" w:type="dxa"/>
            <w:tcBorders>
              <w:left w:val="single" w:sz="4" w:space="0" w:color="CC3399"/>
            </w:tcBorders>
            <w:vAlign w:val="center"/>
          </w:tcPr>
          <w:p w14:paraId="7F1F47AF"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Consejo Estatal del Instituto Electoral y de Participación Ciudadana de Tabasco.</w:t>
            </w:r>
          </w:p>
        </w:tc>
      </w:tr>
      <w:tr w:rsidR="00966B34" w:rsidRPr="00427EC0" w14:paraId="3A03DB31"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2C9D63AA"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Constitución Federal:</w:t>
            </w:r>
          </w:p>
        </w:tc>
        <w:tc>
          <w:tcPr>
            <w:tcW w:w="4962" w:type="dxa"/>
            <w:tcBorders>
              <w:left w:val="single" w:sz="4" w:space="0" w:color="CC3399"/>
            </w:tcBorders>
            <w:vAlign w:val="center"/>
          </w:tcPr>
          <w:p w14:paraId="2D052908"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Constitución Política de los Estados Unidos Mexicanos.</w:t>
            </w:r>
          </w:p>
        </w:tc>
      </w:tr>
      <w:tr w:rsidR="00966B34" w:rsidRPr="00427EC0" w14:paraId="60D0DF4C"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40FCC4FC"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Constitución Local:</w:t>
            </w:r>
          </w:p>
        </w:tc>
        <w:tc>
          <w:tcPr>
            <w:tcW w:w="4962" w:type="dxa"/>
            <w:tcBorders>
              <w:left w:val="single" w:sz="4" w:space="0" w:color="CC3399"/>
            </w:tcBorders>
            <w:vAlign w:val="center"/>
          </w:tcPr>
          <w:p w14:paraId="3C1DDDC0"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Constitución Política del Estado Libre y Soberano de Tabasco.</w:t>
            </w:r>
          </w:p>
        </w:tc>
      </w:tr>
      <w:tr w:rsidR="00966B34" w:rsidRPr="00427EC0" w14:paraId="1F75E569"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48134A90"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INE:</w:t>
            </w:r>
          </w:p>
        </w:tc>
        <w:tc>
          <w:tcPr>
            <w:tcW w:w="4962" w:type="dxa"/>
            <w:tcBorders>
              <w:left w:val="single" w:sz="4" w:space="0" w:color="CC3399"/>
            </w:tcBorders>
            <w:vAlign w:val="center"/>
          </w:tcPr>
          <w:p w14:paraId="27205BFE"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Instituto Nacional Electoral.</w:t>
            </w:r>
          </w:p>
        </w:tc>
      </w:tr>
      <w:tr w:rsidR="00966B34" w:rsidRPr="00427EC0" w14:paraId="699A5BD6"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08EEA139"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Instituto:</w:t>
            </w:r>
          </w:p>
        </w:tc>
        <w:tc>
          <w:tcPr>
            <w:tcW w:w="4962" w:type="dxa"/>
            <w:tcBorders>
              <w:left w:val="single" w:sz="4" w:space="0" w:color="CC3399"/>
            </w:tcBorders>
            <w:vAlign w:val="center"/>
          </w:tcPr>
          <w:p w14:paraId="45ABC466"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Instituto Electoral y de Participación Ciudadana de Tabasco.</w:t>
            </w:r>
          </w:p>
        </w:tc>
      </w:tr>
      <w:tr w:rsidR="00966B34" w:rsidRPr="00427EC0" w14:paraId="2E7F8375"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61C21853"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Junta Ejecutiva:</w:t>
            </w:r>
          </w:p>
        </w:tc>
        <w:tc>
          <w:tcPr>
            <w:tcW w:w="4962" w:type="dxa"/>
            <w:tcBorders>
              <w:left w:val="single" w:sz="4" w:space="0" w:color="CC3399"/>
            </w:tcBorders>
            <w:vAlign w:val="center"/>
          </w:tcPr>
          <w:p w14:paraId="6E2C2475"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Junta Estatal Ejecutiva del Instituto Electoral y de Participación Ciudadana de Tabasco.</w:t>
            </w:r>
          </w:p>
        </w:tc>
      </w:tr>
      <w:tr w:rsidR="00966B34" w:rsidRPr="00427EC0" w14:paraId="1B5EF2BD"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6CE2E928"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Ley Electoral:</w:t>
            </w:r>
          </w:p>
        </w:tc>
        <w:tc>
          <w:tcPr>
            <w:tcW w:w="4962" w:type="dxa"/>
            <w:tcBorders>
              <w:left w:val="single" w:sz="4" w:space="0" w:color="CC3399"/>
            </w:tcBorders>
            <w:vAlign w:val="center"/>
          </w:tcPr>
          <w:p w14:paraId="58179293"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Ley Electoral y de Partidos Políticos del Estado de Tabasco.</w:t>
            </w:r>
          </w:p>
        </w:tc>
      </w:tr>
      <w:tr w:rsidR="00966B34" w:rsidRPr="00427EC0" w14:paraId="1CB99817"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2492EE44"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Reglamento interior:</w:t>
            </w:r>
          </w:p>
        </w:tc>
        <w:tc>
          <w:tcPr>
            <w:tcW w:w="4962" w:type="dxa"/>
            <w:tcBorders>
              <w:left w:val="single" w:sz="4" w:space="0" w:color="CC3399"/>
            </w:tcBorders>
            <w:vAlign w:val="center"/>
          </w:tcPr>
          <w:p w14:paraId="33CB639F"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Reglamento interior del Instituto Electoral y de Participación Ciudadana de Tabasco.</w:t>
            </w:r>
          </w:p>
        </w:tc>
      </w:tr>
      <w:tr w:rsidR="00966B34" w:rsidRPr="00427EC0" w14:paraId="2A8B70BF" w14:textId="77777777" w:rsidTr="000D1A9C">
        <w:tc>
          <w:tcPr>
            <w:tcW w:w="2693" w:type="dxa"/>
            <w:tcBorders>
              <w:top w:val="single" w:sz="4" w:space="0" w:color="CC3399"/>
              <w:left w:val="single" w:sz="4" w:space="0" w:color="CC3399"/>
              <w:bottom w:val="single" w:sz="4" w:space="0" w:color="CC3399"/>
              <w:right w:val="single" w:sz="4" w:space="0" w:color="CC3399"/>
            </w:tcBorders>
            <w:vAlign w:val="center"/>
          </w:tcPr>
          <w:p w14:paraId="170C6F38" w14:textId="77777777" w:rsidR="00966B34" w:rsidRPr="00427EC0" w:rsidRDefault="00966B34" w:rsidP="000D1A9C">
            <w:pPr>
              <w:spacing w:before="120" w:after="120" w:line="276" w:lineRule="auto"/>
              <w:jc w:val="right"/>
              <w:rPr>
                <w:rFonts w:cs="Arial"/>
                <w:sz w:val="20"/>
                <w:szCs w:val="20"/>
              </w:rPr>
            </w:pPr>
            <w:r w:rsidRPr="00427EC0">
              <w:rPr>
                <w:rFonts w:cs="Arial"/>
                <w:sz w:val="20"/>
                <w:szCs w:val="20"/>
              </w:rPr>
              <w:t>Secretaría Ejecutiva:</w:t>
            </w:r>
          </w:p>
        </w:tc>
        <w:tc>
          <w:tcPr>
            <w:tcW w:w="4962" w:type="dxa"/>
            <w:tcBorders>
              <w:left w:val="single" w:sz="4" w:space="0" w:color="CC3399"/>
            </w:tcBorders>
            <w:vAlign w:val="center"/>
          </w:tcPr>
          <w:p w14:paraId="5313680C" w14:textId="77777777" w:rsidR="00966B34" w:rsidRPr="00427EC0" w:rsidRDefault="00966B34" w:rsidP="000D1A9C">
            <w:pPr>
              <w:spacing w:before="120" w:after="120" w:line="276" w:lineRule="auto"/>
              <w:rPr>
                <w:rFonts w:cs="Arial"/>
                <w:b w:val="0"/>
                <w:bCs/>
                <w:sz w:val="20"/>
                <w:szCs w:val="20"/>
              </w:rPr>
            </w:pPr>
            <w:r w:rsidRPr="00427EC0">
              <w:rPr>
                <w:rFonts w:cs="Arial"/>
                <w:b w:val="0"/>
                <w:bCs/>
                <w:sz w:val="20"/>
                <w:szCs w:val="20"/>
              </w:rPr>
              <w:t>Secretaría Ejecutiva del Instituto Electoral y de Participación Ciudadana de Tabasco.</w:t>
            </w:r>
          </w:p>
        </w:tc>
      </w:tr>
    </w:tbl>
    <w:p w14:paraId="427127CD" w14:textId="77777777" w:rsidR="00966B34" w:rsidRDefault="00966B34" w:rsidP="00966B34">
      <w:pPr>
        <w:pStyle w:val="Ttulo1"/>
        <w:ind w:left="432"/>
        <w:rPr>
          <w:rFonts w:cs="Arial"/>
          <w:b w:val="0"/>
          <w:bCs/>
          <w:color w:val="auto"/>
        </w:rPr>
      </w:pPr>
    </w:p>
    <w:p w14:paraId="13A6633D" w14:textId="77777777" w:rsidR="003A3DF8" w:rsidRDefault="003A3DF8" w:rsidP="003A3DF8"/>
    <w:p w14:paraId="5553CB5F" w14:textId="77777777" w:rsidR="003A3DF8" w:rsidRPr="003A3DF8" w:rsidRDefault="003A3DF8" w:rsidP="003A3DF8"/>
    <w:p w14:paraId="0A10CA34" w14:textId="62C3E9B1" w:rsidR="00966B34" w:rsidRDefault="00966B34" w:rsidP="003A3DF8">
      <w:pPr>
        <w:pStyle w:val="Prrafodelista"/>
        <w:numPr>
          <w:ilvl w:val="0"/>
          <w:numId w:val="6"/>
        </w:numPr>
        <w:jc w:val="center"/>
        <w:rPr>
          <w:rFonts w:cs="Arial"/>
          <w:sz w:val="24"/>
          <w:szCs w:val="24"/>
        </w:rPr>
      </w:pPr>
      <w:r w:rsidRPr="003A3DF8">
        <w:rPr>
          <w:rFonts w:cs="Arial"/>
          <w:sz w:val="24"/>
          <w:szCs w:val="24"/>
        </w:rPr>
        <w:lastRenderedPageBreak/>
        <w:t>Antecedentes</w:t>
      </w:r>
    </w:p>
    <w:p w14:paraId="405AD76B" w14:textId="77777777" w:rsidR="003A3DF8" w:rsidRPr="003A3DF8" w:rsidRDefault="003A3DF8" w:rsidP="003A3DF8">
      <w:pPr>
        <w:pStyle w:val="Prrafodelista"/>
        <w:rPr>
          <w:rFonts w:cs="Arial"/>
          <w:sz w:val="24"/>
          <w:szCs w:val="24"/>
        </w:rPr>
      </w:pPr>
    </w:p>
    <w:p w14:paraId="4129E17E" w14:textId="77777777" w:rsidR="00966B34" w:rsidRPr="003A3DF8" w:rsidRDefault="00966B34" w:rsidP="00966B34">
      <w:pPr>
        <w:pStyle w:val="Ttulo2"/>
        <w:numPr>
          <w:ilvl w:val="0"/>
          <w:numId w:val="4"/>
        </w:numPr>
        <w:tabs>
          <w:tab w:val="num" w:pos="360"/>
        </w:tabs>
        <w:ind w:left="357" w:hanging="357"/>
        <w:rPr>
          <w:rFonts w:cs="Arial"/>
          <w:b w:val="0"/>
          <w:bCs/>
          <w:szCs w:val="22"/>
        </w:rPr>
      </w:pPr>
      <w:r w:rsidRPr="00030FA8">
        <w:rPr>
          <w:rFonts w:cs="Arial"/>
          <w:bCs/>
          <w:szCs w:val="22"/>
        </w:rPr>
        <w:t xml:space="preserve">Fines del </w:t>
      </w:r>
      <w:r w:rsidRPr="003A3DF8">
        <w:rPr>
          <w:rFonts w:cs="Arial"/>
          <w:bCs/>
          <w:szCs w:val="22"/>
        </w:rPr>
        <w:t>Instituto</w:t>
      </w:r>
    </w:p>
    <w:p w14:paraId="7EBC65E0" w14:textId="77777777" w:rsidR="00966B34" w:rsidRPr="003A3DF8" w:rsidRDefault="00966B34" w:rsidP="00966B34">
      <w:pPr>
        <w:rPr>
          <w:rFonts w:cs="Arial"/>
          <w:b w:val="0"/>
          <w:bCs/>
          <w:sz w:val="22"/>
        </w:rPr>
      </w:pPr>
      <w:r w:rsidRPr="003A3DF8">
        <w:rPr>
          <w:rFonts w:cs="Arial"/>
          <w:b w:val="0"/>
          <w:bCs/>
          <w:sz w:val="22"/>
        </w:rPr>
        <w:t xml:space="preserve">De conformidad con </w:t>
      </w:r>
      <w:bookmarkStart w:id="0" w:name="_Hlk212470214"/>
      <w:r w:rsidRPr="003A3DF8">
        <w:rPr>
          <w:rFonts w:cs="Arial"/>
          <w:b w:val="0"/>
          <w:bCs/>
          <w:sz w:val="22"/>
        </w:rPr>
        <w:t>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w:t>
      </w:r>
      <w:bookmarkEnd w:id="0"/>
      <w:r w:rsidRPr="003A3DF8">
        <w:rPr>
          <w:rFonts w:cs="Arial"/>
          <w:b w:val="0"/>
          <w:bCs/>
          <w:sz w:val="22"/>
        </w:rPr>
        <w:t xml:space="preserve">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1C9D510A" w14:textId="77777777" w:rsidR="00966B34" w:rsidRPr="003A3DF8" w:rsidRDefault="00966B34" w:rsidP="00966B34">
      <w:pPr>
        <w:rPr>
          <w:rFonts w:cs="Arial"/>
          <w:b w:val="0"/>
          <w:bCs/>
          <w:sz w:val="22"/>
        </w:rPr>
      </w:pPr>
      <w:r w:rsidRPr="003A3DF8">
        <w:rPr>
          <w:rFonts w:cs="Arial"/>
          <w:b w:val="0"/>
          <w:bCs/>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5A3AC07A" w14:textId="77777777" w:rsidR="00966B34" w:rsidRPr="003A3DF8" w:rsidRDefault="00966B34" w:rsidP="00966B34">
      <w:pPr>
        <w:rPr>
          <w:rFonts w:cs="Arial"/>
          <w:b w:val="0"/>
          <w:bCs/>
          <w:sz w:val="22"/>
        </w:rPr>
      </w:pPr>
      <w:r w:rsidRPr="003A3DF8">
        <w:rPr>
          <w:rFonts w:cs="Arial"/>
          <w:b w:val="0"/>
          <w:bCs/>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1AF6EBFA" w14:textId="77777777" w:rsidR="00966B34" w:rsidRPr="003A3DF8" w:rsidRDefault="00966B34" w:rsidP="00966B34">
      <w:pPr>
        <w:pStyle w:val="Ttulo2"/>
        <w:numPr>
          <w:ilvl w:val="0"/>
          <w:numId w:val="4"/>
        </w:numPr>
        <w:tabs>
          <w:tab w:val="num" w:pos="360"/>
        </w:tabs>
        <w:ind w:left="357" w:hanging="357"/>
        <w:rPr>
          <w:rFonts w:cs="Arial"/>
          <w:b w:val="0"/>
          <w:bCs/>
          <w:szCs w:val="22"/>
        </w:rPr>
      </w:pPr>
      <w:r w:rsidRPr="003A3DF8">
        <w:rPr>
          <w:rFonts w:cs="Arial"/>
          <w:bCs/>
          <w:szCs w:val="22"/>
        </w:rPr>
        <w:t>Estructura organizacional</w:t>
      </w:r>
    </w:p>
    <w:p w14:paraId="0DC79FA1" w14:textId="77777777" w:rsidR="00966B34" w:rsidRPr="003A3DF8" w:rsidRDefault="00966B34" w:rsidP="00966B34">
      <w:pPr>
        <w:rPr>
          <w:rFonts w:cs="Arial"/>
          <w:b w:val="0"/>
          <w:bCs/>
          <w:sz w:val="22"/>
        </w:rPr>
      </w:pPr>
      <w:r w:rsidRPr="003A3DF8">
        <w:rPr>
          <w:rFonts w:cs="Arial"/>
          <w:b w:val="0"/>
          <w:bCs/>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3E4393BE" w14:textId="77777777" w:rsidR="00966B34" w:rsidRPr="003A3DF8" w:rsidRDefault="00966B34" w:rsidP="00966B34">
      <w:pPr>
        <w:pStyle w:val="Ttulo2"/>
        <w:numPr>
          <w:ilvl w:val="0"/>
          <w:numId w:val="4"/>
        </w:numPr>
        <w:tabs>
          <w:tab w:val="num" w:pos="360"/>
        </w:tabs>
        <w:ind w:left="357" w:hanging="357"/>
        <w:rPr>
          <w:rFonts w:cs="Arial"/>
          <w:b w:val="0"/>
          <w:bCs/>
          <w:szCs w:val="22"/>
        </w:rPr>
      </w:pPr>
      <w:r w:rsidRPr="003A3DF8">
        <w:rPr>
          <w:rFonts w:cs="Arial"/>
          <w:bCs/>
          <w:szCs w:val="22"/>
        </w:rPr>
        <w:t>Órganos centrales del Instituto</w:t>
      </w:r>
    </w:p>
    <w:p w14:paraId="4187B8F7" w14:textId="77777777" w:rsidR="00966B34" w:rsidRPr="003A3DF8" w:rsidRDefault="00966B34" w:rsidP="00966B34">
      <w:pPr>
        <w:rPr>
          <w:rFonts w:cs="Arial"/>
          <w:b w:val="0"/>
          <w:bCs/>
          <w:sz w:val="22"/>
        </w:rPr>
      </w:pPr>
      <w:r w:rsidRPr="003A3DF8">
        <w:rPr>
          <w:rFonts w:cs="Arial"/>
          <w:b w:val="0"/>
          <w:bCs/>
          <w:sz w:val="22"/>
        </w:rPr>
        <w:t>Por su parte, el artículo 105 numeral 1 de la Ley Electoral los órganos centrales del Instituto son los siguientes:</w:t>
      </w:r>
    </w:p>
    <w:p w14:paraId="0ECFA683" w14:textId="77777777" w:rsidR="00966B34" w:rsidRPr="003A3DF8" w:rsidRDefault="00966B34" w:rsidP="00966B34">
      <w:pPr>
        <w:pStyle w:val="Prrafodelista"/>
        <w:numPr>
          <w:ilvl w:val="0"/>
          <w:numId w:val="2"/>
        </w:numPr>
        <w:spacing w:line="276" w:lineRule="auto"/>
        <w:rPr>
          <w:rFonts w:cs="Arial"/>
          <w:b w:val="0"/>
          <w:bCs/>
          <w:sz w:val="22"/>
        </w:rPr>
      </w:pPr>
      <w:r w:rsidRPr="003A3DF8">
        <w:rPr>
          <w:rFonts w:cs="Arial"/>
          <w:b w:val="0"/>
          <w:bCs/>
          <w:sz w:val="22"/>
        </w:rPr>
        <w:lastRenderedPageBreak/>
        <w:t>Consejo Estatal;</w:t>
      </w:r>
    </w:p>
    <w:p w14:paraId="4F33ADB4" w14:textId="77777777" w:rsidR="00966B34" w:rsidRPr="003A3DF8" w:rsidRDefault="00966B34" w:rsidP="00966B34">
      <w:pPr>
        <w:pStyle w:val="Prrafodelista"/>
        <w:numPr>
          <w:ilvl w:val="0"/>
          <w:numId w:val="2"/>
        </w:numPr>
        <w:spacing w:line="276" w:lineRule="auto"/>
        <w:rPr>
          <w:rFonts w:cs="Arial"/>
          <w:b w:val="0"/>
          <w:bCs/>
          <w:sz w:val="22"/>
        </w:rPr>
      </w:pPr>
      <w:r w:rsidRPr="003A3DF8">
        <w:rPr>
          <w:rFonts w:cs="Arial"/>
          <w:b w:val="0"/>
          <w:bCs/>
          <w:sz w:val="22"/>
        </w:rPr>
        <w:t>Presidencia del Consejo Estatal;</w:t>
      </w:r>
    </w:p>
    <w:p w14:paraId="0C9BC27D" w14:textId="77777777" w:rsidR="00966B34" w:rsidRPr="003A3DF8" w:rsidRDefault="00966B34" w:rsidP="00966B34">
      <w:pPr>
        <w:pStyle w:val="Prrafodelista"/>
        <w:numPr>
          <w:ilvl w:val="0"/>
          <w:numId w:val="2"/>
        </w:numPr>
        <w:spacing w:line="276" w:lineRule="auto"/>
        <w:rPr>
          <w:rFonts w:cs="Arial"/>
          <w:b w:val="0"/>
          <w:bCs/>
          <w:sz w:val="22"/>
        </w:rPr>
      </w:pPr>
      <w:r w:rsidRPr="003A3DF8">
        <w:rPr>
          <w:rFonts w:cs="Arial"/>
          <w:b w:val="0"/>
          <w:bCs/>
          <w:sz w:val="22"/>
        </w:rPr>
        <w:t>Junta Estatal Ejecutiva;</w:t>
      </w:r>
    </w:p>
    <w:p w14:paraId="4E80DEB2" w14:textId="77777777" w:rsidR="00966B34" w:rsidRPr="003A3DF8" w:rsidRDefault="00966B34" w:rsidP="00966B34">
      <w:pPr>
        <w:pStyle w:val="Prrafodelista"/>
        <w:numPr>
          <w:ilvl w:val="0"/>
          <w:numId w:val="2"/>
        </w:numPr>
        <w:spacing w:line="276" w:lineRule="auto"/>
        <w:rPr>
          <w:rFonts w:cs="Arial"/>
          <w:b w:val="0"/>
          <w:bCs/>
          <w:sz w:val="22"/>
        </w:rPr>
      </w:pPr>
      <w:r w:rsidRPr="003A3DF8">
        <w:rPr>
          <w:rFonts w:cs="Arial"/>
          <w:b w:val="0"/>
          <w:bCs/>
          <w:sz w:val="22"/>
        </w:rPr>
        <w:t>Secretaría Ejecutiva, y</w:t>
      </w:r>
    </w:p>
    <w:p w14:paraId="40EC2FBA" w14:textId="77777777" w:rsidR="00966B34" w:rsidRPr="003A3DF8" w:rsidRDefault="00966B34" w:rsidP="00966B34">
      <w:pPr>
        <w:pStyle w:val="Prrafodelista"/>
        <w:numPr>
          <w:ilvl w:val="0"/>
          <w:numId w:val="2"/>
        </w:numPr>
        <w:spacing w:line="276" w:lineRule="auto"/>
        <w:rPr>
          <w:rFonts w:cs="Arial"/>
          <w:b w:val="0"/>
          <w:bCs/>
          <w:sz w:val="22"/>
        </w:rPr>
      </w:pPr>
      <w:r w:rsidRPr="003A3DF8">
        <w:rPr>
          <w:rFonts w:cs="Arial"/>
          <w:b w:val="0"/>
          <w:bCs/>
          <w:sz w:val="22"/>
        </w:rPr>
        <w:t>Órgano Técnico de Fiscalización</w:t>
      </w:r>
    </w:p>
    <w:p w14:paraId="3FEFBCF9" w14:textId="47942CAC" w:rsidR="00966B34" w:rsidRPr="003A3DF8" w:rsidRDefault="00966B34" w:rsidP="00966B34">
      <w:pPr>
        <w:pStyle w:val="Ttulo2"/>
        <w:numPr>
          <w:ilvl w:val="0"/>
          <w:numId w:val="4"/>
        </w:numPr>
        <w:tabs>
          <w:tab w:val="num" w:pos="360"/>
        </w:tabs>
        <w:ind w:left="357" w:hanging="357"/>
        <w:rPr>
          <w:rFonts w:cs="Arial"/>
          <w:bCs/>
          <w:szCs w:val="22"/>
        </w:rPr>
      </w:pPr>
      <w:r w:rsidRPr="003A3DF8">
        <w:rPr>
          <w:rFonts w:cs="Arial"/>
          <w:bCs/>
          <w:szCs w:val="22"/>
        </w:rPr>
        <w:t xml:space="preserve"> Aprobación de la plantilla</w:t>
      </w:r>
    </w:p>
    <w:p w14:paraId="6B318475" w14:textId="77777777" w:rsidR="00966B34" w:rsidRPr="003A3DF8" w:rsidRDefault="00966B34" w:rsidP="00966B34">
      <w:pPr>
        <w:rPr>
          <w:b w:val="0"/>
          <w:color w:val="000000" w:themeColor="text1"/>
          <w:sz w:val="22"/>
        </w:rPr>
      </w:pPr>
      <w:r w:rsidRPr="003A3DF8">
        <w:rPr>
          <w:b w:val="0"/>
          <w:sz w:val="22"/>
        </w:rPr>
        <w:t xml:space="preserve">El 03 de octubre de 2025 mediante acta JEE/EXT/03/10/2025, la Junta Ejecutiva aprobó el analítico de plazas en el que se determinó la plantilla para el Instituto de un total de 176 </w:t>
      </w:r>
      <w:r w:rsidRPr="003A3DF8">
        <w:rPr>
          <w:b w:val="0"/>
          <w:color w:val="000000" w:themeColor="text1"/>
          <w:sz w:val="22"/>
        </w:rPr>
        <w:t xml:space="preserve">plazas presupuestales para el ejercicio 2026. </w:t>
      </w:r>
    </w:p>
    <w:p w14:paraId="65B35AD6" w14:textId="49F8A0C3" w:rsidR="00966B34" w:rsidRPr="003A3DF8" w:rsidRDefault="00966B34" w:rsidP="00966B34">
      <w:pPr>
        <w:pStyle w:val="Ttulo2"/>
        <w:numPr>
          <w:ilvl w:val="0"/>
          <w:numId w:val="4"/>
        </w:numPr>
        <w:tabs>
          <w:tab w:val="num" w:pos="360"/>
        </w:tabs>
        <w:ind w:left="357" w:hanging="357"/>
        <w:rPr>
          <w:rFonts w:cs="Arial"/>
          <w:b w:val="0"/>
          <w:bCs/>
          <w:color w:val="000000" w:themeColor="text1"/>
          <w:szCs w:val="22"/>
        </w:rPr>
      </w:pPr>
      <w:r w:rsidRPr="003A3DF8">
        <w:rPr>
          <w:rFonts w:cs="Arial"/>
          <w:bCs/>
          <w:color w:val="000000" w:themeColor="text1"/>
          <w:szCs w:val="22"/>
        </w:rPr>
        <w:t xml:space="preserve"> Vacante originada</w:t>
      </w:r>
    </w:p>
    <w:p w14:paraId="2CB0B7F5" w14:textId="26AEA7D8" w:rsidR="00966B34" w:rsidRDefault="00966B34" w:rsidP="003A3DF8">
      <w:pPr>
        <w:spacing w:before="0" w:after="0"/>
        <w:rPr>
          <w:rFonts w:cs="Arial"/>
          <w:b w:val="0"/>
          <w:bCs/>
          <w:color w:val="000000" w:themeColor="text1"/>
          <w:sz w:val="22"/>
        </w:rPr>
      </w:pPr>
      <w:r w:rsidRPr="003A3DF8">
        <w:rPr>
          <w:rFonts w:cs="Arial"/>
          <w:b w:val="0"/>
          <w:bCs/>
          <w:color w:val="000000" w:themeColor="text1"/>
          <w:sz w:val="22"/>
        </w:rPr>
        <w:t xml:space="preserve">El </w:t>
      </w:r>
      <w:r w:rsidR="003F0009" w:rsidRPr="003A3DF8">
        <w:rPr>
          <w:rFonts w:cs="Arial"/>
          <w:b w:val="0"/>
          <w:bCs/>
          <w:color w:val="000000" w:themeColor="text1"/>
          <w:sz w:val="22"/>
        </w:rPr>
        <w:t>16</w:t>
      </w:r>
      <w:r w:rsidRPr="003A3DF8">
        <w:rPr>
          <w:rFonts w:cs="Arial"/>
          <w:b w:val="0"/>
          <w:bCs/>
          <w:color w:val="000000" w:themeColor="text1"/>
          <w:sz w:val="22"/>
        </w:rPr>
        <w:t xml:space="preserve"> de </w:t>
      </w:r>
      <w:r w:rsidR="003F0009" w:rsidRPr="003A3DF8">
        <w:rPr>
          <w:rFonts w:cs="Arial"/>
          <w:b w:val="0"/>
          <w:bCs/>
          <w:color w:val="000000" w:themeColor="text1"/>
          <w:sz w:val="22"/>
        </w:rPr>
        <w:t>enero</w:t>
      </w:r>
      <w:r w:rsidRPr="003A3DF8">
        <w:rPr>
          <w:rFonts w:cs="Arial"/>
          <w:b w:val="0"/>
          <w:bCs/>
          <w:color w:val="000000" w:themeColor="text1"/>
          <w:sz w:val="22"/>
        </w:rPr>
        <w:t xml:space="preserve"> de 202</w:t>
      </w:r>
      <w:r w:rsidR="00272301" w:rsidRPr="003A3DF8">
        <w:rPr>
          <w:rFonts w:cs="Arial"/>
          <w:b w:val="0"/>
          <w:bCs/>
          <w:color w:val="000000" w:themeColor="text1"/>
          <w:sz w:val="22"/>
        </w:rPr>
        <w:t>6</w:t>
      </w:r>
      <w:r w:rsidRPr="003A3DF8">
        <w:rPr>
          <w:rFonts w:cs="Arial"/>
          <w:b w:val="0"/>
          <w:bCs/>
          <w:color w:val="000000" w:themeColor="text1"/>
          <w:sz w:val="22"/>
        </w:rPr>
        <w:t xml:space="preserve"> </w:t>
      </w:r>
      <w:r w:rsidR="00272301" w:rsidRPr="003A3DF8">
        <w:rPr>
          <w:rFonts w:cs="Arial"/>
          <w:b w:val="0"/>
          <w:bCs/>
          <w:color w:val="000000" w:themeColor="text1"/>
          <w:sz w:val="22"/>
        </w:rPr>
        <w:t xml:space="preserve">por renuncia </w:t>
      </w:r>
      <w:r w:rsidR="003F0009" w:rsidRPr="003A3DF8">
        <w:rPr>
          <w:rFonts w:cs="Arial"/>
          <w:b w:val="0"/>
          <w:bCs/>
          <w:color w:val="000000" w:themeColor="text1"/>
          <w:sz w:val="22"/>
        </w:rPr>
        <w:t xml:space="preserve">se </w:t>
      </w:r>
      <w:r w:rsidRPr="003A3DF8">
        <w:rPr>
          <w:rFonts w:cs="Arial"/>
          <w:b w:val="0"/>
          <w:bCs/>
          <w:color w:val="000000" w:themeColor="text1"/>
          <w:sz w:val="22"/>
        </w:rPr>
        <w:t>origin</w:t>
      </w:r>
      <w:r w:rsidR="003F0009" w:rsidRPr="003A3DF8">
        <w:rPr>
          <w:rFonts w:cs="Arial"/>
          <w:b w:val="0"/>
          <w:bCs/>
          <w:color w:val="000000" w:themeColor="text1"/>
          <w:sz w:val="22"/>
        </w:rPr>
        <w:t>ó</w:t>
      </w:r>
      <w:r w:rsidRPr="003A3DF8">
        <w:rPr>
          <w:rFonts w:cs="Arial"/>
          <w:b w:val="0"/>
          <w:bCs/>
          <w:color w:val="000000" w:themeColor="text1"/>
          <w:sz w:val="22"/>
        </w:rPr>
        <w:t xml:space="preserve"> la siguiente vacante:</w:t>
      </w:r>
    </w:p>
    <w:p w14:paraId="49728286" w14:textId="77777777" w:rsidR="003A3DF8" w:rsidRPr="003A3DF8" w:rsidRDefault="003A3DF8" w:rsidP="003A3DF8">
      <w:pPr>
        <w:spacing w:before="0" w:after="0"/>
        <w:rPr>
          <w:rFonts w:cs="Arial"/>
          <w:b w:val="0"/>
          <w:bCs/>
          <w:color w:val="000000" w:themeColor="text1"/>
          <w:sz w:val="22"/>
        </w:rPr>
      </w:pPr>
    </w:p>
    <w:tbl>
      <w:tblPr>
        <w:tblStyle w:val="Tablaconcuadrcula"/>
        <w:tblW w:w="6379" w:type="dxa"/>
        <w:tblInd w:w="846" w:type="dxa"/>
        <w:tblLook w:val="04A0" w:firstRow="1" w:lastRow="0" w:firstColumn="1" w:lastColumn="0" w:noHBand="0" w:noVBand="1"/>
      </w:tblPr>
      <w:tblGrid>
        <w:gridCol w:w="2977"/>
        <w:gridCol w:w="3402"/>
      </w:tblGrid>
      <w:tr w:rsidR="00966B34" w:rsidRPr="003A3DF8" w14:paraId="1779FEE3" w14:textId="77777777" w:rsidTr="000E0B81">
        <w:tc>
          <w:tcPr>
            <w:tcW w:w="2977" w:type="dxa"/>
            <w:shd w:val="clear" w:color="auto" w:fill="993366"/>
            <w:vAlign w:val="center"/>
          </w:tcPr>
          <w:p w14:paraId="128E0148" w14:textId="77777777" w:rsidR="00966B34" w:rsidRPr="003A3DF8" w:rsidRDefault="00966B34" w:rsidP="003A3DF8">
            <w:pPr>
              <w:spacing w:before="0" w:after="0"/>
              <w:jc w:val="center"/>
              <w:rPr>
                <w:rFonts w:cs="Arial"/>
                <w:b w:val="0"/>
                <w:color w:val="FFFFFF" w:themeColor="background1"/>
                <w:sz w:val="20"/>
                <w:szCs w:val="20"/>
              </w:rPr>
            </w:pPr>
            <w:r w:rsidRPr="003A3DF8">
              <w:rPr>
                <w:rFonts w:cs="Arial"/>
                <w:color w:val="FFFFFF" w:themeColor="background1"/>
                <w:sz w:val="20"/>
                <w:szCs w:val="20"/>
              </w:rPr>
              <w:t>Categoría</w:t>
            </w:r>
          </w:p>
        </w:tc>
        <w:tc>
          <w:tcPr>
            <w:tcW w:w="3402" w:type="dxa"/>
            <w:shd w:val="clear" w:color="auto" w:fill="993366"/>
            <w:vAlign w:val="center"/>
          </w:tcPr>
          <w:p w14:paraId="6CD3E160" w14:textId="77777777" w:rsidR="00966B34" w:rsidRPr="003A3DF8" w:rsidRDefault="00966B34" w:rsidP="003A3DF8">
            <w:pPr>
              <w:spacing w:before="0" w:after="0"/>
              <w:jc w:val="center"/>
              <w:rPr>
                <w:rFonts w:cs="Arial"/>
                <w:b w:val="0"/>
                <w:color w:val="FFFFFF" w:themeColor="background1"/>
                <w:sz w:val="20"/>
                <w:szCs w:val="20"/>
              </w:rPr>
            </w:pPr>
            <w:r w:rsidRPr="003A3DF8">
              <w:rPr>
                <w:rFonts w:cs="Arial"/>
                <w:color w:val="FFFFFF" w:themeColor="background1"/>
                <w:sz w:val="20"/>
                <w:szCs w:val="20"/>
              </w:rPr>
              <w:t>Adscripción</w:t>
            </w:r>
          </w:p>
        </w:tc>
      </w:tr>
      <w:tr w:rsidR="00966B34" w:rsidRPr="003A3DF8" w14:paraId="600CB22A" w14:textId="77777777" w:rsidTr="000D1A9C">
        <w:tc>
          <w:tcPr>
            <w:tcW w:w="2977" w:type="dxa"/>
            <w:vAlign w:val="center"/>
          </w:tcPr>
          <w:p w14:paraId="3E340A3B" w14:textId="0A958B8B" w:rsidR="00966B34" w:rsidRPr="003A3DF8" w:rsidRDefault="00272301" w:rsidP="003A3DF8">
            <w:pPr>
              <w:spacing w:before="0" w:after="0"/>
              <w:jc w:val="center"/>
              <w:rPr>
                <w:rFonts w:cs="Arial"/>
                <w:color w:val="000000" w:themeColor="text1"/>
                <w:sz w:val="20"/>
                <w:szCs w:val="20"/>
              </w:rPr>
            </w:pPr>
            <w:r w:rsidRPr="003A3DF8">
              <w:rPr>
                <w:rFonts w:cs="Arial"/>
                <w:color w:val="000000" w:themeColor="text1"/>
                <w:sz w:val="20"/>
                <w:szCs w:val="20"/>
              </w:rPr>
              <w:t>Auditor</w:t>
            </w:r>
          </w:p>
        </w:tc>
        <w:tc>
          <w:tcPr>
            <w:tcW w:w="3402" w:type="dxa"/>
            <w:vAlign w:val="center"/>
          </w:tcPr>
          <w:p w14:paraId="6D794303" w14:textId="4AC4B926" w:rsidR="00966B34" w:rsidRPr="003A3DF8" w:rsidRDefault="00272301" w:rsidP="003A3DF8">
            <w:pPr>
              <w:spacing w:before="0" w:after="0"/>
              <w:rPr>
                <w:rFonts w:cs="Arial"/>
                <w:color w:val="000000" w:themeColor="text1"/>
                <w:sz w:val="20"/>
                <w:szCs w:val="20"/>
              </w:rPr>
            </w:pPr>
            <w:r w:rsidRPr="003A3DF8">
              <w:rPr>
                <w:rFonts w:cs="Arial"/>
                <w:color w:val="000000" w:themeColor="text1"/>
                <w:sz w:val="20"/>
                <w:szCs w:val="20"/>
              </w:rPr>
              <w:t>Contraloría General</w:t>
            </w:r>
          </w:p>
        </w:tc>
      </w:tr>
    </w:tbl>
    <w:p w14:paraId="528DD945" w14:textId="77777777" w:rsidR="003A3DF8" w:rsidRDefault="003A3DF8" w:rsidP="003A3DF8">
      <w:pPr>
        <w:pStyle w:val="Ttulo1"/>
        <w:spacing w:before="0" w:after="0"/>
        <w:ind w:left="720"/>
        <w:jc w:val="both"/>
        <w:rPr>
          <w:rFonts w:cs="Arial"/>
          <w:szCs w:val="24"/>
        </w:rPr>
      </w:pPr>
    </w:p>
    <w:p w14:paraId="189C0BF4" w14:textId="77777777" w:rsidR="003A3DF8" w:rsidRPr="003A3DF8" w:rsidRDefault="003A3DF8" w:rsidP="003A3DF8">
      <w:pPr>
        <w:spacing w:before="0" w:after="0"/>
      </w:pPr>
    </w:p>
    <w:p w14:paraId="2F3BC736" w14:textId="48CCED8E" w:rsidR="00966B34" w:rsidRDefault="00966B34" w:rsidP="003A3DF8">
      <w:pPr>
        <w:pStyle w:val="Ttulo1"/>
        <w:numPr>
          <w:ilvl w:val="0"/>
          <w:numId w:val="6"/>
        </w:numPr>
        <w:spacing w:before="0" w:after="0"/>
        <w:ind w:left="714" w:hanging="357"/>
        <w:rPr>
          <w:rFonts w:cs="Arial"/>
          <w:szCs w:val="24"/>
        </w:rPr>
      </w:pPr>
      <w:r w:rsidRPr="003A3DF8">
        <w:rPr>
          <w:rFonts w:cs="Arial"/>
          <w:szCs w:val="24"/>
        </w:rPr>
        <w:t>Considerando</w:t>
      </w:r>
    </w:p>
    <w:p w14:paraId="56393C7A" w14:textId="77777777" w:rsidR="003A3DF8" w:rsidRPr="003A3DF8" w:rsidRDefault="003A3DF8" w:rsidP="003A3DF8">
      <w:pPr>
        <w:spacing w:before="0" w:after="0"/>
      </w:pPr>
    </w:p>
    <w:p w14:paraId="23562262" w14:textId="77777777" w:rsidR="00966B34" w:rsidRPr="00030FA8" w:rsidRDefault="00966B34" w:rsidP="00966B34">
      <w:pPr>
        <w:pStyle w:val="Ttulo2"/>
        <w:numPr>
          <w:ilvl w:val="0"/>
          <w:numId w:val="5"/>
        </w:numPr>
        <w:tabs>
          <w:tab w:val="num" w:pos="360"/>
        </w:tabs>
        <w:spacing w:line="276" w:lineRule="auto"/>
        <w:ind w:left="357" w:hanging="357"/>
        <w:rPr>
          <w:rFonts w:cs="Arial"/>
          <w:b w:val="0"/>
          <w:bCs/>
          <w:szCs w:val="22"/>
        </w:rPr>
      </w:pPr>
      <w:r w:rsidRPr="00030FA8">
        <w:rPr>
          <w:rFonts w:cs="Arial"/>
          <w:bCs/>
          <w:szCs w:val="22"/>
        </w:rPr>
        <w:t>Competencia de la Junta Ejecutiva</w:t>
      </w:r>
    </w:p>
    <w:p w14:paraId="3A71D32F" w14:textId="77777777" w:rsidR="00966B34" w:rsidRPr="00030FA8" w:rsidRDefault="00966B34" w:rsidP="00966B34">
      <w:pPr>
        <w:rPr>
          <w:rFonts w:cs="Arial"/>
          <w:b w:val="0"/>
          <w:bCs/>
          <w:sz w:val="22"/>
        </w:rPr>
      </w:pPr>
      <w:r w:rsidRPr="00030FA8">
        <w:rPr>
          <w:rFonts w:cs="Arial"/>
          <w:b w:val="0"/>
          <w:bCs/>
          <w:sz w:val="22"/>
        </w:rPr>
        <w:t xml:space="preserve">De acuerdo con el artículo 118 de la Ley Electoral se establece que la Junta Ejecutiva, será presidida por la </w:t>
      </w:r>
      <w:proofErr w:type="gramStart"/>
      <w:r w:rsidRPr="00030FA8">
        <w:rPr>
          <w:rFonts w:cs="Arial"/>
          <w:b w:val="0"/>
          <w:bCs/>
          <w:sz w:val="22"/>
        </w:rPr>
        <w:t>Consejera</w:t>
      </w:r>
      <w:proofErr w:type="gramEnd"/>
      <w:r w:rsidRPr="00030FA8">
        <w:rPr>
          <w:rFonts w:cs="Arial"/>
          <w:b w:val="0"/>
          <w:bCs/>
          <w:sz w:val="22"/>
        </w:rPr>
        <w:t xml:space="preserve"> o el </w:t>
      </w:r>
      <w:proofErr w:type="gramStart"/>
      <w:r w:rsidRPr="00030FA8">
        <w:rPr>
          <w:rFonts w:cs="Arial"/>
          <w:b w:val="0"/>
          <w:bCs/>
          <w:sz w:val="22"/>
        </w:rPr>
        <w:t>Consejero Presidente</w:t>
      </w:r>
      <w:proofErr w:type="gramEnd"/>
      <w:r w:rsidRPr="00030FA8">
        <w:rPr>
          <w:rFonts w:cs="Arial"/>
          <w:b w:val="0"/>
          <w:bCs/>
          <w:sz w:val="22"/>
        </w:rPr>
        <w:t xml:space="preserve"> y se integrará con la Secretaría Ejecutiva y con las personas titulares de las Direcciones de Organización Electoral y Educación Cívica; y de Administración. Además, sus atribuciones se prevén en los artículos119 de la Ley Electoral.</w:t>
      </w:r>
    </w:p>
    <w:p w14:paraId="3BBF73C9" w14:textId="77777777" w:rsidR="00966B34" w:rsidRPr="00030FA8" w:rsidRDefault="00966B34" w:rsidP="00966B34">
      <w:pPr>
        <w:rPr>
          <w:rFonts w:cs="Arial"/>
          <w:b w:val="0"/>
          <w:bCs/>
          <w:sz w:val="22"/>
        </w:rPr>
      </w:pPr>
      <w:r w:rsidRPr="00030FA8">
        <w:rPr>
          <w:rFonts w:cs="Arial"/>
          <w:b w:val="0"/>
          <w:bCs/>
          <w:sz w:val="22"/>
        </w:rPr>
        <w:t>Por otra parte, el artículo 16, fracción VI</w:t>
      </w:r>
      <w:r>
        <w:rPr>
          <w:rFonts w:cs="Arial"/>
          <w:b w:val="0"/>
          <w:bCs/>
          <w:sz w:val="22"/>
        </w:rPr>
        <w:t>,</w:t>
      </w:r>
      <w:r w:rsidRPr="00030FA8">
        <w:rPr>
          <w:rFonts w:cs="Arial"/>
          <w:b w:val="0"/>
          <w:bCs/>
          <w:sz w:val="22"/>
        </w:rPr>
        <w:t xml:space="preserve">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3AC9CB53" w14:textId="77777777" w:rsidR="00966B34" w:rsidRPr="00030FA8" w:rsidRDefault="00966B34" w:rsidP="00966B34">
      <w:pPr>
        <w:spacing w:line="276" w:lineRule="auto"/>
        <w:rPr>
          <w:rFonts w:cs="Arial"/>
          <w:b w:val="0"/>
          <w:bCs/>
          <w:sz w:val="22"/>
        </w:rPr>
      </w:pPr>
      <w:r w:rsidRPr="00030FA8">
        <w:rPr>
          <w:rFonts w:cs="Arial"/>
          <w:b w:val="0"/>
          <w:bCs/>
          <w:sz w:val="22"/>
        </w:rPr>
        <w:t>A</w:t>
      </w:r>
      <w:r>
        <w:rPr>
          <w:rFonts w:cs="Arial"/>
          <w:b w:val="0"/>
          <w:bCs/>
          <w:sz w:val="22"/>
        </w:rPr>
        <w:t>demás</w:t>
      </w:r>
      <w:r w:rsidRPr="00030FA8">
        <w:rPr>
          <w:rFonts w:cs="Arial"/>
          <w:b w:val="0"/>
          <w:bCs/>
          <w:sz w:val="22"/>
        </w:rPr>
        <w:t>, el artículo 115, numeral 2</w:t>
      </w:r>
      <w:r>
        <w:rPr>
          <w:rFonts w:cs="Arial"/>
          <w:b w:val="0"/>
          <w:bCs/>
          <w:sz w:val="22"/>
        </w:rPr>
        <w:t>,</w:t>
      </w:r>
      <w:r w:rsidRPr="00030FA8">
        <w:rPr>
          <w:rFonts w:cs="Arial"/>
          <w:b w:val="0"/>
          <w:bCs/>
          <w:sz w:val="22"/>
        </w:rPr>
        <w:t xml:space="preserve">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para la Junta Ejecutiva, se puede advertir que </w:t>
      </w:r>
      <w:r w:rsidRPr="00030FA8">
        <w:rPr>
          <w:rFonts w:cs="Arial"/>
          <w:b w:val="0"/>
          <w:bCs/>
          <w:sz w:val="22"/>
        </w:rPr>
        <w:lastRenderedPageBreak/>
        <w:t>de manera tácita le es aplicable a la misma,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tiene tanto para los acuerdos del Consejo Estatal como los de la Junta Ejecutiva.</w:t>
      </w:r>
    </w:p>
    <w:p w14:paraId="4A1AE5E1" w14:textId="77777777" w:rsidR="00966B34" w:rsidRPr="00030FA8" w:rsidRDefault="00966B34" w:rsidP="00966B34">
      <w:pPr>
        <w:pStyle w:val="Ttulo2"/>
        <w:numPr>
          <w:ilvl w:val="0"/>
          <w:numId w:val="5"/>
        </w:numPr>
        <w:tabs>
          <w:tab w:val="num" w:pos="360"/>
        </w:tabs>
        <w:spacing w:line="276" w:lineRule="auto"/>
        <w:ind w:left="357" w:hanging="357"/>
        <w:rPr>
          <w:rFonts w:cs="Arial"/>
          <w:b w:val="0"/>
          <w:bCs/>
          <w:szCs w:val="22"/>
        </w:rPr>
      </w:pPr>
      <w:r w:rsidRPr="00030FA8">
        <w:rPr>
          <w:rFonts w:cs="Arial"/>
          <w:bCs/>
          <w:szCs w:val="22"/>
        </w:rPr>
        <w:t>Estructura organizacional del Instituto</w:t>
      </w:r>
    </w:p>
    <w:p w14:paraId="04F1C9ED" w14:textId="77777777" w:rsidR="00966B34" w:rsidRPr="00030FA8" w:rsidRDefault="00966B34" w:rsidP="00966B34">
      <w:pPr>
        <w:spacing w:line="276" w:lineRule="auto"/>
        <w:rPr>
          <w:rFonts w:cs="Arial"/>
          <w:b w:val="0"/>
          <w:bCs/>
          <w:sz w:val="22"/>
        </w:rPr>
      </w:pPr>
      <w:r w:rsidRPr="00030FA8">
        <w:rPr>
          <w:rFonts w:cs="Arial"/>
          <w:b w:val="0"/>
          <w:bCs/>
          <w:sz w:val="22"/>
        </w:rPr>
        <w:t>A partir de la aprobación del Reglamento Interior, referida en los antecedentes, se determinó la estructura organizacional del Instituto, de la siguiente manera:</w:t>
      </w:r>
    </w:p>
    <w:p w14:paraId="4ADC2CC3" w14:textId="77777777" w:rsidR="00966B34" w:rsidRPr="00030FA8" w:rsidRDefault="00966B34" w:rsidP="00966B34">
      <w:pPr>
        <w:pStyle w:val="Prrafodelista"/>
        <w:numPr>
          <w:ilvl w:val="0"/>
          <w:numId w:val="1"/>
        </w:numPr>
        <w:spacing w:line="276" w:lineRule="auto"/>
        <w:rPr>
          <w:rFonts w:cs="Arial"/>
          <w:b w:val="0"/>
          <w:bCs/>
          <w:sz w:val="22"/>
        </w:rPr>
      </w:pPr>
      <w:r w:rsidRPr="00030FA8">
        <w:rPr>
          <w:rFonts w:cs="Arial"/>
          <w:b w:val="0"/>
          <w:bCs/>
          <w:sz w:val="22"/>
        </w:rPr>
        <w:t>Presidencia del Instituto</w:t>
      </w:r>
    </w:p>
    <w:p w14:paraId="7BAE205C"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Secretaría Particular;</w:t>
      </w:r>
    </w:p>
    <w:p w14:paraId="621C5C5C"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Asesores;</w:t>
      </w:r>
    </w:p>
    <w:p w14:paraId="751027D6"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Secretaría Técnica;</w:t>
      </w:r>
    </w:p>
    <w:p w14:paraId="07D52499"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Unidad de Igualdad de Género y No Discriminación</w:t>
      </w:r>
    </w:p>
    <w:p w14:paraId="16E9ABC5"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Unidad de Comunicación Social;</w:t>
      </w:r>
    </w:p>
    <w:p w14:paraId="1D6F6229"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Unidad de Transparencia y Acceso a la Información Pública; y</w:t>
      </w:r>
    </w:p>
    <w:p w14:paraId="55157E35"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Unidad de Logística.</w:t>
      </w:r>
    </w:p>
    <w:p w14:paraId="3497A3C0" w14:textId="77777777" w:rsidR="00966B34" w:rsidRPr="00030FA8" w:rsidRDefault="00966B34" w:rsidP="00966B34">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Órgano Técnico de Fiscalización</w:t>
      </w:r>
    </w:p>
    <w:p w14:paraId="3871D730"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 xml:space="preserve">Coordinación de Normatividad, Archivo, Quejas y Denuncias en materia de fiscalización; y </w:t>
      </w:r>
    </w:p>
    <w:p w14:paraId="02592F7F"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Fiscalización, Auditoria, Multas y Sanciones.</w:t>
      </w:r>
    </w:p>
    <w:p w14:paraId="327FD38F" w14:textId="77777777" w:rsidR="00966B34" w:rsidRPr="00030FA8" w:rsidRDefault="00966B34" w:rsidP="00966B34">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Secretaría Ejecutiva</w:t>
      </w:r>
    </w:p>
    <w:p w14:paraId="6CE3E62C"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Secretaría Particular;</w:t>
      </w:r>
    </w:p>
    <w:p w14:paraId="7E0212ED"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Técnica;</w:t>
      </w:r>
    </w:p>
    <w:p w14:paraId="309D127F"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lo Contencioso Electoral;</w:t>
      </w:r>
    </w:p>
    <w:p w14:paraId="14DB6A7B"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Oficialía Electoral;</w:t>
      </w:r>
    </w:p>
    <w:p w14:paraId="4090AA14"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Vinculación con el INE;</w:t>
      </w:r>
    </w:p>
    <w:p w14:paraId="08D9A05A"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Archivo;</w:t>
      </w:r>
    </w:p>
    <w:p w14:paraId="1FE9636E"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Unidad de Planeación y Evaluación;</w:t>
      </w:r>
    </w:p>
    <w:p w14:paraId="5798386B"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Unidad de Tecnologías de la Información y Comunicación.</w:t>
      </w:r>
    </w:p>
    <w:p w14:paraId="05B94953" w14:textId="77777777" w:rsidR="00966B34" w:rsidRPr="00030FA8" w:rsidRDefault="00966B34" w:rsidP="00966B34">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Dirección de Organización Electoral y Educación Cívica</w:t>
      </w:r>
    </w:p>
    <w:p w14:paraId="303EB092"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Organización Electoral;</w:t>
      </w:r>
    </w:p>
    <w:p w14:paraId="7008AC73"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Educación Cívica;</w:t>
      </w:r>
    </w:p>
    <w:p w14:paraId="17CCA8B2"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 xml:space="preserve">Coordinación de Participación Ciudadana; y </w:t>
      </w:r>
    </w:p>
    <w:p w14:paraId="21708451"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Prerrogativas y Partidos Políticos.</w:t>
      </w:r>
    </w:p>
    <w:p w14:paraId="7490CE1F" w14:textId="77777777" w:rsidR="00966B34" w:rsidRPr="00030FA8" w:rsidRDefault="00966B34" w:rsidP="00966B34">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lastRenderedPageBreak/>
        <w:t>Dirección de Administración</w:t>
      </w:r>
    </w:p>
    <w:p w14:paraId="72406C07"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Subdirección de Administración;</w:t>
      </w:r>
    </w:p>
    <w:p w14:paraId="2C7D309F"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Recursos Financieros;</w:t>
      </w:r>
    </w:p>
    <w:p w14:paraId="59BF02C6"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Recursos Humanos;</w:t>
      </w:r>
    </w:p>
    <w:p w14:paraId="0FDA5CEB"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Recursos Materiales;</w:t>
      </w:r>
    </w:p>
    <w:p w14:paraId="472B67EE"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Servicios Generales; y</w:t>
      </w:r>
    </w:p>
    <w:p w14:paraId="673EF704"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de Almacén.</w:t>
      </w:r>
    </w:p>
    <w:p w14:paraId="75974152" w14:textId="77777777" w:rsidR="00966B34" w:rsidRPr="00030FA8" w:rsidRDefault="00966B34" w:rsidP="00966B34">
      <w:pPr>
        <w:pStyle w:val="Prrafodelista"/>
        <w:numPr>
          <w:ilvl w:val="0"/>
          <w:numId w:val="1"/>
        </w:numPr>
        <w:spacing w:before="480" w:after="0" w:line="276" w:lineRule="auto"/>
        <w:ind w:left="714" w:hanging="357"/>
        <w:contextualSpacing w:val="0"/>
        <w:rPr>
          <w:rFonts w:cs="Arial"/>
          <w:b w:val="0"/>
          <w:bCs/>
          <w:sz w:val="22"/>
        </w:rPr>
      </w:pPr>
      <w:r w:rsidRPr="00030FA8">
        <w:rPr>
          <w:rFonts w:cs="Arial"/>
          <w:b w:val="0"/>
          <w:bCs/>
          <w:sz w:val="22"/>
        </w:rPr>
        <w:t>Dirección Jurídica</w:t>
      </w:r>
    </w:p>
    <w:p w14:paraId="46B1E412" w14:textId="77777777" w:rsidR="00966B34" w:rsidRPr="00030FA8" w:rsidRDefault="00966B34" w:rsidP="00966B34">
      <w:pPr>
        <w:pStyle w:val="Prrafodelista"/>
        <w:numPr>
          <w:ilvl w:val="1"/>
          <w:numId w:val="1"/>
        </w:numPr>
        <w:spacing w:line="276" w:lineRule="auto"/>
        <w:rPr>
          <w:rFonts w:cs="Arial"/>
          <w:b w:val="0"/>
          <w:bCs/>
          <w:sz w:val="22"/>
        </w:rPr>
      </w:pPr>
      <w:r w:rsidRPr="00030FA8">
        <w:rPr>
          <w:rFonts w:cs="Arial"/>
          <w:b w:val="0"/>
          <w:bCs/>
          <w:sz w:val="22"/>
        </w:rPr>
        <w:t>Coordinación Jurídica</w:t>
      </w:r>
    </w:p>
    <w:p w14:paraId="318754FD" w14:textId="77777777" w:rsidR="00966B34" w:rsidRPr="00030FA8" w:rsidRDefault="00966B34" w:rsidP="00966B34">
      <w:pPr>
        <w:spacing w:after="0"/>
        <w:rPr>
          <w:rFonts w:cs="Arial"/>
          <w:b w:val="0"/>
          <w:bCs/>
          <w:sz w:val="22"/>
        </w:rPr>
      </w:pPr>
      <w:r w:rsidRPr="00030FA8">
        <w:rPr>
          <w:rFonts w:cs="Arial"/>
          <w:b w:val="0"/>
          <w:bCs/>
          <w:sz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42B8926E" w14:textId="4E629A39" w:rsidR="00966B34" w:rsidRPr="00433C15" w:rsidRDefault="00CE40ED" w:rsidP="00966B34">
      <w:pPr>
        <w:pStyle w:val="Ttulo2"/>
        <w:numPr>
          <w:ilvl w:val="0"/>
          <w:numId w:val="5"/>
        </w:numPr>
        <w:tabs>
          <w:tab w:val="num" w:pos="360"/>
        </w:tabs>
        <w:spacing w:line="276" w:lineRule="auto"/>
        <w:ind w:left="357" w:hanging="357"/>
        <w:rPr>
          <w:rFonts w:cs="Arial"/>
          <w:bCs/>
          <w:szCs w:val="22"/>
        </w:rPr>
      </w:pPr>
      <w:r w:rsidRPr="00433C15">
        <w:rPr>
          <w:rFonts w:cs="Arial"/>
          <w:bCs/>
          <w:szCs w:val="22"/>
        </w:rPr>
        <w:t>Promoción con adscripción a la Contraloría General</w:t>
      </w:r>
    </w:p>
    <w:p w14:paraId="522C2E85" w14:textId="741B8DF2" w:rsidR="00433C15" w:rsidRPr="00433C15" w:rsidRDefault="00CE40ED" w:rsidP="00966B34">
      <w:pPr>
        <w:rPr>
          <w:b w:val="0"/>
          <w:sz w:val="22"/>
        </w:rPr>
      </w:pPr>
      <w:r w:rsidRPr="00433C15">
        <w:rPr>
          <w:b w:val="0"/>
          <w:sz w:val="22"/>
        </w:rPr>
        <w:t>D</w:t>
      </w:r>
      <w:r w:rsidR="00966B34" w:rsidRPr="00433C15">
        <w:rPr>
          <w:b w:val="0"/>
          <w:sz w:val="22"/>
        </w:rPr>
        <w:t xml:space="preserve">erivado de la vacante </w:t>
      </w:r>
      <w:r w:rsidRPr="00433C15">
        <w:rPr>
          <w:b w:val="0"/>
          <w:sz w:val="22"/>
        </w:rPr>
        <w:t xml:space="preserve">originada en </w:t>
      </w:r>
      <w:r w:rsidR="000E0B81" w:rsidRPr="00433C15">
        <w:rPr>
          <w:b w:val="0"/>
          <w:sz w:val="22"/>
        </w:rPr>
        <w:t xml:space="preserve">la Contraloría General del Instituto, el 22 de enero del presente año, la Contraloría General extendió invitación a la servidora pública Rosa María Escobedo Hernández, </w:t>
      </w:r>
      <w:r w:rsidR="00433C15" w:rsidRPr="00433C15">
        <w:rPr>
          <w:b w:val="0"/>
          <w:sz w:val="22"/>
        </w:rPr>
        <w:t>quien se desempeñaba con la categoría de Auxiliar de Área, adscrita a la Dirección de Administración, para presentar el examen correspondiente a efecto de integrar el personal administrativo de la Contraloría General.</w:t>
      </w:r>
    </w:p>
    <w:p w14:paraId="484616B8" w14:textId="7F63C223" w:rsidR="00433C15" w:rsidRDefault="00433C15" w:rsidP="00966B34">
      <w:pPr>
        <w:rPr>
          <w:b w:val="0"/>
          <w:bCs/>
          <w:sz w:val="22"/>
        </w:rPr>
      </w:pPr>
      <w:r w:rsidRPr="00433C15">
        <w:rPr>
          <w:b w:val="0"/>
          <w:bCs/>
          <w:sz w:val="22"/>
        </w:rPr>
        <w:t>Posteriormente, el 26 de enero del presente año, la Contralora General notificó a la Secretaría Ejecutiva, mediante oficio CG/023/2026, que la referida servidora pública aprobó satisfactoriamente el examen de selección, solicitando que, a partir del 1 de febrero de 2026, ocupe la plaza vacante de Auditor adscrita a la Contraloría General.</w:t>
      </w:r>
    </w:p>
    <w:p w14:paraId="1A0A6DBB" w14:textId="16951698" w:rsidR="00433C15" w:rsidRPr="00433C15" w:rsidRDefault="00AE18EF" w:rsidP="00966B34">
      <w:pPr>
        <w:rPr>
          <w:b w:val="0"/>
          <w:bCs/>
          <w:sz w:val="22"/>
        </w:rPr>
      </w:pPr>
      <w:r w:rsidRPr="00AE18EF">
        <w:rPr>
          <w:b w:val="0"/>
          <w:bCs/>
          <w:sz w:val="22"/>
        </w:rPr>
        <w:t xml:space="preserve">Ahora bien, del análisis de la documentación presentada se advierte que la servidora pública propuesta cumple con los requisitos previstos en el artículo 110 de los Estatutos del Servicio Profesional Electoral del Instituto, al ser ciudadana mexicana, encontrarse en pleno ejercicio de sus derechos civiles y políticos, gozar de prestigio y/o buena fama pública, contar con los conocimientos, experiencia y habilidades requeridas para el cargo, cumplir con la escolaridad mínima </w:t>
      </w:r>
      <w:r>
        <w:rPr>
          <w:b w:val="0"/>
          <w:bCs/>
          <w:sz w:val="22"/>
        </w:rPr>
        <w:t>requerida</w:t>
      </w:r>
      <w:r w:rsidRPr="00AE18EF">
        <w:rPr>
          <w:b w:val="0"/>
          <w:bCs/>
          <w:sz w:val="22"/>
        </w:rPr>
        <w:t xml:space="preserve"> y no encontrarse inhabilitada para ocupar cargo o puesto público. Por lo anterior, esta Junta Estatal Ejecutiva no advierte impedimento legal alguno, por lo que considera viable la </w:t>
      </w:r>
      <w:r>
        <w:rPr>
          <w:b w:val="0"/>
          <w:bCs/>
          <w:sz w:val="22"/>
        </w:rPr>
        <w:t>promoción</w:t>
      </w:r>
      <w:r w:rsidRPr="00AE18EF">
        <w:rPr>
          <w:b w:val="0"/>
          <w:bCs/>
          <w:sz w:val="22"/>
        </w:rPr>
        <w:t xml:space="preserve"> conforme al cargo y categoría determinados, la cual surtirá efectos a partir del 1 de febrero de 2026.</w:t>
      </w:r>
    </w:p>
    <w:p w14:paraId="7ECC7260" w14:textId="41D1DD2C" w:rsidR="00966B34" w:rsidRDefault="00966B34" w:rsidP="00966B34">
      <w:pPr>
        <w:pStyle w:val="Ttulo2"/>
        <w:numPr>
          <w:ilvl w:val="0"/>
          <w:numId w:val="5"/>
        </w:numPr>
        <w:tabs>
          <w:tab w:val="num" w:pos="360"/>
        </w:tabs>
        <w:spacing w:line="276" w:lineRule="auto"/>
        <w:ind w:left="357" w:hanging="357"/>
        <w:rPr>
          <w:rFonts w:cs="Arial"/>
          <w:bCs/>
          <w:szCs w:val="22"/>
        </w:rPr>
      </w:pPr>
      <w:r w:rsidRPr="00030FA8">
        <w:rPr>
          <w:rFonts w:cs="Arial"/>
          <w:bCs/>
          <w:szCs w:val="22"/>
        </w:rPr>
        <w:lastRenderedPageBreak/>
        <w:t>Designación</w:t>
      </w:r>
      <w:r>
        <w:rPr>
          <w:rFonts w:cs="Arial"/>
          <w:bCs/>
          <w:szCs w:val="22"/>
        </w:rPr>
        <w:t xml:space="preserve"> de</w:t>
      </w:r>
      <w:r w:rsidRPr="00030FA8">
        <w:rPr>
          <w:rFonts w:cs="Arial"/>
          <w:bCs/>
          <w:szCs w:val="22"/>
        </w:rPr>
        <w:t xml:space="preserve"> servidora pública</w:t>
      </w:r>
    </w:p>
    <w:p w14:paraId="7871D4BF" w14:textId="7E3B814A" w:rsidR="003752C0" w:rsidRPr="00301283" w:rsidRDefault="00400E4F" w:rsidP="003752C0">
      <w:pPr>
        <w:rPr>
          <w:b w:val="0"/>
          <w:bCs/>
          <w:sz w:val="22"/>
        </w:rPr>
      </w:pPr>
      <w:r w:rsidRPr="00301283">
        <w:rPr>
          <w:b w:val="0"/>
          <w:bCs/>
          <w:sz w:val="22"/>
        </w:rPr>
        <w:t>Derivado de la vacante generada en la Dirección de Administración, a partir del 1 de febrero de 2026, como consecuencia de la promoción de una servidora pública con adscripción a la Contraloría General, resulta necesario adoptar las medidas administrativas conducentes para garantizar la continuidad en el ejercicio de las funciones de dicha área</w:t>
      </w:r>
      <w:r w:rsidR="003752C0" w:rsidRPr="00301283">
        <w:rPr>
          <w:b w:val="0"/>
          <w:bCs/>
          <w:sz w:val="22"/>
        </w:rPr>
        <w:t>:</w:t>
      </w:r>
    </w:p>
    <w:tbl>
      <w:tblPr>
        <w:tblStyle w:val="Tablaconcuadrcula"/>
        <w:tblW w:w="6379" w:type="dxa"/>
        <w:tblInd w:w="846" w:type="dxa"/>
        <w:tblLook w:val="04A0" w:firstRow="1" w:lastRow="0" w:firstColumn="1" w:lastColumn="0" w:noHBand="0" w:noVBand="1"/>
      </w:tblPr>
      <w:tblGrid>
        <w:gridCol w:w="2977"/>
        <w:gridCol w:w="3402"/>
      </w:tblGrid>
      <w:tr w:rsidR="00301283" w:rsidRPr="00301283" w14:paraId="5772182C" w14:textId="77777777" w:rsidTr="000516DD">
        <w:tc>
          <w:tcPr>
            <w:tcW w:w="2977" w:type="dxa"/>
            <w:shd w:val="clear" w:color="auto" w:fill="993366"/>
            <w:vAlign w:val="center"/>
          </w:tcPr>
          <w:p w14:paraId="41FB9966" w14:textId="77777777" w:rsidR="003752C0" w:rsidRPr="003A3DF8" w:rsidRDefault="003752C0" w:rsidP="000516DD">
            <w:pPr>
              <w:spacing w:before="40" w:after="40"/>
              <w:jc w:val="center"/>
              <w:rPr>
                <w:rFonts w:cs="Arial"/>
                <w:b w:val="0"/>
                <w:color w:val="FFFFFF" w:themeColor="background1"/>
                <w:sz w:val="20"/>
                <w:szCs w:val="20"/>
              </w:rPr>
            </w:pPr>
            <w:r w:rsidRPr="003A3DF8">
              <w:rPr>
                <w:rFonts w:cs="Arial"/>
                <w:color w:val="FFFFFF" w:themeColor="background1"/>
                <w:sz w:val="20"/>
                <w:szCs w:val="20"/>
              </w:rPr>
              <w:t>Categoría</w:t>
            </w:r>
          </w:p>
        </w:tc>
        <w:tc>
          <w:tcPr>
            <w:tcW w:w="3402" w:type="dxa"/>
            <w:shd w:val="clear" w:color="auto" w:fill="993366"/>
            <w:vAlign w:val="center"/>
          </w:tcPr>
          <w:p w14:paraId="6C38BB30" w14:textId="77777777" w:rsidR="003752C0" w:rsidRPr="003A3DF8" w:rsidRDefault="003752C0" w:rsidP="000516DD">
            <w:pPr>
              <w:spacing w:before="40" w:after="40"/>
              <w:jc w:val="center"/>
              <w:rPr>
                <w:rFonts w:cs="Arial"/>
                <w:b w:val="0"/>
                <w:color w:val="FFFFFF" w:themeColor="background1"/>
                <w:sz w:val="20"/>
                <w:szCs w:val="20"/>
              </w:rPr>
            </w:pPr>
            <w:r w:rsidRPr="003A3DF8">
              <w:rPr>
                <w:rFonts w:cs="Arial"/>
                <w:color w:val="FFFFFF" w:themeColor="background1"/>
                <w:sz w:val="20"/>
                <w:szCs w:val="20"/>
              </w:rPr>
              <w:t>Adscripción</w:t>
            </w:r>
          </w:p>
        </w:tc>
      </w:tr>
      <w:tr w:rsidR="00301283" w:rsidRPr="00301283" w14:paraId="33F16BAC" w14:textId="77777777" w:rsidTr="000516DD">
        <w:tc>
          <w:tcPr>
            <w:tcW w:w="2977" w:type="dxa"/>
            <w:vAlign w:val="center"/>
          </w:tcPr>
          <w:p w14:paraId="4F163403" w14:textId="77777777" w:rsidR="003752C0" w:rsidRPr="003A3DF8" w:rsidRDefault="003752C0" w:rsidP="000516DD">
            <w:pPr>
              <w:spacing w:before="40" w:after="40"/>
              <w:jc w:val="center"/>
              <w:rPr>
                <w:rFonts w:cs="Arial"/>
                <w:sz w:val="20"/>
                <w:szCs w:val="20"/>
              </w:rPr>
            </w:pPr>
            <w:r w:rsidRPr="003A3DF8">
              <w:rPr>
                <w:rFonts w:cs="Arial"/>
                <w:sz w:val="20"/>
                <w:szCs w:val="20"/>
              </w:rPr>
              <w:t>Auxiliar de área</w:t>
            </w:r>
          </w:p>
        </w:tc>
        <w:tc>
          <w:tcPr>
            <w:tcW w:w="3402" w:type="dxa"/>
            <w:vAlign w:val="center"/>
          </w:tcPr>
          <w:p w14:paraId="21D643BD" w14:textId="77777777" w:rsidR="003752C0" w:rsidRPr="003A3DF8" w:rsidRDefault="003752C0" w:rsidP="000516DD">
            <w:pPr>
              <w:spacing w:before="40" w:after="40"/>
              <w:rPr>
                <w:rFonts w:cs="Arial"/>
                <w:sz w:val="20"/>
                <w:szCs w:val="20"/>
              </w:rPr>
            </w:pPr>
            <w:r w:rsidRPr="003A3DF8">
              <w:rPr>
                <w:rFonts w:cs="Arial"/>
                <w:sz w:val="20"/>
                <w:szCs w:val="20"/>
              </w:rPr>
              <w:t>Dirección de Administración</w:t>
            </w:r>
          </w:p>
        </w:tc>
      </w:tr>
    </w:tbl>
    <w:p w14:paraId="044CD540" w14:textId="39B29303" w:rsidR="00966B34" w:rsidRPr="00301283" w:rsidRDefault="00433C15" w:rsidP="00966B34">
      <w:pPr>
        <w:rPr>
          <w:rFonts w:cs="Arial"/>
          <w:b w:val="0"/>
          <w:sz w:val="22"/>
        </w:rPr>
      </w:pPr>
      <w:r w:rsidRPr="00301283">
        <w:rPr>
          <w:rFonts w:cs="Arial"/>
          <w:b w:val="0"/>
          <w:sz w:val="22"/>
        </w:rPr>
        <w:t>En ese sentido, con el objeto de evitar afectaciones al desarrollo ordinario de las actividades administrativas del Instituto, se estima procedente la designación con adscripción a la Dirección de Administración, de la persona servidora pública que ocupará la vacante generada.</w:t>
      </w:r>
    </w:p>
    <w:p w14:paraId="129D9BD8" w14:textId="5A62B620" w:rsidR="00966B34" w:rsidRPr="00301283" w:rsidRDefault="00433C15" w:rsidP="00966B34">
      <w:pPr>
        <w:rPr>
          <w:rFonts w:cs="Arial"/>
          <w:b w:val="0"/>
          <w:bCs/>
          <w:sz w:val="22"/>
        </w:rPr>
      </w:pPr>
      <w:r w:rsidRPr="00301283">
        <w:rPr>
          <w:rFonts w:cs="Arial"/>
          <w:b w:val="0"/>
          <w:sz w:val="22"/>
        </w:rPr>
        <w:t xml:space="preserve">En ese contexto se formula la propuesta correspondiente de conformidad con lo dispuesto en el artículo 116 de la Ley Electoral, </w:t>
      </w:r>
      <w:r w:rsidR="00AE18EF" w:rsidRPr="00301283">
        <w:rPr>
          <w:rFonts w:cs="Arial"/>
          <w:b w:val="0"/>
          <w:sz w:val="22"/>
        </w:rPr>
        <w:t>ya que,</w:t>
      </w:r>
      <w:r w:rsidRPr="00301283">
        <w:rPr>
          <w:rFonts w:cs="Arial"/>
          <w:b w:val="0"/>
          <w:sz w:val="22"/>
        </w:rPr>
        <w:t xml:space="preserve"> en ejercicio de las atribuciones conferidas a la Presidencia del Instituto </w:t>
      </w:r>
      <w:r w:rsidR="00966B34" w:rsidRPr="00301283">
        <w:rPr>
          <w:rFonts w:cs="Arial"/>
          <w:b w:val="0"/>
          <w:sz w:val="22"/>
        </w:rPr>
        <w:t>en</w:t>
      </w:r>
      <w:r w:rsidR="00966B34" w:rsidRPr="00301283">
        <w:rPr>
          <w:rFonts w:cs="Arial"/>
          <w:b w:val="0"/>
          <w:bCs/>
          <w:sz w:val="22"/>
        </w:rPr>
        <w:t xml:space="preserve"> coordinación con </w:t>
      </w:r>
      <w:r w:rsidRPr="00301283">
        <w:rPr>
          <w:rFonts w:cs="Arial"/>
          <w:b w:val="0"/>
          <w:bCs/>
          <w:sz w:val="22"/>
        </w:rPr>
        <w:t>el titular de la Dirección de Administración</w:t>
      </w:r>
      <w:r w:rsidR="00966B34" w:rsidRPr="00301283">
        <w:rPr>
          <w:rFonts w:cs="Arial"/>
          <w:b w:val="0"/>
          <w:bCs/>
          <w:sz w:val="22"/>
        </w:rPr>
        <w:t xml:space="preserve">, </w:t>
      </w:r>
      <w:r w:rsidRPr="00301283">
        <w:rPr>
          <w:rFonts w:cs="Arial"/>
          <w:b w:val="0"/>
          <w:bCs/>
          <w:sz w:val="22"/>
        </w:rPr>
        <w:t xml:space="preserve">se </w:t>
      </w:r>
      <w:r w:rsidR="00966B34" w:rsidRPr="00301283">
        <w:rPr>
          <w:rFonts w:cs="Arial"/>
          <w:b w:val="0"/>
          <w:bCs/>
          <w:sz w:val="22"/>
        </w:rPr>
        <w:t>propuso a la siguiente persona para cubrir la vacante, de la manera siguiente:</w:t>
      </w:r>
    </w:p>
    <w:tbl>
      <w:tblPr>
        <w:tblStyle w:val="Tablaconcuadrcula"/>
        <w:tblW w:w="0" w:type="auto"/>
        <w:tblInd w:w="421" w:type="dxa"/>
        <w:tblLook w:val="04A0" w:firstRow="1" w:lastRow="0" w:firstColumn="1" w:lastColumn="0" w:noHBand="0" w:noVBand="1"/>
      </w:tblPr>
      <w:tblGrid>
        <w:gridCol w:w="3543"/>
        <w:gridCol w:w="2127"/>
        <w:gridCol w:w="1984"/>
      </w:tblGrid>
      <w:tr w:rsidR="00301283" w:rsidRPr="00301283" w14:paraId="0A32FD53" w14:textId="77777777" w:rsidTr="000E0B81">
        <w:tc>
          <w:tcPr>
            <w:tcW w:w="3543" w:type="dxa"/>
            <w:shd w:val="clear" w:color="auto" w:fill="993366"/>
            <w:vAlign w:val="center"/>
          </w:tcPr>
          <w:p w14:paraId="43706BA9" w14:textId="77777777" w:rsidR="00966B34" w:rsidRPr="003A3DF8" w:rsidRDefault="00966B34" w:rsidP="000D1A9C">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Nombre</w:t>
            </w:r>
          </w:p>
        </w:tc>
        <w:tc>
          <w:tcPr>
            <w:tcW w:w="2127" w:type="dxa"/>
            <w:shd w:val="clear" w:color="auto" w:fill="993366"/>
            <w:vAlign w:val="center"/>
          </w:tcPr>
          <w:p w14:paraId="4ADF0318" w14:textId="77777777" w:rsidR="00966B34" w:rsidRPr="003A3DF8" w:rsidRDefault="00966B34" w:rsidP="000D1A9C">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Cargo/Categoría</w:t>
            </w:r>
          </w:p>
        </w:tc>
        <w:tc>
          <w:tcPr>
            <w:tcW w:w="1984" w:type="dxa"/>
            <w:shd w:val="clear" w:color="auto" w:fill="993366"/>
            <w:vAlign w:val="center"/>
          </w:tcPr>
          <w:p w14:paraId="68867B3F" w14:textId="77777777" w:rsidR="00966B34" w:rsidRPr="003A3DF8" w:rsidRDefault="00966B34" w:rsidP="000D1A9C">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Adscripción</w:t>
            </w:r>
          </w:p>
        </w:tc>
      </w:tr>
      <w:tr w:rsidR="00301283" w:rsidRPr="00301283" w14:paraId="4E9C2871" w14:textId="77777777" w:rsidTr="000D1A9C">
        <w:tc>
          <w:tcPr>
            <w:tcW w:w="3543" w:type="dxa"/>
            <w:vAlign w:val="center"/>
          </w:tcPr>
          <w:p w14:paraId="6D9C2847" w14:textId="6502BDD2" w:rsidR="00966B34" w:rsidRPr="003A3DF8" w:rsidRDefault="00433C15" w:rsidP="000D1A9C">
            <w:pPr>
              <w:spacing w:before="40" w:after="40" w:line="276" w:lineRule="auto"/>
              <w:rPr>
                <w:rFonts w:cs="Arial"/>
                <w:sz w:val="20"/>
                <w:szCs w:val="20"/>
              </w:rPr>
            </w:pPr>
            <w:r w:rsidRPr="003A3DF8">
              <w:rPr>
                <w:rFonts w:cs="Arial"/>
                <w:sz w:val="20"/>
                <w:szCs w:val="20"/>
              </w:rPr>
              <w:t xml:space="preserve">Nallely García </w:t>
            </w:r>
            <w:proofErr w:type="spellStart"/>
            <w:r w:rsidRPr="003A3DF8">
              <w:rPr>
                <w:rFonts w:cs="Arial"/>
                <w:sz w:val="20"/>
                <w:szCs w:val="20"/>
              </w:rPr>
              <w:t>García</w:t>
            </w:r>
            <w:proofErr w:type="spellEnd"/>
          </w:p>
        </w:tc>
        <w:tc>
          <w:tcPr>
            <w:tcW w:w="2127" w:type="dxa"/>
            <w:vAlign w:val="center"/>
          </w:tcPr>
          <w:p w14:paraId="1AC20CD4" w14:textId="77777777" w:rsidR="00966B34" w:rsidRPr="003A3DF8" w:rsidRDefault="00966B34" w:rsidP="000D1A9C">
            <w:pPr>
              <w:spacing w:before="40" w:after="40" w:line="276" w:lineRule="auto"/>
              <w:jc w:val="center"/>
              <w:rPr>
                <w:rFonts w:cs="Arial"/>
                <w:sz w:val="20"/>
                <w:szCs w:val="20"/>
              </w:rPr>
            </w:pPr>
            <w:r w:rsidRPr="003A3DF8">
              <w:rPr>
                <w:rFonts w:cs="Arial"/>
                <w:sz w:val="20"/>
                <w:szCs w:val="20"/>
              </w:rPr>
              <w:t>Auxiliar de Área</w:t>
            </w:r>
          </w:p>
        </w:tc>
        <w:tc>
          <w:tcPr>
            <w:tcW w:w="1984" w:type="dxa"/>
            <w:vAlign w:val="center"/>
          </w:tcPr>
          <w:p w14:paraId="2172DD2F" w14:textId="77777777" w:rsidR="00966B34" w:rsidRPr="003A3DF8" w:rsidRDefault="00966B34" w:rsidP="000D1A9C">
            <w:pPr>
              <w:spacing w:before="40" w:after="40" w:line="276" w:lineRule="auto"/>
              <w:jc w:val="center"/>
              <w:rPr>
                <w:rFonts w:cs="Arial"/>
                <w:sz w:val="20"/>
                <w:szCs w:val="20"/>
              </w:rPr>
            </w:pPr>
            <w:r w:rsidRPr="003A3DF8">
              <w:rPr>
                <w:rFonts w:cs="Arial"/>
                <w:sz w:val="20"/>
                <w:szCs w:val="20"/>
              </w:rPr>
              <w:t>Dirección de Administración</w:t>
            </w:r>
          </w:p>
        </w:tc>
      </w:tr>
    </w:tbl>
    <w:p w14:paraId="0D7B14BB" w14:textId="735BC059" w:rsidR="00AE18EF" w:rsidRPr="00AE18EF" w:rsidRDefault="00AE18EF" w:rsidP="00AE18EF">
      <w:pPr>
        <w:rPr>
          <w:rFonts w:cs="Arial"/>
          <w:b w:val="0"/>
          <w:sz w:val="22"/>
        </w:rPr>
      </w:pPr>
      <w:r w:rsidRPr="00AE18EF">
        <w:rPr>
          <w:rFonts w:cs="Arial"/>
          <w:b w:val="0"/>
          <w:sz w:val="22"/>
        </w:rPr>
        <w:t xml:space="preserve">Ahora bien, del análisis de la documentación presentada, se advierte que la persona propuesta cumple con los requisitos previstos en el artículo 110 de los Estatutos del Servicio Profesional Electoral del propio Instituto, es decir, es ciudadana mexicana; se encuentra en pleno ejercicio de sus derechos civiles y políticos; goza de prestigio y/o buena fama pública; cuenta con los conocimientos, experiencia y habilidades requeridas para ingresar al Instituto; tiene la escolaridad mínima </w:t>
      </w:r>
      <w:r w:rsidRPr="00301283">
        <w:rPr>
          <w:rFonts w:cs="Arial"/>
          <w:b w:val="0"/>
          <w:sz w:val="22"/>
        </w:rPr>
        <w:t>requerida</w:t>
      </w:r>
      <w:r w:rsidRPr="00AE18EF">
        <w:rPr>
          <w:rFonts w:cs="Arial"/>
          <w:b w:val="0"/>
          <w:sz w:val="22"/>
        </w:rPr>
        <w:t>; y no se encuentra inhabilitada para ocupar cargo o puesto público.</w:t>
      </w:r>
    </w:p>
    <w:p w14:paraId="45D6EF06" w14:textId="37FB5D04" w:rsidR="00AE18EF" w:rsidRPr="00AE18EF" w:rsidRDefault="00AE18EF" w:rsidP="00AE18EF">
      <w:pPr>
        <w:rPr>
          <w:rFonts w:cs="Arial"/>
          <w:b w:val="0"/>
          <w:sz w:val="22"/>
        </w:rPr>
      </w:pPr>
      <w:r w:rsidRPr="00AE18EF">
        <w:rPr>
          <w:rFonts w:cs="Arial"/>
          <w:b w:val="0"/>
          <w:sz w:val="22"/>
        </w:rPr>
        <w:t>Asimismo, en virtud de que se trata de una persona propuesta a invitación de</w:t>
      </w:r>
      <w:r w:rsidRPr="00301283">
        <w:rPr>
          <w:rFonts w:cs="Arial"/>
          <w:b w:val="0"/>
          <w:sz w:val="22"/>
        </w:rPr>
        <w:t>l titular de la Dirección de Administración</w:t>
      </w:r>
      <w:r w:rsidRPr="00AE18EF">
        <w:rPr>
          <w:rFonts w:cs="Arial"/>
          <w:b w:val="0"/>
          <w:sz w:val="22"/>
        </w:rPr>
        <w:t>, no se encuentra sujeta a la aplicación de exámenes de ingreso.</w:t>
      </w:r>
    </w:p>
    <w:p w14:paraId="616ED3F4" w14:textId="5D75A3C9" w:rsidR="00966B34" w:rsidRPr="00301283" w:rsidRDefault="00966B34" w:rsidP="00966B34">
      <w:pPr>
        <w:rPr>
          <w:rFonts w:cs="Arial"/>
          <w:b w:val="0"/>
          <w:bCs/>
          <w:sz w:val="22"/>
        </w:rPr>
      </w:pPr>
      <w:r w:rsidRPr="00301283">
        <w:rPr>
          <w:rFonts w:cs="Arial"/>
          <w:b w:val="0"/>
          <w:bCs/>
          <w:sz w:val="22"/>
        </w:rPr>
        <w:t>Por lo anterior, esta Junta Ejecutiva no advierte imposibilidad alguna, por lo que, considera viable las designaciones conforme a los cargos y categorías determinadas en el presente acuerdo. En ese tenor, las designaciones tendrán efecto a partir del 0</w:t>
      </w:r>
      <w:r w:rsidR="00433C15" w:rsidRPr="00301283">
        <w:rPr>
          <w:rFonts w:cs="Arial"/>
          <w:b w:val="0"/>
          <w:bCs/>
          <w:sz w:val="22"/>
        </w:rPr>
        <w:t>1</w:t>
      </w:r>
      <w:r w:rsidRPr="00301283">
        <w:rPr>
          <w:rFonts w:cs="Arial"/>
          <w:b w:val="0"/>
          <w:bCs/>
          <w:sz w:val="22"/>
        </w:rPr>
        <w:t xml:space="preserve"> de </w:t>
      </w:r>
      <w:r w:rsidR="00433C15" w:rsidRPr="00301283">
        <w:rPr>
          <w:rFonts w:cs="Arial"/>
          <w:b w:val="0"/>
          <w:bCs/>
          <w:sz w:val="22"/>
        </w:rPr>
        <w:t>febrero</w:t>
      </w:r>
      <w:r w:rsidRPr="00301283">
        <w:rPr>
          <w:rFonts w:cs="Arial"/>
          <w:b w:val="0"/>
          <w:bCs/>
          <w:sz w:val="22"/>
        </w:rPr>
        <w:t xml:space="preserve"> de 2026.</w:t>
      </w:r>
    </w:p>
    <w:p w14:paraId="02064960" w14:textId="0B276F2B" w:rsidR="00966B34" w:rsidRPr="00030FA8" w:rsidRDefault="00966B34" w:rsidP="00966B34">
      <w:pPr>
        <w:pStyle w:val="Ttulo2"/>
        <w:spacing w:line="276" w:lineRule="auto"/>
        <w:rPr>
          <w:rFonts w:cs="Arial"/>
          <w:b w:val="0"/>
          <w:bCs/>
        </w:rPr>
      </w:pPr>
      <w:bookmarkStart w:id="1" w:name="_Hlk211511373"/>
      <w:r w:rsidRPr="00030FA8">
        <w:rPr>
          <w:rFonts w:cs="Arial"/>
          <w:b w:val="0"/>
          <w:bCs/>
        </w:rPr>
        <w:lastRenderedPageBreak/>
        <w:t>En atención a los antecedentes y considerandos</w:t>
      </w:r>
      <w:bookmarkEnd w:id="1"/>
      <w:r w:rsidRPr="00030FA8">
        <w:rPr>
          <w:rFonts w:cs="Arial"/>
          <w:b w:val="0"/>
          <w:bCs/>
        </w:rPr>
        <w:t xml:space="preserve"> anteriores, esta Junta Ejecutiva </w:t>
      </w:r>
      <w:bookmarkStart w:id="2" w:name="_Hlk211511362"/>
      <w:r w:rsidRPr="00030FA8">
        <w:rPr>
          <w:rFonts w:cs="Arial"/>
          <w:b w:val="0"/>
          <w:bCs/>
        </w:rPr>
        <w:t>emite los siguientes puntos de</w:t>
      </w:r>
      <w:bookmarkEnd w:id="2"/>
      <w:r w:rsidRPr="00030FA8">
        <w:rPr>
          <w:rFonts w:cs="Arial"/>
          <w:b w:val="0"/>
          <w:bCs/>
        </w:rPr>
        <w:t>:</w:t>
      </w:r>
    </w:p>
    <w:p w14:paraId="46398D00" w14:textId="77777777" w:rsidR="00966B34" w:rsidRPr="003A3DF8" w:rsidRDefault="00966B34" w:rsidP="00966B34">
      <w:pPr>
        <w:spacing w:after="0"/>
        <w:rPr>
          <w:rFonts w:cs="Arial"/>
          <w:sz w:val="24"/>
          <w:szCs w:val="24"/>
        </w:rPr>
      </w:pPr>
    </w:p>
    <w:p w14:paraId="28E32623" w14:textId="35F1D932" w:rsidR="00966B34" w:rsidRPr="003A3DF8" w:rsidRDefault="003A3DF8" w:rsidP="00966B34">
      <w:pPr>
        <w:pStyle w:val="Ttulo1"/>
        <w:spacing w:before="0"/>
        <w:ind w:left="431" w:hanging="431"/>
        <w:rPr>
          <w:rFonts w:cs="Arial"/>
          <w:color w:val="auto"/>
          <w:szCs w:val="24"/>
        </w:rPr>
      </w:pPr>
      <w:r w:rsidRPr="003A3DF8">
        <w:rPr>
          <w:rFonts w:cs="Arial"/>
          <w:color w:val="auto"/>
          <w:szCs w:val="24"/>
        </w:rPr>
        <w:t xml:space="preserve">3 </w:t>
      </w:r>
      <w:proofErr w:type="gramStart"/>
      <w:r w:rsidR="00966B34" w:rsidRPr="003A3DF8">
        <w:rPr>
          <w:rFonts w:cs="Arial"/>
          <w:color w:val="auto"/>
          <w:szCs w:val="24"/>
        </w:rPr>
        <w:t>Acuerdo</w:t>
      </w:r>
      <w:proofErr w:type="gramEnd"/>
    </w:p>
    <w:p w14:paraId="3D1A0580" w14:textId="264580B3" w:rsidR="00966B34" w:rsidRDefault="00966B34" w:rsidP="003A3DF8">
      <w:pPr>
        <w:spacing w:line="276" w:lineRule="auto"/>
        <w:rPr>
          <w:rFonts w:cs="Arial"/>
          <w:b w:val="0"/>
          <w:sz w:val="22"/>
        </w:rPr>
      </w:pPr>
      <w:r w:rsidRPr="00F35D83">
        <w:rPr>
          <w:rFonts w:cs="Arial"/>
          <w:sz w:val="22"/>
        </w:rPr>
        <w:t>Primero.</w:t>
      </w:r>
      <w:r w:rsidRPr="00F35D83">
        <w:rPr>
          <w:rFonts w:cs="Arial"/>
          <w:bCs/>
          <w:sz w:val="22"/>
        </w:rPr>
        <w:t xml:space="preserve"> </w:t>
      </w:r>
      <w:r w:rsidRPr="00F35D83">
        <w:rPr>
          <w:rFonts w:cs="Arial"/>
          <w:b w:val="0"/>
          <w:sz w:val="22"/>
        </w:rPr>
        <w:t>Se autoriza</w:t>
      </w:r>
      <w:r w:rsidR="00301283">
        <w:rPr>
          <w:rFonts w:cs="Arial"/>
          <w:b w:val="0"/>
          <w:sz w:val="22"/>
        </w:rPr>
        <w:t xml:space="preserve"> la promoción con adscripción a la Contraloría General del Instituto</w:t>
      </w:r>
      <w:r w:rsidRPr="00F35D83">
        <w:rPr>
          <w:rFonts w:cs="Arial"/>
          <w:b w:val="0"/>
          <w:sz w:val="22"/>
        </w:rPr>
        <w:t xml:space="preserve">, con efectos a partir del 01 de </w:t>
      </w:r>
      <w:r>
        <w:rPr>
          <w:rFonts w:cs="Arial"/>
          <w:b w:val="0"/>
          <w:sz w:val="22"/>
        </w:rPr>
        <w:t>febrero</w:t>
      </w:r>
      <w:r w:rsidRPr="00F35D83">
        <w:rPr>
          <w:rFonts w:cs="Arial"/>
          <w:b w:val="0"/>
          <w:sz w:val="22"/>
        </w:rPr>
        <w:t xml:space="preserve"> de 2026, de la persona servidora pública que se señala a continuación:</w:t>
      </w:r>
    </w:p>
    <w:tbl>
      <w:tblPr>
        <w:tblStyle w:val="Tablaconcuadrcula"/>
        <w:tblpPr w:leftFromText="141" w:rightFromText="141" w:vertAnchor="text" w:horzAnchor="margin" w:tblpX="421" w:tblpY="344"/>
        <w:tblW w:w="0" w:type="auto"/>
        <w:tblLayout w:type="fixed"/>
        <w:tblLook w:val="04A0" w:firstRow="1" w:lastRow="0" w:firstColumn="1" w:lastColumn="0" w:noHBand="0" w:noVBand="1"/>
      </w:tblPr>
      <w:tblGrid>
        <w:gridCol w:w="3397"/>
        <w:gridCol w:w="1843"/>
        <w:gridCol w:w="2410"/>
      </w:tblGrid>
      <w:tr w:rsidR="00301283" w:rsidRPr="003A3DF8" w14:paraId="5FD58AF6" w14:textId="77777777" w:rsidTr="007F6B69">
        <w:trPr>
          <w:trHeight w:val="332"/>
        </w:trPr>
        <w:tc>
          <w:tcPr>
            <w:tcW w:w="3397" w:type="dxa"/>
            <w:shd w:val="clear" w:color="auto" w:fill="993366"/>
            <w:vAlign w:val="center"/>
          </w:tcPr>
          <w:p w14:paraId="2A660708" w14:textId="77777777" w:rsidR="00301283" w:rsidRPr="003A3DF8" w:rsidRDefault="00301283" w:rsidP="00301283">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Nombre</w:t>
            </w:r>
          </w:p>
        </w:tc>
        <w:tc>
          <w:tcPr>
            <w:tcW w:w="1843" w:type="dxa"/>
            <w:shd w:val="clear" w:color="auto" w:fill="993366"/>
            <w:vAlign w:val="center"/>
          </w:tcPr>
          <w:p w14:paraId="2728938D" w14:textId="77777777" w:rsidR="00301283" w:rsidRPr="003A3DF8" w:rsidRDefault="00301283" w:rsidP="00301283">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Cargo/Categoría</w:t>
            </w:r>
          </w:p>
        </w:tc>
        <w:tc>
          <w:tcPr>
            <w:tcW w:w="2410" w:type="dxa"/>
            <w:shd w:val="clear" w:color="auto" w:fill="993366"/>
            <w:vAlign w:val="center"/>
          </w:tcPr>
          <w:p w14:paraId="5AB1534D" w14:textId="77777777" w:rsidR="00301283" w:rsidRPr="003A3DF8" w:rsidRDefault="00301283" w:rsidP="00301283">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Adscripción</w:t>
            </w:r>
          </w:p>
        </w:tc>
      </w:tr>
      <w:tr w:rsidR="00301283" w:rsidRPr="003A3DF8" w14:paraId="17C60140" w14:textId="77777777" w:rsidTr="007F6B69">
        <w:trPr>
          <w:trHeight w:val="332"/>
        </w:trPr>
        <w:tc>
          <w:tcPr>
            <w:tcW w:w="3397" w:type="dxa"/>
            <w:vAlign w:val="center"/>
          </w:tcPr>
          <w:p w14:paraId="1E40DEFA" w14:textId="10477F32" w:rsidR="00301283" w:rsidRPr="003A3DF8" w:rsidRDefault="00301283" w:rsidP="00301283">
            <w:pPr>
              <w:spacing w:before="40" w:after="40" w:line="276" w:lineRule="auto"/>
              <w:rPr>
                <w:rFonts w:cs="Arial"/>
                <w:bCs/>
                <w:color w:val="EE0000"/>
                <w:sz w:val="20"/>
                <w:szCs w:val="20"/>
              </w:rPr>
            </w:pPr>
            <w:r w:rsidRPr="003A3DF8">
              <w:rPr>
                <w:bCs/>
                <w:sz w:val="20"/>
                <w:szCs w:val="20"/>
              </w:rPr>
              <w:t>Rosa María Escobedo Hernández</w:t>
            </w:r>
          </w:p>
        </w:tc>
        <w:tc>
          <w:tcPr>
            <w:tcW w:w="1843" w:type="dxa"/>
            <w:vAlign w:val="center"/>
          </w:tcPr>
          <w:p w14:paraId="39B6EDF8" w14:textId="7F8C31F8" w:rsidR="00301283" w:rsidRPr="003A3DF8" w:rsidRDefault="00301283" w:rsidP="00301283">
            <w:pPr>
              <w:spacing w:before="40" w:after="40" w:line="276" w:lineRule="auto"/>
              <w:jc w:val="center"/>
              <w:rPr>
                <w:rFonts w:cs="Arial"/>
                <w:bCs/>
                <w:sz w:val="20"/>
                <w:szCs w:val="20"/>
              </w:rPr>
            </w:pPr>
            <w:r w:rsidRPr="003A3DF8">
              <w:rPr>
                <w:rFonts w:cs="Arial"/>
                <w:bCs/>
                <w:sz w:val="20"/>
                <w:szCs w:val="20"/>
              </w:rPr>
              <w:t>Auditor</w:t>
            </w:r>
          </w:p>
        </w:tc>
        <w:tc>
          <w:tcPr>
            <w:tcW w:w="2410" w:type="dxa"/>
            <w:vAlign w:val="center"/>
          </w:tcPr>
          <w:p w14:paraId="39D41212" w14:textId="535F009B" w:rsidR="00301283" w:rsidRPr="003A3DF8" w:rsidRDefault="00301283" w:rsidP="00301283">
            <w:pPr>
              <w:spacing w:before="40" w:after="40" w:line="276" w:lineRule="auto"/>
              <w:rPr>
                <w:rFonts w:cs="Arial"/>
                <w:bCs/>
                <w:sz w:val="20"/>
                <w:szCs w:val="20"/>
              </w:rPr>
            </w:pPr>
            <w:r w:rsidRPr="003A3DF8">
              <w:rPr>
                <w:rFonts w:cs="Arial"/>
                <w:bCs/>
                <w:sz w:val="20"/>
                <w:szCs w:val="20"/>
              </w:rPr>
              <w:t>Contraloría General</w:t>
            </w:r>
          </w:p>
        </w:tc>
      </w:tr>
    </w:tbl>
    <w:p w14:paraId="3FA873C3" w14:textId="77777777" w:rsidR="00301283" w:rsidRDefault="00301283" w:rsidP="003A3DF8">
      <w:pPr>
        <w:spacing w:before="0" w:after="0"/>
        <w:rPr>
          <w:rFonts w:cs="Arial"/>
          <w:bCs/>
          <w:sz w:val="22"/>
        </w:rPr>
      </w:pPr>
    </w:p>
    <w:p w14:paraId="5A82B6E2" w14:textId="77777777" w:rsidR="003A3DF8" w:rsidRDefault="003A3DF8" w:rsidP="003A3DF8">
      <w:pPr>
        <w:spacing w:before="0" w:after="0"/>
        <w:rPr>
          <w:rFonts w:cs="Arial"/>
          <w:bCs/>
          <w:sz w:val="22"/>
        </w:rPr>
      </w:pPr>
    </w:p>
    <w:p w14:paraId="48076136" w14:textId="77777777" w:rsidR="003A3DF8" w:rsidRDefault="003A3DF8" w:rsidP="003A3DF8">
      <w:pPr>
        <w:spacing w:before="0" w:after="0"/>
        <w:rPr>
          <w:rFonts w:cs="Arial"/>
          <w:bCs/>
          <w:sz w:val="22"/>
        </w:rPr>
      </w:pPr>
    </w:p>
    <w:p w14:paraId="6C2D3894" w14:textId="77777777" w:rsidR="003A3DF8" w:rsidRDefault="003A3DF8" w:rsidP="003A3DF8">
      <w:pPr>
        <w:spacing w:before="0" w:after="0" w:line="276" w:lineRule="auto"/>
        <w:rPr>
          <w:rFonts w:cs="Arial"/>
          <w:bCs/>
          <w:sz w:val="22"/>
        </w:rPr>
      </w:pPr>
    </w:p>
    <w:p w14:paraId="2E28E667" w14:textId="77777777" w:rsidR="003A3DF8" w:rsidRDefault="003A3DF8" w:rsidP="003A3DF8">
      <w:pPr>
        <w:spacing w:before="0" w:after="0" w:line="276" w:lineRule="auto"/>
        <w:rPr>
          <w:rFonts w:cs="Arial"/>
          <w:bCs/>
          <w:sz w:val="22"/>
        </w:rPr>
      </w:pPr>
    </w:p>
    <w:p w14:paraId="654E4349" w14:textId="63EDA03B" w:rsidR="00966B34" w:rsidRDefault="00301283" w:rsidP="003A3DF8">
      <w:pPr>
        <w:spacing w:before="0" w:after="0" w:line="276" w:lineRule="auto"/>
        <w:rPr>
          <w:rFonts w:cs="Arial"/>
          <w:b w:val="0"/>
          <w:bCs/>
          <w:sz w:val="22"/>
        </w:rPr>
      </w:pPr>
      <w:r>
        <w:rPr>
          <w:rFonts w:cs="Arial"/>
          <w:bCs/>
          <w:sz w:val="22"/>
        </w:rPr>
        <w:t>Segundo</w:t>
      </w:r>
      <w:r w:rsidR="00966B34" w:rsidRPr="00F35D83">
        <w:rPr>
          <w:rFonts w:cs="Arial"/>
          <w:bCs/>
          <w:sz w:val="22"/>
        </w:rPr>
        <w:t xml:space="preserve">. </w:t>
      </w:r>
      <w:r w:rsidR="00966B34" w:rsidRPr="00F35D83">
        <w:rPr>
          <w:rFonts w:cs="Arial"/>
          <w:b w:val="0"/>
          <w:bCs/>
          <w:sz w:val="22"/>
        </w:rPr>
        <w:t>En términos del artículo 16, fracción VI</w:t>
      </w:r>
      <w:r w:rsidR="00966B34">
        <w:rPr>
          <w:rFonts w:cs="Arial"/>
          <w:b w:val="0"/>
          <w:bCs/>
          <w:sz w:val="22"/>
        </w:rPr>
        <w:t>,</w:t>
      </w:r>
      <w:r w:rsidR="00966B34" w:rsidRPr="00F35D83">
        <w:rPr>
          <w:rFonts w:cs="Arial"/>
          <w:b w:val="0"/>
          <w:bCs/>
          <w:sz w:val="22"/>
        </w:rPr>
        <w:t xml:space="preserve"> del Reglamento Interior del Instituto Electoral y de Participación Ciudadana de Tabasco</w:t>
      </w:r>
      <w:r w:rsidR="00966B34">
        <w:rPr>
          <w:rFonts w:cs="Arial"/>
          <w:b w:val="0"/>
          <w:bCs/>
          <w:sz w:val="22"/>
        </w:rPr>
        <w:t>,</w:t>
      </w:r>
      <w:r w:rsidR="00966B34" w:rsidRPr="00F35D83">
        <w:rPr>
          <w:rFonts w:cs="Arial"/>
          <w:b w:val="0"/>
          <w:bCs/>
          <w:sz w:val="22"/>
        </w:rPr>
        <w:t xml:space="preserve"> se designa como servidora pública del propio Instituto, con efectos a partir del </w:t>
      </w:r>
      <w:r w:rsidR="006B2539">
        <w:rPr>
          <w:rFonts w:cs="Arial"/>
          <w:b w:val="0"/>
          <w:bCs/>
          <w:sz w:val="22"/>
        </w:rPr>
        <w:t>01 de febrero</w:t>
      </w:r>
      <w:r w:rsidR="00966B34">
        <w:rPr>
          <w:rFonts w:cs="Arial"/>
          <w:b w:val="0"/>
          <w:bCs/>
          <w:sz w:val="22"/>
        </w:rPr>
        <w:t xml:space="preserve"> de 2026</w:t>
      </w:r>
      <w:r w:rsidR="00966B34" w:rsidRPr="00F35D83">
        <w:rPr>
          <w:rFonts w:cs="Arial"/>
          <w:b w:val="0"/>
          <w:bCs/>
          <w:sz w:val="22"/>
        </w:rPr>
        <w:t>, a la siguiente persona:</w:t>
      </w:r>
    </w:p>
    <w:p w14:paraId="49552EB5" w14:textId="77777777" w:rsidR="003A3DF8" w:rsidRPr="00F35D83" w:rsidRDefault="003A3DF8" w:rsidP="003A3DF8">
      <w:pPr>
        <w:spacing w:before="0" w:after="0" w:line="276" w:lineRule="auto"/>
        <w:rPr>
          <w:rFonts w:cs="Arial"/>
          <w:b w:val="0"/>
          <w:bCs/>
          <w:sz w:val="22"/>
        </w:rPr>
      </w:pPr>
    </w:p>
    <w:tbl>
      <w:tblPr>
        <w:tblStyle w:val="Tablaconcuadrcula"/>
        <w:tblW w:w="0" w:type="auto"/>
        <w:tblInd w:w="421" w:type="dxa"/>
        <w:tblLook w:val="04A0" w:firstRow="1" w:lastRow="0" w:firstColumn="1" w:lastColumn="0" w:noHBand="0" w:noVBand="1"/>
      </w:tblPr>
      <w:tblGrid>
        <w:gridCol w:w="2551"/>
        <w:gridCol w:w="2126"/>
        <w:gridCol w:w="2977"/>
      </w:tblGrid>
      <w:tr w:rsidR="00966B34" w:rsidRPr="00F35D83" w14:paraId="71872623" w14:textId="77777777" w:rsidTr="00301283">
        <w:tc>
          <w:tcPr>
            <w:tcW w:w="2551" w:type="dxa"/>
            <w:shd w:val="clear" w:color="auto" w:fill="993366"/>
            <w:vAlign w:val="center"/>
          </w:tcPr>
          <w:p w14:paraId="0678404F" w14:textId="77777777" w:rsidR="00966B34" w:rsidRPr="003A3DF8" w:rsidRDefault="00966B34" w:rsidP="000D1A9C">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Nombre</w:t>
            </w:r>
          </w:p>
        </w:tc>
        <w:tc>
          <w:tcPr>
            <w:tcW w:w="2126" w:type="dxa"/>
            <w:shd w:val="clear" w:color="auto" w:fill="993366"/>
            <w:vAlign w:val="center"/>
          </w:tcPr>
          <w:p w14:paraId="4E47C2AE" w14:textId="77777777" w:rsidR="00966B34" w:rsidRPr="003A3DF8" w:rsidRDefault="00966B34" w:rsidP="000D1A9C">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Cargo/Categoría</w:t>
            </w:r>
          </w:p>
        </w:tc>
        <w:tc>
          <w:tcPr>
            <w:tcW w:w="2977" w:type="dxa"/>
            <w:shd w:val="clear" w:color="auto" w:fill="993366"/>
            <w:vAlign w:val="center"/>
          </w:tcPr>
          <w:p w14:paraId="32047EF4" w14:textId="77777777" w:rsidR="00966B34" w:rsidRPr="003A3DF8" w:rsidRDefault="00966B34" w:rsidP="000D1A9C">
            <w:pPr>
              <w:spacing w:before="40" w:after="40" w:line="276" w:lineRule="auto"/>
              <w:jc w:val="center"/>
              <w:rPr>
                <w:rFonts w:cs="Arial"/>
                <w:b w:val="0"/>
                <w:color w:val="FFFFFF" w:themeColor="background1"/>
                <w:sz w:val="20"/>
                <w:szCs w:val="20"/>
              </w:rPr>
            </w:pPr>
            <w:r w:rsidRPr="003A3DF8">
              <w:rPr>
                <w:rFonts w:cs="Arial"/>
                <w:color w:val="FFFFFF" w:themeColor="background1"/>
                <w:sz w:val="20"/>
                <w:szCs w:val="20"/>
              </w:rPr>
              <w:t>Adscripción</w:t>
            </w:r>
          </w:p>
        </w:tc>
      </w:tr>
      <w:tr w:rsidR="00301283" w:rsidRPr="00F35D83" w14:paraId="137B513D" w14:textId="77777777" w:rsidTr="00301283">
        <w:tc>
          <w:tcPr>
            <w:tcW w:w="2551" w:type="dxa"/>
            <w:vAlign w:val="center"/>
          </w:tcPr>
          <w:p w14:paraId="19B5069F" w14:textId="50B7E60A" w:rsidR="00301283" w:rsidRPr="003A3DF8" w:rsidRDefault="00301283" w:rsidP="00301283">
            <w:pPr>
              <w:spacing w:before="40" w:after="40" w:line="276" w:lineRule="auto"/>
              <w:rPr>
                <w:rFonts w:cs="Arial"/>
                <w:sz w:val="20"/>
                <w:szCs w:val="20"/>
              </w:rPr>
            </w:pPr>
            <w:r w:rsidRPr="003A3DF8">
              <w:rPr>
                <w:rFonts w:cs="Arial"/>
                <w:sz w:val="20"/>
                <w:szCs w:val="20"/>
              </w:rPr>
              <w:t xml:space="preserve">Nallely García </w:t>
            </w:r>
            <w:proofErr w:type="spellStart"/>
            <w:r w:rsidRPr="003A3DF8">
              <w:rPr>
                <w:rFonts w:cs="Arial"/>
                <w:sz w:val="20"/>
                <w:szCs w:val="20"/>
              </w:rPr>
              <w:t>García</w:t>
            </w:r>
            <w:proofErr w:type="spellEnd"/>
          </w:p>
        </w:tc>
        <w:tc>
          <w:tcPr>
            <w:tcW w:w="2126" w:type="dxa"/>
            <w:vAlign w:val="center"/>
          </w:tcPr>
          <w:p w14:paraId="50CBCD97" w14:textId="4EA32B4D" w:rsidR="00301283" w:rsidRPr="003A3DF8" w:rsidRDefault="00301283" w:rsidP="00301283">
            <w:pPr>
              <w:spacing w:before="40" w:after="40" w:line="276" w:lineRule="auto"/>
              <w:jc w:val="center"/>
              <w:rPr>
                <w:rFonts w:cs="Arial"/>
                <w:sz w:val="20"/>
                <w:szCs w:val="20"/>
              </w:rPr>
            </w:pPr>
            <w:r w:rsidRPr="003A3DF8">
              <w:rPr>
                <w:rFonts w:cs="Arial"/>
                <w:sz w:val="20"/>
                <w:szCs w:val="20"/>
              </w:rPr>
              <w:t>Auxiliar de Área</w:t>
            </w:r>
          </w:p>
        </w:tc>
        <w:tc>
          <w:tcPr>
            <w:tcW w:w="2977" w:type="dxa"/>
            <w:vAlign w:val="center"/>
          </w:tcPr>
          <w:p w14:paraId="359AECCD" w14:textId="5E8C9517" w:rsidR="00301283" w:rsidRPr="003A3DF8" w:rsidRDefault="00301283" w:rsidP="00301283">
            <w:pPr>
              <w:spacing w:before="40" w:after="40" w:line="276" w:lineRule="auto"/>
              <w:jc w:val="center"/>
              <w:rPr>
                <w:rFonts w:cs="Arial"/>
                <w:sz w:val="20"/>
                <w:szCs w:val="20"/>
              </w:rPr>
            </w:pPr>
            <w:r w:rsidRPr="003A3DF8">
              <w:rPr>
                <w:rFonts w:cs="Arial"/>
                <w:sz w:val="20"/>
                <w:szCs w:val="20"/>
              </w:rPr>
              <w:t>Dirección de Administración</w:t>
            </w:r>
          </w:p>
        </w:tc>
      </w:tr>
    </w:tbl>
    <w:p w14:paraId="50932A0D" w14:textId="29A7C34D" w:rsidR="00966B34" w:rsidRPr="00F35D83" w:rsidRDefault="00301283" w:rsidP="003A3DF8">
      <w:pPr>
        <w:spacing w:line="276" w:lineRule="auto"/>
        <w:rPr>
          <w:rFonts w:cs="Arial"/>
          <w:b w:val="0"/>
          <w:bCs/>
          <w:sz w:val="22"/>
        </w:rPr>
      </w:pPr>
      <w:r>
        <w:rPr>
          <w:rFonts w:cs="Arial"/>
          <w:sz w:val="22"/>
        </w:rPr>
        <w:t>Tercero</w:t>
      </w:r>
      <w:r w:rsidR="00966B34" w:rsidRPr="00F35D83">
        <w:rPr>
          <w:rFonts w:cs="Arial"/>
          <w:sz w:val="22"/>
        </w:rPr>
        <w:t xml:space="preserve">. </w:t>
      </w:r>
      <w:r w:rsidR="00966B34" w:rsidRPr="00F35D83">
        <w:rPr>
          <w:rFonts w:cs="Arial"/>
          <w:b w:val="0"/>
          <w:bCs/>
          <w:sz w:val="22"/>
        </w:rPr>
        <w:t xml:space="preserve">Se instruye a la Secretaría Ejecutiva expida los nombramientos correspondientes, e indique los trámites administrativos necesarios para dar cumplimiento al presente acuerdo. </w:t>
      </w:r>
    </w:p>
    <w:p w14:paraId="38C11528" w14:textId="20BC5389" w:rsidR="00966B34" w:rsidRDefault="00966B34" w:rsidP="003A3DF8">
      <w:pPr>
        <w:spacing w:after="0" w:line="276" w:lineRule="auto"/>
        <w:rPr>
          <w:rFonts w:cs="Arial"/>
          <w:b w:val="0"/>
          <w:bCs/>
          <w:sz w:val="22"/>
        </w:rPr>
      </w:pPr>
      <w:r w:rsidRPr="00030FA8">
        <w:rPr>
          <w:rFonts w:cs="Arial"/>
          <w:b w:val="0"/>
          <w:bCs/>
          <w:sz w:val="22"/>
        </w:rPr>
        <w:t xml:space="preserve">El presente acuerdo fue aprobado en </w:t>
      </w:r>
      <w:r w:rsidRPr="00517D88">
        <w:rPr>
          <w:rFonts w:cs="Arial"/>
          <w:b w:val="0"/>
          <w:bCs/>
          <w:sz w:val="22"/>
        </w:rPr>
        <w:t xml:space="preserve">sesión </w:t>
      </w:r>
      <w:r w:rsidR="002B7D48">
        <w:rPr>
          <w:rFonts w:cs="Arial"/>
          <w:b w:val="0"/>
          <w:bCs/>
          <w:sz w:val="22"/>
        </w:rPr>
        <w:t>extra</w:t>
      </w:r>
      <w:r w:rsidR="006B2539">
        <w:rPr>
          <w:rFonts w:cs="Arial"/>
          <w:b w:val="0"/>
          <w:bCs/>
          <w:sz w:val="22"/>
        </w:rPr>
        <w:t>ordinaria</w:t>
      </w:r>
      <w:r w:rsidRPr="00517D88">
        <w:rPr>
          <w:rFonts w:cs="Arial"/>
          <w:b w:val="0"/>
          <w:bCs/>
          <w:sz w:val="22"/>
        </w:rPr>
        <w:t xml:space="preserve"> efectuada el día </w:t>
      </w:r>
      <w:r w:rsidR="006B2539">
        <w:rPr>
          <w:rFonts w:cs="Arial"/>
          <w:b w:val="0"/>
          <w:bCs/>
          <w:sz w:val="22"/>
        </w:rPr>
        <w:t>veintinueve</w:t>
      </w:r>
      <w:r w:rsidRPr="00517D88">
        <w:rPr>
          <w:rFonts w:cs="Arial"/>
          <w:b w:val="0"/>
          <w:bCs/>
          <w:sz w:val="22"/>
        </w:rPr>
        <w:t xml:space="preserve"> de enero del año dos mil veintiséis,</w:t>
      </w:r>
      <w:r w:rsidRPr="00030FA8">
        <w:rPr>
          <w:rFonts w:cs="Arial"/>
          <w:b w:val="0"/>
          <w:bCs/>
          <w:sz w:val="22"/>
        </w:rPr>
        <w:t xml:space="preserve"> por votación unánime de la y los integrantes de la Junta Estatal Ejecutiva del Instituto Electoral y de Participación Ciudadana de Tabasco: Mtro. Paul Alejandro González Torruco, Director de Administración; Lic. Ricardo Araiza González, Director de Organización Electoral y Educación Cívica, Lic. Jorge Alberto Zavala Frías, Secretario Ejecutivo y Mtra. Elizabeth Nava Gutiérrez, </w:t>
      </w:r>
      <w:r>
        <w:rPr>
          <w:rFonts w:cs="Arial"/>
          <w:b w:val="0"/>
          <w:bCs/>
          <w:sz w:val="22"/>
        </w:rPr>
        <w:t xml:space="preserve">Consejera </w:t>
      </w:r>
      <w:r w:rsidRPr="00030FA8">
        <w:rPr>
          <w:rFonts w:cs="Arial"/>
          <w:b w:val="0"/>
          <w:bCs/>
          <w:sz w:val="22"/>
        </w:rPr>
        <w:t>Presidenta</w:t>
      </w:r>
      <w:r>
        <w:rPr>
          <w:rFonts w:cs="Arial"/>
          <w:b w:val="0"/>
          <w:bCs/>
          <w:sz w:val="22"/>
        </w:rPr>
        <w:t>.</w:t>
      </w:r>
    </w:p>
    <w:p w14:paraId="4FD592DB" w14:textId="77777777" w:rsidR="00301283" w:rsidRDefault="00301283" w:rsidP="003A3DF8">
      <w:pPr>
        <w:spacing w:after="0" w:line="276" w:lineRule="auto"/>
        <w:rPr>
          <w:rFonts w:cs="Arial"/>
          <w:b w:val="0"/>
          <w:bCs/>
          <w:sz w:val="22"/>
        </w:rPr>
      </w:pPr>
    </w:p>
    <w:p w14:paraId="7440BC3F" w14:textId="77777777" w:rsidR="003A3DF8" w:rsidRDefault="003A3DF8" w:rsidP="00966B34">
      <w:pPr>
        <w:spacing w:after="0"/>
        <w:rPr>
          <w:rFonts w:cs="Arial"/>
          <w:b w:val="0"/>
          <w:bCs/>
          <w:sz w:val="22"/>
        </w:rPr>
      </w:pPr>
    </w:p>
    <w:tbl>
      <w:tblPr>
        <w:tblStyle w:val="Tablaconcuadrcula"/>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755"/>
        <w:gridCol w:w="4278"/>
      </w:tblGrid>
      <w:tr w:rsidR="00966B34" w:rsidRPr="00030FA8" w14:paraId="58419972" w14:textId="77777777" w:rsidTr="00301283">
        <w:trPr>
          <w:trHeight w:val="702"/>
        </w:trPr>
        <w:tc>
          <w:tcPr>
            <w:tcW w:w="4378" w:type="dxa"/>
          </w:tcPr>
          <w:p w14:paraId="283E9642" w14:textId="5C8923FB" w:rsidR="00966B34" w:rsidRPr="00030FA8" w:rsidRDefault="00966B34" w:rsidP="000D1A9C">
            <w:pPr>
              <w:spacing w:before="0" w:after="0" w:line="281" w:lineRule="auto"/>
              <w:jc w:val="center"/>
              <w:rPr>
                <w:rFonts w:cs="Arial"/>
                <w:b w:val="0"/>
                <w:sz w:val="22"/>
              </w:rPr>
            </w:pPr>
            <w:r w:rsidRPr="00030FA8">
              <w:rPr>
                <w:rFonts w:cs="Arial"/>
                <w:sz w:val="22"/>
              </w:rPr>
              <w:t>MTRA. ELIZABETH NAVA GUTIÉRREZ</w:t>
            </w:r>
          </w:p>
          <w:p w14:paraId="04172ABD" w14:textId="77777777" w:rsidR="00966B34" w:rsidRPr="00030FA8" w:rsidRDefault="00966B34" w:rsidP="000D1A9C">
            <w:pPr>
              <w:spacing w:before="0" w:after="0" w:line="281" w:lineRule="auto"/>
              <w:jc w:val="center"/>
              <w:rPr>
                <w:rFonts w:cs="Arial"/>
                <w:b w:val="0"/>
                <w:sz w:val="22"/>
              </w:rPr>
            </w:pPr>
            <w:r w:rsidRPr="00030FA8">
              <w:rPr>
                <w:rFonts w:cs="Arial"/>
                <w:sz w:val="22"/>
              </w:rPr>
              <w:t>CONSEJERA PRESIDENTA</w:t>
            </w:r>
          </w:p>
        </w:tc>
        <w:tc>
          <w:tcPr>
            <w:tcW w:w="755" w:type="dxa"/>
          </w:tcPr>
          <w:p w14:paraId="07CF4717" w14:textId="77777777" w:rsidR="00966B34" w:rsidRPr="00030FA8" w:rsidRDefault="00966B34" w:rsidP="000D1A9C">
            <w:pPr>
              <w:spacing w:before="0" w:after="0" w:line="281" w:lineRule="auto"/>
              <w:jc w:val="center"/>
              <w:rPr>
                <w:rFonts w:cs="Arial"/>
                <w:b w:val="0"/>
                <w:sz w:val="22"/>
              </w:rPr>
            </w:pPr>
          </w:p>
        </w:tc>
        <w:tc>
          <w:tcPr>
            <w:tcW w:w="4278" w:type="dxa"/>
          </w:tcPr>
          <w:p w14:paraId="35E6FA33" w14:textId="46632B4D" w:rsidR="00966B34" w:rsidRPr="00030FA8" w:rsidRDefault="00966B34" w:rsidP="000D1A9C">
            <w:pPr>
              <w:spacing w:before="0" w:after="0" w:line="281" w:lineRule="auto"/>
              <w:jc w:val="center"/>
              <w:rPr>
                <w:rFonts w:cs="Arial"/>
                <w:b w:val="0"/>
                <w:sz w:val="22"/>
              </w:rPr>
            </w:pPr>
            <w:r w:rsidRPr="00030FA8">
              <w:rPr>
                <w:rFonts w:cs="Arial"/>
                <w:sz w:val="22"/>
              </w:rPr>
              <w:t>LIC. JORGE ALBERTO ZAVALA FRÍAS</w:t>
            </w:r>
          </w:p>
          <w:p w14:paraId="79193CE2" w14:textId="77777777" w:rsidR="00966B34" w:rsidRPr="00030FA8" w:rsidRDefault="00966B34" w:rsidP="000D1A9C">
            <w:pPr>
              <w:spacing w:before="0" w:after="0" w:line="281" w:lineRule="auto"/>
              <w:jc w:val="center"/>
              <w:rPr>
                <w:rFonts w:cs="Arial"/>
                <w:b w:val="0"/>
                <w:sz w:val="22"/>
              </w:rPr>
            </w:pPr>
            <w:r w:rsidRPr="00030FA8">
              <w:rPr>
                <w:rFonts w:cs="Arial"/>
                <w:sz w:val="22"/>
              </w:rPr>
              <w:t>SECRETARIO EJECUTIVO</w:t>
            </w:r>
          </w:p>
        </w:tc>
      </w:tr>
    </w:tbl>
    <w:p w14:paraId="694B1EF5" w14:textId="77777777" w:rsidR="00D3718E" w:rsidRDefault="00D3718E" w:rsidP="00301283"/>
    <w:sectPr w:rsidR="00D3718E" w:rsidSect="003A3DF8">
      <w:headerReference w:type="default" r:id="rId7"/>
      <w:footerReference w:type="default" r:id="rId8"/>
      <w:pgSz w:w="12240" w:h="15840" w:code="1"/>
      <w:pgMar w:top="2836" w:right="160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BE59" w14:textId="77777777" w:rsidR="00984157" w:rsidRDefault="00984157">
      <w:pPr>
        <w:spacing w:before="0" w:after="0" w:line="240" w:lineRule="auto"/>
      </w:pPr>
      <w:r>
        <w:separator/>
      </w:r>
    </w:p>
  </w:endnote>
  <w:endnote w:type="continuationSeparator" w:id="0">
    <w:p w14:paraId="4B31C986" w14:textId="77777777" w:rsidR="00984157" w:rsidRDefault="009841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val="0"/>
        <w:bCs/>
        <w:color w:val="660033"/>
        <w:sz w:val="24"/>
        <w:szCs w:val="24"/>
        <w:lang w:val="es-ES"/>
      </w:rPr>
      <w:id w:val="-1581911275"/>
      <w:docPartObj>
        <w:docPartGallery w:val="Page Numbers (Bottom of Page)"/>
        <w:docPartUnique/>
      </w:docPartObj>
    </w:sdtPr>
    <w:sdtContent>
      <w:p w14:paraId="4B0FA804" w14:textId="77777777" w:rsidR="00966B34" w:rsidRPr="003A3DF8" w:rsidRDefault="00966B34" w:rsidP="0063799F">
        <w:pPr>
          <w:pStyle w:val="Piedepgina"/>
          <w:jc w:val="right"/>
          <w:rPr>
            <w:rFonts w:cs="Arial"/>
            <w:b w:val="0"/>
            <w:bCs/>
            <w:color w:val="660033"/>
            <w:sz w:val="24"/>
            <w:szCs w:val="24"/>
            <w:lang w:val="es-ES"/>
          </w:rPr>
        </w:pPr>
        <w:r w:rsidRPr="003A3DF8">
          <w:rPr>
            <w:rFonts w:cs="Arial"/>
            <w:bCs/>
            <w:color w:val="660033"/>
            <w:sz w:val="24"/>
            <w:szCs w:val="24"/>
            <w:lang w:val="es-ES"/>
          </w:rPr>
          <w:t xml:space="preserve">Página  </w:t>
        </w:r>
        <w:r w:rsidRPr="003A3DF8">
          <w:rPr>
            <w:rFonts w:cs="Arial"/>
            <w:b w:val="0"/>
            <w:bCs/>
            <w:color w:val="660033"/>
            <w:sz w:val="24"/>
            <w:szCs w:val="24"/>
          </w:rPr>
          <w:fldChar w:fldCharType="begin"/>
        </w:r>
        <w:r w:rsidRPr="003A3DF8">
          <w:rPr>
            <w:rFonts w:cs="Arial"/>
            <w:bCs/>
            <w:color w:val="660033"/>
            <w:sz w:val="24"/>
            <w:szCs w:val="24"/>
          </w:rPr>
          <w:instrText>PAGE   \* MERGEFORMAT</w:instrText>
        </w:r>
        <w:r w:rsidRPr="003A3DF8">
          <w:rPr>
            <w:rFonts w:cs="Arial"/>
            <w:b w:val="0"/>
            <w:bCs/>
            <w:color w:val="660033"/>
            <w:sz w:val="24"/>
            <w:szCs w:val="24"/>
          </w:rPr>
          <w:fldChar w:fldCharType="separate"/>
        </w:r>
        <w:r w:rsidRPr="003A3DF8">
          <w:rPr>
            <w:rFonts w:cs="Arial"/>
            <w:bCs/>
            <w:noProof/>
            <w:color w:val="660033"/>
            <w:sz w:val="24"/>
            <w:szCs w:val="24"/>
          </w:rPr>
          <w:t>1</w:t>
        </w:r>
        <w:r w:rsidRPr="003A3DF8">
          <w:rPr>
            <w:rFonts w:cs="Arial"/>
            <w:b w:val="0"/>
            <w:bCs/>
            <w:color w:val="660033"/>
            <w:sz w:val="24"/>
            <w:szCs w:val="24"/>
          </w:rPr>
          <w:fldChar w:fldCharType="end"/>
        </w:r>
        <w:r w:rsidRPr="003A3DF8">
          <w:rPr>
            <w:rFonts w:cs="Arial"/>
            <w:bCs/>
            <w:color w:val="660033"/>
            <w:sz w:val="24"/>
            <w:szCs w:val="24"/>
            <w:lang w:val="es-ES"/>
          </w:rPr>
          <w:t xml:space="preserve"> | </w:t>
        </w:r>
        <w:r w:rsidRPr="003A3DF8">
          <w:rPr>
            <w:rFonts w:cs="Arial"/>
            <w:b w:val="0"/>
            <w:bCs/>
            <w:color w:val="660033"/>
            <w:sz w:val="24"/>
            <w:szCs w:val="24"/>
            <w:lang w:val="es-ES"/>
          </w:rPr>
          <w:fldChar w:fldCharType="begin"/>
        </w:r>
        <w:r w:rsidRPr="003A3DF8">
          <w:rPr>
            <w:rFonts w:cs="Arial"/>
            <w:bCs/>
            <w:color w:val="660033"/>
            <w:sz w:val="24"/>
            <w:szCs w:val="24"/>
            <w:lang w:val="es-ES"/>
          </w:rPr>
          <w:instrText xml:space="preserve"> NUMPAGES   \* MERGEFORMAT </w:instrText>
        </w:r>
        <w:r w:rsidRPr="003A3DF8">
          <w:rPr>
            <w:rFonts w:cs="Arial"/>
            <w:b w:val="0"/>
            <w:bCs/>
            <w:color w:val="660033"/>
            <w:sz w:val="24"/>
            <w:szCs w:val="24"/>
            <w:lang w:val="es-ES"/>
          </w:rPr>
          <w:fldChar w:fldCharType="separate"/>
        </w:r>
        <w:r w:rsidRPr="003A3DF8">
          <w:rPr>
            <w:rFonts w:cs="Arial"/>
            <w:bCs/>
            <w:noProof/>
            <w:color w:val="660033"/>
            <w:sz w:val="24"/>
            <w:szCs w:val="24"/>
            <w:lang w:val="es-ES"/>
          </w:rPr>
          <w:t>8</w:t>
        </w:r>
        <w:r w:rsidRPr="003A3DF8">
          <w:rPr>
            <w:rFonts w:cs="Arial"/>
            <w:b w:val="0"/>
            <w:bCs/>
            <w:color w:val="660033"/>
            <w:sz w:val="24"/>
            <w:szCs w:val="24"/>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B830" w14:textId="77777777" w:rsidR="00984157" w:rsidRDefault="00984157">
      <w:pPr>
        <w:spacing w:before="0" w:after="0" w:line="240" w:lineRule="auto"/>
      </w:pPr>
      <w:r>
        <w:separator/>
      </w:r>
    </w:p>
  </w:footnote>
  <w:footnote w:type="continuationSeparator" w:id="0">
    <w:p w14:paraId="0E0D5565" w14:textId="77777777" w:rsidR="00984157" w:rsidRDefault="009841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966B34" w:rsidRPr="00CD4F78" w14:paraId="2AA010D1" w14:textId="77777777" w:rsidTr="00166A61">
      <w:tc>
        <w:tcPr>
          <w:tcW w:w="1418" w:type="dxa"/>
        </w:tcPr>
        <w:p w14:paraId="0D7110C3" w14:textId="77777777" w:rsidR="00966B34" w:rsidRPr="00CD4F78" w:rsidRDefault="00966B34" w:rsidP="0063799F">
          <w:pPr>
            <w:pStyle w:val="Encabezado"/>
            <w:ind w:left="-170"/>
          </w:pPr>
          <w:r w:rsidRPr="00CD4F78">
            <w:rPr>
              <w:b w:val="0"/>
              <w:noProof/>
              <w:sz w:val="32"/>
              <w:lang w:eastAsia="es-MX"/>
            </w:rPr>
            <w:drawing>
              <wp:inline distT="0" distB="0" distL="0" distR="0" wp14:anchorId="33DD5441" wp14:editId="4CF5FF0E">
                <wp:extent cx="1014331" cy="1199403"/>
                <wp:effectExtent l="0" t="0" r="0" b="1270"/>
                <wp:docPr id="676741942" name="Imagen 6767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459CC801" w14:textId="77777777" w:rsidR="00966B34" w:rsidRPr="004C0D83" w:rsidRDefault="00966B34" w:rsidP="0063799F">
          <w:pPr>
            <w:pStyle w:val="Encabezado"/>
            <w:spacing w:before="720"/>
            <w:jc w:val="center"/>
            <w:rPr>
              <w:rFonts w:cs="Arial"/>
              <w:b w:val="0"/>
              <w:bCs/>
              <w:szCs w:val="24"/>
            </w:rPr>
          </w:pPr>
          <w:r w:rsidRPr="004C0D83">
            <w:rPr>
              <w:rFonts w:cs="Arial"/>
              <w:bCs/>
              <w:szCs w:val="24"/>
            </w:rPr>
            <w:t>INSTITUTO ELECTORAL Y DE PARTICIPACIÓN CIUDADANA DE TABASCO</w:t>
          </w:r>
        </w:p>
        <w:p w14:paraId="2AB1ACED" w14:textId="77777777" w:rsidR="00966B34" w:rsidRPr="00CD4F78" w:rsidRDefault="00966B34" w:rsidP="0063799F">
          <w:pPr>
            <w:pStyle w:val="Encabezado"/>
            <w:jc w:val="center"/>
            <w:rPr>
              <w:sz w:val="25"/>
              <w:szCs w:val="25"/>
            </w:rPr>
          </w:pPr>
          <w:r w:rsidRPr="004C0D83">
            <w:rPr>
              <w:rFonts w:cs="Arial"/>
              <w:szCs w:val="24"/>
            </w:rPr>
            <w:t>JUNTA ESTATAL EJECUTIVA</w:t>
          </w:r>
        </w:p>
      </w:tc>
      <w:tc>
        <w:tcPr>
          <w:tcW w:w="1701" w:type="dxa"/>
        </w:tcPr>
        <w:p w14:paraId="7D43BC69" w14:textId="77777777" w:rsidR="00966B34" w:rsidRPr="00CD4F78" w:rsidRDefault="00966B34" w:rsidP="0063799F">
          <w:pPr>
            <w:pStyle w:val="Encabezado"/>
            <w:spacing w:before="480"/>
          </w:pPr>
          <w:r>
            <w:rPr>
              <w:noProof/>
              <w:lang w:eastAsia="es-MX"/>
            </w:rPr>
            <w:drawing>
              <wp:inline distT="0" distB="0" distL="0" distR="0" wp14:anchorId="144693D4" wp14:editId="72A1FA63">
                <wp:extent cx="942975" cy="774065"/>
                <wp:effectExtent l="0" t="0" r="9525" b="6985"/>
                <wp:docPr id="1277859352" name="Imagen 127785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59B1E164" w14:textId="5B7678DA" w:rsidR="00966B34" w:rsidRPr="003A3DF8" w:rsidRDefault="00966B34" w:rsidP="004C0D83">
    <w:pPr>
      <w:pStyle w:val="Encabezado"/>
      <w:jc w:val="right"/>
      <w:rPr>
        <w:rFonts w:cs="Arial"/>
        <w:b w:val="0"/>
        <w:sz w:val="24"/>
        <w:szCs w:val="24"/>
      </w:rPr>
    </w:pPr>
    <w:r w:rsidRPr="003A3DF8">
      <w:rPr>
        <w:rFonts w:cs="Arial"/>
        <w:sz w:val="24"/>
        <w:szCs w:val="24"/>
      </w:rPr>
      <w:t>JEE/202</w:t>
    </w:r>
    <w:r w:rsidR="002B7D48">
      <w:rPr>
        <w:rFonts w:cs="Arial"/>
        <w:sz w:val="24"/>
        <w:szCs w:val="24"/>
      </w:rPr>
      <w:t>6</w:t>
    </w:r>
    <w:r w:rsidRPr="003A3DF8">
      <w:rPr>
        <w:rFonts w:cs="Arial"/>
        <w:sz w:val="24"/>
        <w:szCs w:val="24"/>
      </w:rPr>
      <w:t>/0</w:t>
    </w:r>
    <w:r w:rsidR="003A3DF8" w:rsidRPr="003A3DF8">
      <w:rPr>
        <w:rFonts w:cs="Arial"/>
        <w:sz w:val="24"/>
        <w:szCs w:val="24"/>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B913DF"/>
    <w:multiLevelType w:val="hybridMultilevel"/>
    <w:tmpl w:val="DAEE9CEE"/>
    <w:lvl w:ilvl="0" w:tplc="F1A04C10">
      <w:start w:val="1"/>
      <w:numFmt w:val="decimal"/>
      <w:lvlText w:val="2.%1"/>
      <w:lvlJc w:val="left"/>
      <w:pPr>
        <w:ind w:left="1077" w:hanging="360"/>
      </w:pPr>
      <w:rPr>
        <w:rFonts w:hint="default"/>
        <w:b/>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3F137BC3"/>
    <w:multiLevelType w:val="hybridMultilevel"/>
    <w:tmpl w:val="47EC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B836EE"/>
    <w:multiLevelType w:val="hybridMultilevel"/>
    <w:tmpl w:val="3E7A313C"/>
    <w:lvl w:ilvl="0" w:tplc="1CA2B6BE">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711EB1"/>
    <w:multiLevelType w:val="hybridMultilevel"/>
    <w:tmpl w:val="041E65C8"/>
    <w:lvl w:ilvl="0" w:tplc="A920AD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3290359">
    <w:abstractNumId w:val="3"/>
  </w:num>
  <w:num w:numId="2" w16cid:durableId="765274762">
    <w:abstractNumId w:val="0"/>
  </w:num>
  <w:num w:numId="3" w16cid:durableId="1148546607">
    <w:abstractNumId w:val="2"/>
  </w:num>
  <w:num w:numId="4" w16cid:durableId="337313818">
    <w:abstractNumId w:val="4"/>
  </w:num>
  <w:num w:numId="5" w16cid:durableId="1964340162">
    <w:abstractNumId w:val="1"/>
  </w:num>
  <w:num w:numId="6" w16cid:durableId="1424645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34"/>
    <w:rsid w:val="000E0B81"/>
    <w:rsid w:val="000F6897"/>
    <w:rsid w:val="001D2C78"/>
    <w:rsid w:val="00225998"/>
    <w:rsid w:val="00272301"/>
    <w:rsid w:val="002B7D48"/>
    <w:rsid w:val="00301283"/>
    <w:rsid w:val="003752C0"/>
    <w:rsid w:val="003A3DF8"/>
    <w:rsid w:val="003F0009"/>
    <w:rsid w:val="00400E4F"/>
    <w:rsid w:val="00433C15"/>
    <w:rsid w:val="005A59C6"/>
    <w:rsid w:val="00692A3D"/>
    <w:rsid w:val="00696864"/>
    <w:rsid w:val="006B2539"/>
    <w:rsid w:val="006B7F36"/>
    <w:rsid w:val="00713ECC"/>
    <w:rsid w:val="007325C5"/>
    <w:rsid w:val="007448B3"/>
    <w:rsid w:val="007C00E5"/>
    <w:rsid w:val="007F6B69"/>
    <w:rsid w:val="008A0295"/>
    <w:rsid w:val="00942976"/>
    <w:rsid w:val="00966B34"/>
    <w:rsid w:val="00984157"/>
    <w:rsid w:val="00AE18EF"/>
    <w:rsid w:val="00B83801"/>
    <w:rsid w:val="00BB407E"/>
    <w:rsid w:val="00C16CBC"/>
    <w:rsid w:val="00CE40ED"/>
    <w:rsid w:val="00D3718E"/>
    <w:rsid w:val="00D81BFD"/>
    <w:rsid w:val="00D97FD3"/>
    <w:rsid w:val="00EF5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9F38"/>
  <w15:chartTrackingRefBased/>
  <w15:docId w15:val="{BBE64F8F-C37C-49AD-8A20-44FF244F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34"/>
    <w:pPr>
      <w:spacing w:before="240" w:after="240"/>
      <w:jc w:val="both"/>
    </w:pPr>
    <w:rPr>
      <w:rFonts w:ascii="Arial" w:hAnsi="Arial"/>
      <w:b/>
      <w:sz w:val="28"/>
    </w:rPr>
  </w:style>
  <w:style w:type="paragraph" w:styleId="Ttulo1">
    <w:name w:val="heading 1"/>
    <w:basedOn w:val="Normal"/>
    <w:next w:val="Normal"/>
    <w:link w:val="Ttulo1Car"/>
    <w:uiPriority w:val="9"/>
    <w:qFormat/>
    <w:rsid w:val="00966B34"/>
    <w:pPr>
      <w:keepNext/>
      <w:keepLines/>
      <w:spacing w:before="360" w:after="80"/>
      <w:jc w:val="center"/>
      <w:outlineLvl w:val="0"/>
    </w:pPr>
    <w:rPr>
      <w:rFonts w:eastAsiaTheme="majorEastAsia" w:cstheme="majorBidi"/>
      <w:color w:val="000000" w:themeColor="text1"/>
      <w:sz w:val="24"/>
      <w:szCs w:val="40"/>
    </w:rPr>
  </w:style>
  <w:style w:type="paragraph" w:styleId="Ttulo2">
    <w:name w:val="heading 2"/>
    <w:basedOn w:val="Normal"/>
    <w:next w:val="Normal"/>
    <w:link w:val="Ttulo2Car"/>
    <w:uiPriority w:val="9"/>
    <w:unhideWhenUsed/>
    <w:qFormat/>
    <w:rsid w:val="00966B34"/>
    <w:pPr>
      <w:keepNext/>
      <w:keepLines/>
      <w:spacing w:before="160" w:after="80"/>
      <w:jc w:val="left"/>
      <w:outlineLvl w:val="1"/>
    </w:pPr>
    <w:rPr>
      <w:rFonts w:eastAsiaTheme="majorEastAsia" w:cstheme="majorBidi"/>
      <w:sz w:val="22"/>
      <w:szCs w:val="32"/>
    </w:rPr>
  </w:style>
  <w:style w:type="paragraph" w:styleId="Ttulo3">
    <w:name w:val="heading 3"/>
    <w:basedOn w:val="Normal"/>
    <w:next w:val="Normal"/>
    <w:link w:val="Ttulo3Car"/>
    <w:uiPriority w:val="9"/>
    <w:semiHidden/>
    <w:unhideWhenUsed/>
    <w:qFormat/>
    <w:rsid w:val="00966B34"/>
    <w:pPr>
      <w:keepNext/>
      <w:keepLines/>
      <w:spacing w:before="160" w:after="80"/>
      <w:outlineLvl w:val="2"/>
    </w:pPr>
    <w:rPr>
      <w:rFonts w:eastAsiaTheme="majorEastAsia" w:cstheme="majorBidi"/>
      <w:color w:val="2E74B5" w:themeColor="accent1" w:themeShade="BF"/>
      <w:szCs w:val="28"/>
    </w:rPr>
  </w:style>
  <w:style w:type="paragraph" w:styleId="Ttulo4">
    <w:name w:val="heading 4"/>
    <w:basedOn w:val="Normal"/>
    <w:next w:val="Normal"/>
    <w:link w:val="Ttulo4Car"/>
    <w:uiPriority w:val="9"/>
    <w:semiHidden/>
    <w:unhideWhenUsed/>
    <w:qFormat/>
    <w:rsid w:val="00966B3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66B3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66B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6B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6B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6B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B34"/>
    <w:rPr>
      <w:rFonts w:ascii="Arial" w:eastAsiaTheme="majorEastAsia" w:hAnsi="Arial" w:cstheme="majorBidi"/>
      <w:b/>
      <w:color w:val="000000" w:themeColor="text1"/>
      <w:sz w:val="24"/>
      <w:szCs w:val="40"/>
    </w:rPr>
  </w:style>
  <w:style w:type="character" w:customStyle="1" w:styleId="Ttulo2Car">
    <w:name w:val="Título 2 Car"/>
    <w:basedOn w:val="Fuentedeprrafopredeter"/>
    <w:link w:val="Ttulo2"/>
    <w:uiPriority w:val="9"/>
    <w:rsid w:val="00966B34"/>
    <w:rPr>
      <w:rFonts w:ascii="Arial" w:eastAsiaTheme="majorEastAsia" w:hAnsi="Arial" w:cstheme="majorBidi"/>
      <w:b/>
      <w:szCs w:val="32"/>
    </w:rPr>
  </w:style>
  <w:style w:type="character" w:customStyle="1" w:styleId="Ttulo3Car">
    <w:name w:val="Título 3 Car"/>
    <w:basedOn w:val="Fuentedeprrafopredeter"/>
    <w:link w:val="Ttulo3"/>
    <w:uiPriority w:val="9"/>
    <w:semiHidden/>
    <w:rsid w:val="00966B3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66B3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66B3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66B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6B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6B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6B34"/>
    <w:rPr>
      <w:rFonts w:eastAsiaTheme="majorEastAsia" w:cstheme="majorBidi"/>
      <w:color w:val="272727" w:themeColor="text1" w:themeTint="D8"/>
    </w:rPr>
  </w:style>
  <w:style w:type="paragraph" w:styleId="Ttulo">
    <w:name w:val="Title"/>
    <w:basedOn w:val="Normal"/>
    <w:next w:val="Normal"/>
    <w:link w:val="TtuloCar"/>
    <w:uiPriority w:val="10"/>
    <w:qFormat/>
    <w:rsid w:val="00966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B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B34"/>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966B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6B34"/>
    <w:pPr>
      <w:spacing w:before="160"/>
      <w:jc w:val="center"/>
    </w:pPr>
    <w:rPr>
      <w:i/>
      <w:iCs/>
      <w:color w:val="404040" w:themeColor="text1" w:themeTint="BF"/>
    </w:rPr>
  </w:style>
  <w:style w:type="character" w:customStyle="1" w:styleId="CitaCar">
    <w:name w:val="Cita Car"/>
    <w:basedOn w:val="Fuentedeprrafopredeter"/>
    <w:link w:val="Cita"/>
    <w:uiPriority w:val="29"/>
    <w:rsid w:val="00966B34"/>
    <w:rPr>
      <w:i/>
      <w:iCs/>
      <w:color w:val="404040" w:themeColor="text1" w:themeTint="BF"/>
    </w:rPr>
  </w:style>
  <w:style w:type="paragraph" w:styleId="Prrafodelista">
    <w:name w:val="List Paragraph"/>
    <w:basedOn w:val="Normal"/>
    <w:uiPriority w:val="34"/>
    <w:qFormat/>
    <w:rsid w:val="00966B34"/>
    <w:pPr>
      <w:ind w:left="720"/>
      <w:contextualSpacing/>
    </w:pPr>
  </w:style>
  <w:style w:type="character" w:styleId="nfasisintenso">
    <w:name w:val="Intense Emphasis"/>
    <w:basedOn w:val="Fuentedeprrafopredeter"/>
    <w:uiPriority w:val="21"/>
    <w:qFormat/>
    <w:rsid w:val="00966B34"/>
    <w:rPr>
      <w:i/>
      <w:iCs/>
      <w:color w:val="2E74B5" w:themeColor="accent1" w:themeShade="BF"/>
    </w:rPr>
  </w:style>
  <w:style w:type="paragraph" w:styleId="Citadestacada">
    <w:name w:val="Intense Quote"/>
    <w:basedOn w:val="Normal"/>
    <w:next w:val="Normal"/>
    <w:link w:val="CitadestacadaCar"/>
    <w:uiPriority w:val="30"/>
    <w:qFormat/>
    <w:rsid w:val="00966B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66B34"/>
    <w:rPr>
      <w:i/>
      <w:iCs/>
      <w:color w:val="2E74B5" w:themeColor="accent1" w:themeShade="BF"/>
    </w:rPr>
  </w:style>
  <w:style w:type="character" w:styleId="Referenciaintensa">
    <w:name w:val="Intense Reference"/>
    <w:basedOn w:val="Fuentedeprrafopredeter"/>
    <w:uiPriority w:val="32"/>
    <w:qFormat/>
    <w:rsid w:val="00966B34"/>
    <w:rPr>
      <w:b/>
      <w:bCs/>
      <w:smallCaps/>
      <w:color w:val="2E74B5" w:themeColor="accent1" w:themeShade="BF"/>
      <w:spacing w:val="5"/>
    </w:rPr>
  </w:style>
  <w:style w:type="table" w:styleId="Tablaconcuadrcula">
    <w:name w:val="Table Grid"/>
    <w:basedOn w:val="Tablanormal"/>
    <w:uiPriority w:val="39"/>
    <w:rsid w:val="0096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6B3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66B34"/>
    <w:rPr>
      <w:rFonts w:ascii="Arial" w:hAnsi="Arial"/>
      <w:b/>
      <w:sz w:val="28"/>
    </w:rPr>
  </w:style>
  <w:style w:type="paragraph" w:styleId="Piedepgina">
    <w:name w:val="footer"/>
    <w:basedOn w:val="Normal"/>
    <w:link w:val="PiedepginaCar"/>
    <w:uiPriority w:val="99"/>
    <w:unhideWhenUsed/>
    <w:rsid w:val="00966B3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66B34"/>
    <w:rPr>
      <w:rFonts w:ascii="Arial" w:hAnsi="Arial"/>
      <w:b/>
      <w:sz w:val="28"/>
    </w:rPr>
  </w:style>
  <w:style w:type="paragraph" w:styleId="NormalWeb">
    <w:name w:val="Normal (Web)"/>
    <w:basedOn w:val="Normal"/>
    <w:uiPriority w:val="99"/>
    <w:semiHidden/>
    <w:unhideWhenUsed/>
    <w:rsid w:val="000E0B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7</Pages>
  <Words>2059</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Coordinación Técnica</cp:lastModifiedBy>
  <cp:revision>9</cp:revision>
  <cp:lastPrinted>2026-02-10T18:20:00Z</cp:lastPrinted>
  <dcterms:created xsi:type="dcterms:W3CDTF">2026-01-28T19:44:00Z</dcterms:created>
  <dcterms:modified xsi:type="dcterms:W3CDTF">2026-02-10T18:21:00Z</dcterms:modified>
</cp:coreProperties>
</file>