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C62100" w14:textId="7E489F1E" w:rsidR="000F6049" w:rsidRPr="00E96A57" w:rsidRDefault="00E96A57" w:rsidP="000F6049">
      <w:pPr>
        <w:rPr>
          <w:rFonts w:ascii="Arial" w:hAnsi="Arial" w:cs="Arial"/>
          <w:b/>
          <w:bCs/>
        </w:rPr>
      </w:pPr>
      <w:r w:rsidRPr="00E96A57">
        <w:rPr>
          <w:rFonts w:ascii="Arial" w:hAnsi="Arial" w:cs="Arial"/>
          <w:b/>
          <w:bCs/>
        </w:rPr>
        <w:t xml:space="preserve">ACUERDO QUE, A PROPUESTA DE LA SECRETARÍA EJECUTIVA, EMITE LA JUNTA ESTATAL EJECUTIVA DEL INSTITUTO ELECTORAL Y DE PARTICIPACIÓN CIUDADANA DE TABASCO POR EL QUE APRUEBA LA UTILIZACIÓN DE LOS RECURSOS PROVENIENTES DEL AHORRO PRESUPUESTARIO PARA LA IMPLEMENTACIÓN DE PROYECTOS COMPRENDIDOS EN LOS CAPÍTULOS 2000 Y 3000 DEL PROGRAMA PRESUPUESTARIO </w:t>
      </w:r>
      <w:proofErr w:type="spellStart"/>
      <w:r w:rsidRPr="00E96A57">
        <w:rPr>
          <w:rFonts w:ascii="Arial" w:hAnsi="Arial" w:cs="Arial"/>
          <w:b/>
          <w:bCs/>
        </w:rPr>
        <w:t>R005</w:t>
      </w:r>
      <w:proofErr w:type="spellEnd"/>
      <w:r w:rsidRPr="00E96A57">
        <w:rPr>
          <w:rFonts w:ascii="Arial" w:hAnsi="Arial" w:cs="Arial"/>
          <w:b/>
          <w:bCs/>
        </w:rPr>
        <w:t>. ORGANIZACIÓN DEL PROCESO ELECTORAL LOCAL EXTRAORDINARIO 2024 – 2025</w:t>
      </w:r>
    </w:p>
    <w:p w14:paraId="47AEF1F3" w14:textId="77777777" w:rsidR="000F6049" w:rsidRPr="00E96A57" w:rsidRDefault="000F6049" w:rsidP="000F6049">
      <w:pPr>
        <w:rPr>
          <w:rFonts w:ascii="Arial" w:hAnsi="Arial" w:cs="Arial"/>
          <w:sz w:val="22"/>
          <w:szCs w:val="22"/>
        </w:rPr>
      </w:pPr>
      <w:r w:rsidRPr="00E96A57">
        <w:rPr>
          <w:rFonts w:ascii="Arial" w:hAnsi="Arial" w:cs="Arial"/>
          <w:sz w:val="22"/>
          <w:szCs w:val="22"/>
        </w:rPr>
        <w:t>Para efectos del presente acuerdo se usarán las abreviaturas y definiciones siguientes:</w:t>
      </w:r>
    </w:p>
    <w:tbl>
      <w:tblPr>
        <w:tblStyle w:val="Tablaconcuadrcula"/>
        <w:tblW w:w="0" w:type="auto"/>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2664"/>
        <w:gridCol w:w="3998"/>
      </w:tblGrid>
      <w:tr w:rsidR="00E96A57" w:rsidRPr="00E96A57" w14:paraId="549F4C34" w14:textId="77777777" w:rsidTr="007A782A">
        <w:trPr>
          <w:jc w:val="center"/>
        </w:trPr>
        <w:tc>
          <w:tcPr>
            <w:tcW w:w="2664" w:type="dxa"/>
            <w:vAlign w:val="center"/>
          </w:tcPr>
          <w:p w14:paraId="1D84C2E2" w14:textId="77777777" w:rsidR="000F6049" w:rsidRPr="00E96A57" w:rsidRDefault="000F6049" w:rsidP="007A782A">
            <w:pPr>
              <w:spacing w:before="120" w:after="120"/>
              <w:jc w:val="right"/>
              <w:rPr>
                <w:rFonts w:ascii="Arial" w:hAnsi="Arial" w:cs="Arial"/>
                <w:b/>
                <w:sz w:val="20"/>
                <w:szCs w:val="20"/>
              </w:rPr>
            </w:pPr>
            <w:r w:rsidRPr="00E96A57">
              <w:rPr>
                <w:rFonts w:ascii="Arial" w:hAnsi="Arial" w:cs="Arial"/>
                <w:b/>
                <w:sz w:val="20"/>
                <w:szCs w:val="20"/>
              </w:rPr>
              <w:t>Consejo Estatal:</w:t>
            </w:r>
          </w:p>
        </w:tc>
        <w:tc>
          <w:tcPr>
            <w:tcW w:w="3998" w:type="dxa"/>
            <w:vAlign w:val="center"/>
          </w:tcPr>
          <w:p w14:paraId="09351625" w14:textId="77777777" w:rsidR="000F6049" w:rsidRPr="00E96A57" w:rsidRDefault="000F6049" w:rsidP="007A782A">
            <w:pPr>
              <w:spacing w:before="120" w:after="120"/>
              <w:rPr>
                <w:rFonts w:ascii="Arial" w:hAnsi="Arial" w:cs="Arial"/>
                <w:sz w:val="20"/>
                <w:szCs w:val="20"/>
              </w:rPr>
            </w:pPr>
            <w:r w:rsidRPr="00E96A57">
              <w:rPr>
                <w:rFonts w:ascii="Arial" w:hAnsi="Arial" w:cs="Arial"/>
                <w:sz w:val="20"/>
                <w:szCs w:val="20"/>
              </w:rPr>
              <w:t>Consejo Estatal del Instituto Electoral y de Participación Ciudadana de Tabasco.</w:t>
            </w:r>
          </w:p>
        </w:tc>
      </w:tr>
      <w:tr w:rsidR="00E96A57" w:rsidRPr="00E96A57" w14:paraId="3F61EDA1" w14:textId="77777777" w:rsidTr="007A782A">
        <w:trPr>
          <w:jc w:val="center"/>
        </w:trPr>
        <w:tc>
          <w:tcPr>
            <w:tcW w:w="2664" w:type="dxa"/>
            <w:vAlign w:val="center"/>
          </w:tcPr>
          <w:p w14:paraId="7E3B3AA8" w14:textId="77777777" w:rsidR="000F6049" w:rsidRPr="00E96A57" w:rsidRDefault="000F6049" w:rsidP="007A782A">
            <w:pPr>
              <w:spacing w:before="120" w:after="120"/>
              <w:jc w:val="right"/>
              <w:rPr>
                <w:rFonts w:ascii="Arial" w:hAnsi="Arial" w:cs="Arial"/>
                <w:b/>
                <w:sz w:val="20"/>
                <w:szCs w:val="20"/>
              </w:rPr>
            </w:pPr>
            <w:r w:rsidRPr="00E96A57">
              <w:rPr>
                <w:rFonts w:ascii="Arial" w:hAnsi="Arial" w:cs="Arial"/>
                <w:b/>
                <w:sz w:val="20"/>
                <w:szCs w:val="20"/>
              </w:rPr>
              <w:t>Constitución Federal:</w:t>
            </w:r>
          </w:p>
        </w:tc>
        <w:tc>
          <w:tcPr>
            <w:tcW w:w="3998" w:type="dxa"/>
            <w:vAlign w:val="center"/>
          </w:tcPr>
          <w:p w14:paraId="41464215" w14:textId="77777777" w:rsidR="000F6049" w:rsidRPr="00E96A57" w:rsidRDefault="000F6049" w:rsidP="007A782A">
            <w:pPr>
              <w:spacing w:before="120" w:after="120"/>
              <w:rPr>
                <w:rFonts w:ascii="Arial" w:hAnsi="Arial" w:cs="Arial"/>
                <w:sz w:val="20"/>
                <w:szCs w:val="20"/>
              </w:rPr>
            </w:pPr>
            <w:r w:rsidRPr="00E96A57">
              <w:rPr>
                <w:rFonts w:ascii="Arial" w:hAnsi="Arial" w:cs="Arial"/>
                <w:sz w:val="20"/>
                <w:szCs w:val="20"/>
              </w:rPr>
              <w:t>Constitución Política de los Estados Unidos Mexicanos.</w:t>
            </w:r>
          </w:p>
        </w:tc>
      </w:tr>
      <w:tr w:rsidR="00E96A57" w:rsidRPr="00E96A57" w14:paraId="52CB5AE8" w14:textId="77777777" w:rsidTr="007A782A">
        <w:trPr>
          <w:jc w:val="center"/>
        </w:trPr>
        <w:tc>
          <w:tcPr>
            <w:tcW w:w="2664" w:type="dxa"/>
            <w:vAlign w:val="center"/>
          </w:tcPr>
          <w:p w14:paraId="2AE616B3" w14:textId="77777777" w:rsidR="000F6049" w:rsidRPr="00E96A57" w:rsidRDefault="000F6049" w:rsidP="007A782A">
            <w:pPr>
              <w:spacing w:before="120" w:after="120"/>
              <w:jc w:val="right"/>
              <w:rPr>
                <w:rFonts w:ascii="Arial" w:hAnsi="Arial" w:cs="Arial"/>
                <w:b/>
                <w:sz w:val="20"/>
                <w:szCs w:val="20"/>
              </w:rPr>
            </w:pPr>
            <w:r w:rsidRPr="00E96A57">
              <w:rPr>
                <w:rFonts w:ascii="Arial" w:hAnsi="Arial" w:cs="Arial"/>
                <w:b/>
                <w:sz w:val="20"/>
                <w:szCs w:val="20"/>
              </w:rPr>
              <w:t>Constitución Local:</w:t>
            </w:r>
          </w:p>
        </w:tc>
        <w:tc>
          <w:tcPr>
            <w:tcW w:w="3998" w:type="dxa"/>
            <w:vAlign w:val="center"/>
          </w:tcPr>
          <w:p w14:paraId="5801A95E" w14:textId="77777777" w:rsidR="000F6049" w:rsidRPr="00E96A57" w:rsidRDefault="000F6049" w:rsidP="007A782A">
            <w:pPr>
              <w:spacing w:before="120" w:after="120"/>
              <w:rPr>
                <w:rFonts w:ascii="Arial" w:hAnsi="Arial" w:cs="Arial"/>
                <w:sz w:val="20"/>
                <w:szCs w:val="20"/>
              </w:rPr>
            </w:pPr>
            <w:r w:rsidRPr="00E96A57">
              <w:rPr>
                <w:rFonts w:ascii="Arial" w:hAnsi="Arial" w:cs="Arial"/>
                <w:sz w:val="20"/>
                <w:szCs w:val="20"/>
              </w:rPr>
              <w:t>Constitución Política del Estado Libre y Soberano de Tabasco.</w:t>
            </w:r>
          </w:p>
        </w:tc>
      </w:tr>
      <w:tr w:rsidR="00E96A57" w:rsidRPr="00E96A57" w14:paraId="3B9F4C90" w14:textId="77777777" w:rsidTr="007A782A">
        <w:trPr>
          <w:jc w:val="center"/>
        </w:trPr>
        <w:tc>
          <w:tcPr>
            <w:tcW w:w="2664" w:type="dxa"/>
            <w:vAlign w:val="center"/>
          </w:tcPr>
          <w:p w14:paraId="5E6B555D" w14:textId="77777777" w:rsidR="000F6049" w:rsidRPr="00E96A57" w:rsidRDefault="000F6049" w:rsidP="007A782A">
            <w:pPr>
              <w:spacing w:before="120" w:after="120"/>
              <w:jc w:val="right"/>
              <w:rPr>
                <w:rFonts w:ascii="Arial" w:hAnsi="Arial" w:cs="Arial"/>
                <w:b/>
                <w:sz w:val="20"/>
                <w:szCs w:val="20"/>
              </w:rPr>
            </w:pPr>
            <w:r w:rsidRPr="00E96A57">
              <w:rPr>
                <w:rFonts w:ascii="Arial" w:hAnsi="Arial" w:cs="Arial"/>
                <w:b/>
                <w:sz w:val="20"/>
                <w:szCs w:val="20"/>
              </w:rPr>
              <w:t>Dirección de Administración:</w:t>
            </w:r>
          </w:p>
        </w:tc>
        <w:tc>
          <w:tcPr>
            <w:tcW w:w="3998" w:type="dxa"/>
            <w:vAlign w:val="center"/>
          </w:tcPr>
          <w:p w14:paraId="56B6BDE1" w14:textId="77777777" w:rsidR="000F6049" w:rsidRPr="00E96A57" w:rsidRDefault="000F6049" w:rsidP="007A782A">
            <w:pPr>
              <w:spacing w:before="120" w:after="120"/>
              <w:rPr>
                <w:rFonts w:ascii="Arial" w:hAnsi="Arial" w:cs="Arial"/>
                <w:sz w:val="20"/>
                <w:szCs w:val="20"/>
              </w:rPr>
            </w:pPr>
            <w:r w:rsidRPr="00E96A57">
              <w:rPr>
                <w:rFonts w:ascii="Arial" w:hAnsi="Arial" w:cs="Arial"/>
                <w:sz w:val="20"/>
                <w:szCs w:val="20"/>
              </w:rPr>
              <w:t>Dirección de Administración del Instituto Electoral y de Participación Ciudadana de Tabasco.</w:t>
            </w:r>
          </w:p>
        </w:tc>
      </w:tr>
      <w:tr w:rsidR="00E96A57" w:rsidRPr="00E96A57" w14:paraId="35943128" w14:textId="77777777" w:rsidTr="007A782A">
        <w:trPr>
          <w:jc w:val="center"/>
        </w:trPr>
        <w:tc>
          <w:tcPr>
            <w:tcW w:w="2664" w:type="dxa"/>
            <w:vAlign w:val="center"/>
          </w:tcPr>
          <w:p w14:paraId="6948F266" w14:textId="77777777" w:rsidR="000F6049" w:rsidRPr="00E96A57" w:rsidRDefault="000F6049" w:rsidP="007A782A">
            <w:pPr>
              <w:spacing w:before="120" w:after="120"/>
              <w:jc w:val="right"/>
              <w:rPr>
                <w:rFonts w:ascii="Arial" w:hAnsi="Arial" w:cs="Arial"/>
                <w:b/>
                <w:sz w:val="20"/>
                <w:szCs w:val="20"/>
              </w:rPr>
            </w:pPr>
            <w:r w:rsidRPr="00E96A57">
              <w:rPr>
                <w:rFonts w:ascii="Arial" w:hAnsi="Arial" w:cs="Arial"/>
                <w:b/>
                <w:sz w:val="20"/>
                <w:szCs w:val="20"/>
              </w:rPr>
              <w:t>Instituto:</w:t>
            </w:r>
          </w:p>
        </w:tc>
        <w:tc>
          <w:tcPr>
            <w:tcW w:w="3998" w:type="dxa"/>
            <w:vAlign w:val="center"/>
          </w:tcPr>
          <w:p w14:paraId="2E8814D6" w14:textId="77777777" w:rsidR="000F6049" w:rsidRPr="00E96A57" w:rsidRDefault="000F6049" w:rsidP="007A782A">
            <w:pPr>
              <w:spacing w:before="120" w:after="120"/>
              <w:rPr>
                <w:rFonts w:ascii="Arial" w:hAnsi="Arial" w:cs="Arial"/>
                <w:sz w:val="20"/>
                <w:szCs w:val="20"/>
              </w:rPr>
            </w:pPr>
            <w:r w:rsidRPr="00E96A57">
              <w:rPr>
                <w:rFonts w:ascii="Arial" w:hAnsi="Arial" w:cs="Arial"/>
                <w:sz w:val="20"/>
                <w:szCs w:val="20"/>
              </w:rPr>
              <w:t>Instituto Electoral y de Participación Ciudadana de Tabasco.</w:t>
            </w:r>
          </w:p>
        </w:tc>
      </w:tr>
      <w:tr w:rsidR="00E96A57" w:rsidRPr="00E96A57" w14:paraId="205025C5" w14:textId="77777777" w:rsidTr="007A782A">
        <w:trPr>
          <w:jc w:val="center"/>
        </w:trPr>
        <w:tc>
          <w:tcPr>
            <w:tcW w:w="2664" w:type="dxa"/>
            <w:vAlign w:val="center"/>
          </w:tcPr>
          <w:p w14:paraId="112E9617" w14:textId="77777777" w:rsidR="000F6049" w:rsidRPr="00E96A57" w:rsidRDefault="000F6049" w:rsidP="007A782A">
            <w:pPr>
              <w:spacing w:before="120" w:after="120"/>
              <w:jc w:val="right"/>
              <w:rPr>
                <w:rFonts w:ascii="Arial" w:hAnsi="Arial" w:cs="Arial"/>
                <w:b/>
                <w:sz w:val="20"/>
                <w:szCs w:val="20"/>
              </w:rPr>
            </w:pPr>
            <w:r w:rsidRPr="00E96A57">
              <w:rPr>
                <w:rFonts w:ascii="Arial" w:hAnsi="Arial" w:cs="Arial"/>
                <w:b/>
                <w:sz w:val="20"/>
                <w:szCs w:val="20"/>
              </w:rPr>
              <w:t>Junta Ejecutiva:</w:t>
            </w:r>
          </w:p>
        </w:tc>
        <w:tc>
          <w:tcPr>
            <w:tcW w:w="3998" w:type="dxa"/>
            <w:vAlign w:val="center"/>
          </w:tcPr>
          <w:p w14:paraId="43409991" w14:textId="77777777" w:rsidR="000F6049" w:rsidRPr="00E96A57" w:rsidRDefault="000F6049" w:rsidP="007A782A">
            <w:pPr>
              <w:spacing w:before="120" w:after="120"/>
              <w:rPr>
                <w:rFonts w:ascii="Arial" w:hAnsi="Arial" w:cs="Arial"/>
                <w:sz w:val="20"/>
                <w:szCs w:val="20"/>
              </w:rPr>
            </w:pPr>
            <w:r w:rsidRPr="00E96A57">
              <w:rPr>
                <w:rFonts w:ascii="Arial" w:hAnsi="Arial" w:cs="Arial"/>
                <w:sz w:val="20"/>
                <w:szCs w:val="20"/>
              </w:rPr>
              <w:t>Junta Estatal Ejecutiva del Instituto Electoral y de Participación Ciudadana de Tabasco.</w:t>
            </w:r>
          </w:p>
        </w:tc>
      </w:tr>
      <w:tr w:rsidR="00E96A57" w:rsidRPr="00E96A57" w14:paraId="2CE8CE6A" w14:textId="77777777" w:rsidTr="007A782A">
        <w:trPr>
          <w:jc w:val="center"/>
        </w:trPr>
        <w:tc>
          <w:tcPr>
            <w:tcW w:w="2664" w:type="dxa"/>
            <w:vAlign w:val="center"/>
          </w:tcPr>
          <w:p w14:paraId="49903F03" w14:textId="77777777" w:rsidR="000F6049" w:rsidRPr="00E96A57" w:rsidRDefault="000F6049" w:rsidP="007A782A">
            <w:pPr>
              <w:spacing w:before="120" w:after="120"/>
              <w:jc w:val="right"/>
              <w:rPr>
                <w:rFonts w:ascii="Arial" w:hAnsi="Arial" w:cs="Arial"/>
                <w:b/>
                <w:sz w:val="20"/>
                <w:szCs w:val="20"/>
              </w:rPr>
            </w:pPr>
            <w:r w:rsidRPr="00E96A57">
              <w:rPr>
                <w:rFonts w:ascii="Arial" w:hAnsi="Arial" w:cs="Arial"/>
                <w:b/>
                <w:sz w:val="20"/>
                <w:szCs w:val="20"/>
              </w:rPr>
              <w:t>Ley Electoral:</w:t>
            </w:r>
          </w:p>
        </w:tc>
        <w:tc>
          <w:tcPr>
            <w:tcW w:w="3998" w:type="dxa"/>
            <w:vAlign w:val="center"/>
          </w:tcPr>
          <w:p w14:paraId="3DCE42E3" w14:textId="77777777" w:rsidR="000F6049" w:rsidRPr="00E96A57" w:rsidRDefault="000F6049" w:rsidP="007A782A">
            <w:pPr>
              <w:spacing w:before="120" w:after="120"/>
              <w:rPr>
                <w:rFonts w:ascii="Arial" w:hAnsi="Arial" w:cs="Arial"/>
                <w:sz w:val="20"/>
                <w:szCs w:val="20"/>
              </w:rPr>
            </w:pPr>
            <w:r w:rsidRPr="00E96A57">
              <w:rPr>
                <w:rFonts w:ascii="Arial" w:hAnsi="Arial" w:cs="Arial"/>
                <w:sz w:val="20"/>
                <w:szCs w:val="20"/>
              </w:rPr>
              <w:t>Ley Electoral y de Partidos Políticos del Estado de Tabasco.</w:t>
            </w:r>
          </w:p>
        </w:tc>
      </w:tr>
      <w:tr w:rsidR="00E96A57" w:rsidRPr="00E96A57" w14:paraId="5CA70A6F" w14:textId="77777777" w:rsidTr="007A782A">
        <w:trPr>
          <w:jc w:val="center"/>
        </w:trPr>
        <w:tc>
          <w:tcPr>
            <w:tcW w:w="2664" w:type="dxa"/>
            <w:vAlign w:val="center"/>
          </w:tcPr>
          <w:p w14:paraId="7A438B13" w14:textId="77777777" w:rsidR="000F6049" w:rsidRPr="00E96A57" w:rsidRDefault="000F6049" w:rsidP="007A782A">
            <w:pPr>
              <w:spacing w:before="120" w:after="120"/>
              <w:jc w:val="right"/>
              <w:rPr>
                <w:rFonts w:ascii="Arial" w:hAnsi="Arial" w:cs="Arial"/>
                <w:b/>
                <w:sz w:val="20"/>
                <w:szCs w:val="20"/>
              </w:rPr>
            </w:pPr>
            <w:r w:rsidRPr="00E96A57">
              <w:rPr>
                <w:rFonts w:ascii="Arial" w:hAnsi="Arial" w:cs="Arial"/>
                <w:b/>
                <w:sz w:val="20"/>
                <w:szCs w:val="20"/>
              </w:rPr>
              <w:t>Proceso Electoral Extraordinario:</w:t>
            </w:r>
          </w:p>
        </w:tc>
        <w:tc>
          <w:tcPr>
            <w:tcW w:w="3998" w:type="dxa"/>
            <w:vAlign w:val="center"/>
          </w:tcPr>
          <w:p w14:paraId="0C3B5E8D" w14:textId="77777777" w:rsidR="000F6049" w:rsidRPr="00E96A57" w:rsidRDefault="000F6049" w:rsidP="007A782A">
            <w:pPr>
              <w:spacing w:before="120" w:after="120"/>
              <w:rPr>
                <w:rFonts w:ascii="Arial" w:hAnsi="Arial" w:cs="Arial"/>
                <w:sz w:val="20"/>
                <w:szCs w:val="20"/>
              </w:rPr>
            </w:pPr>
            <w:r w:rsidRPr="00E96A57">
              <w:rPr>
                <w:rFonts w:ascii="Arial" w:hAnsi="Arial" w:cs="Arial"/>
                <w:sz w:val="20"/>
                <w:szCs w:val="20"/>
              </w:rPr>
              <w:t>Proceso Electoral Local Extraordinario para la elección de personas juzgadoras del Poder Judicial del Estado de Tabasco 2024 – 2025.</w:t>
            </w:r>
          </w:p>
        </w:tc>
      </w:tr>
    </w:tbl>
    <w:p w14:paraId="0F481B8B" w14:textId="77777777" w:rsidR="000F6049" w:rsidRPr="00E96A57" w:rsidRDefault="000F6049" w:rsidP="004066A2">
      <w:pPr>
        <w:pStyle w:val="Ttulo1"/>
        <w:rPr>
          <w:rFonts w:ascii="Arial" w:hAnsi="Arial" w:cs="Arial"/>
          <w:color w:val="auto"/>
          <w:sz w:val="24"/>
          <w:szCs w:val="24"/>
        </w:rPr>
      </w:pPr>
      <w:r w:rsidRPr="00E96A57">
        <w:rPr>
          <w:rFonts w:ascii="Arial" w:hAnsi="Arial" w:cs="Arial"/>
          <w:color w:val="auto"/>
          <w:sz w:val="24"/>
          <w:szCs w:val="24"/>
        </w:rPr>
        <w:lastRenderedPageBreak/>
        <w:t>Antecedentes</w:t>
      </w:r>
    </w:p>
    <w:p w14:paraId="5C556774" w14:textId="77777777" w:rsidR="000F6049" w:rsidRPr="00E96A57" w:rsidRDefault="000F6049" w:rsidP="000F6049">
      <w:pPr>
        <w:pStyle w:val="Ttulo2"/>
        <w:rPr>
          <w:rFonts w:ascii="Arial" w:hAnsi="Arial" w:cs="Arial"/>
          <w:color w:val="auto"/>
          <w:sz w:val="22"/>
          <w:szCs w:val="22"/>
        </w:rPr>
      </w:pPr>
      <w:r w:rsidRPr="00E96A57">
        <w:rPr>
          <w:rFonts w:ascii="Arial" w:hAnsi="Arial" w:cs="Arial"/>
          <w:color w:val="auto"/>
          <w:sz w:val="22"/>
          <w:szCs w:val="22"/>
        </w:rPr>
        <w:t>Fines del Instituto</w:t>
      </w:r>
    </w:p>
    <w:p w14:paraId="536EC3AD" w14:textId="77777777" w:rsidR="000F6049" w:rsidRPr="00E96A57" w:rsidRDefault="000F6049" w:rsidP="000F6049">
      <w:pPr>
        <w:rPr>
          <w:rFonts w:ascii="Arial" w:hAnsi="Arial" w:cs="Arial"/>
          <w:sz w:val="22"/>
          <w:szCs w:val="22"/>
        </w:rPr>
      </w:pPr>
      <w:r w:rsidRPr="00E96A57">
        <w:rPr>
          <w:rFonts w:ascii="Arial" w:hAnsi="Arial" w:cs="Arial"/>
          <w:sz w:val="22"/>
          <w:szCs w:val="22"/>
        </w:rPr>
        <w:t>De conformidad con el artículo 9 apartado C, base I, inciso a) de la Constitución Local,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5B55AB53" w14:textId="77777777" w:rsidR="000F6049" w:rsidRPr="00E96A57" w:rsidRDefault="000F6049" w:rsidP="000F6049">
      <w:pPr>
        <w:rPr>
          <w:rFonts w:ascii="Arial" w:hAnsi="Arial" w:cs="Arial"/>
          <w:sz w:val="22"/>
          <w:szCs w:val="22"/>
        </w:rPr>
      </w:pPr>
      <w:r w:rsidRPr="00E96A57">
        <w:rPr>
          <w:rFonts w:ascii="Arial" w:hAnsi="Arial" w:cs="Arial"/>
          <w:sz w:val="22"/>
          <w:szCs w:val="22"/>
        </w:rPr>
        <w:t>Además, es responsable de la organización de las elecciones estatales, distritales y municipales, así como la relativa a las personas titulares de las magistraturas del Tribunal de Disciplina Judicial y del Tribunal Superior de Justicia, y Juezas y Jueces del Poder Judicial del Estado de Tabasco.</w:t>
      </w:r>
    </w:p>
    <w:p w14:paraId="009A6314" w14:textId="77777777" w:rsidR="000F6049" w:rsidRPr="00E96A57" w:rsidRDefault="000F6049" w:rsidP="000F6049">
      <w:pPr>
        <w:rPr>
          <w:rFonts w:ascii="Arial" w:hAnsi="Arial" w:cs="Arial"/>
          <w:sz w:val="22"/>
          <w:szCs w:val="22"/>
        </w:rPr>
      </w:pPr>
      <w:r w:rsidRPr="00E96A57">
        <w:rPr>
          <w:rFonts w:ascii="Arial" w:hAnsi="Arial" w:cs="Arial"/>
          <w:sz w:val="22"/>
          <w:szCs w:val="22"/>
        </w:rPr>
        <w:t>Las finalidades del Instituto, de conformidad con el artículo 101 de la Ley Electoral son: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los integrantes de los poderes Legislativo, Ejecutivo, Judicial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w:t>
      </w:r>
    </w:p>
    <w:p w14:paraId="3DD7942A" w14:textId="77777777" w:rsidR="000F6049" w:rsidRPr="00E96A57" w:rsidRDefault="000F6049" w:rsidP="000F6049">
      <w:pPr>
        <w:pStyle w:val="Ttulo2"/>
        <w:rPr>
          <w:rFonts w:ascii="Arial" w:hAnsi="Arial" w:cs="Arial"/>
          <w:color w:val="auto"/>
          <w:sz w:val="22"/>
          <w:szCs w:val="22"/>
        </w:rPr>
      </w:pPr>
      <w:r w:rsidRPr="00E96A57">
        <w:rPr>
          <w:rFonts w:ascii="Arial" w:hAnsi="Arial" w:cs="Arial"/>
          <w:color w:val="auto"/>
          <w:sz w:val="22"/>
          <w:szCs w:val="22"/>
        </w:rPr>
        <w:t>Integración del órgano superior de dirección</w:t>
      </w:r>
    </w:p>
    <w:p w14:paraId="125BD4F2" w14:textId="77777777" w:rsidR="000F6049" w:rsidRPr="00E96A57" w:rsidRDefault="000F6049" w:rsidP="000F6049">
      <w:pPr>
        <w:rPr>
          <w:rFonts w:ascii="Arial" w:hAnsi="Arial" w:cs="Arial"/>
          <w:sz w:val="22"/>
          <w:szCs w:val="22"/>
        </w:rPr>
      </w:pPr>
      <w:r w:rsidRPr="00E96A57">
        <w:rPr>
          <w:rFonts w:ascii="Arial" w:hAnsi="Arial" w:cs="Arial"/>
          <w:sz w:val="22"/>
          <w:szCs w:val="22"/>
        </w:rPr>
        <w:t>En términos del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w:t>
      </w:r>
    </w:p>
    <w:p w14:paraId="68050401" w14:textId="77777777" w:rsidR="000F6049" w:rsidRPr="00E96A57" w:rsidRDefault="000F6049" w:rsidP="000F6049">
      <w:pPr>
        <w:rPr>
          <w:rFonts w:ascii="Arial" w:hAnsi="Arial" w:cs="Arial"/>
          <w:sz w:val="22"/>
          <w:szCs w:val="22"/>
        </w:rPr>
      </w:pPr>
      <w:r w:rsidRPr="00E96A57">
        <w:rPr>
          <w:rFonts w:ascii="Arial" w:hAnsi="Arial" w:cs="Arial"/>
          <w:sz w:val="22"/>
          <w:szCs w:val="22"/>
        </w:rPr>
        <w:lastRenderedPageBreak/>
        <w:t>Dicho órgano electoral, de conformidad con los artículos 99 de la Ley General y 107 numeral 1 de la Ley Electoral,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23778E21" w14:textId="77777777" w:rsidR="000F6049" w:rsidRPr="00E96A57" w:rsidRDefault="000F6049" w:rsidP="000F6049">
      <w:pPr>
        <w:rPr>
          <w:rFonts w:ascii="Arial" w:hAnsi="Arial" w:cs="Arial"/>
          <w:sz w:val="22"/>
          <w:szCs w:val="22"/>
        </w:rPr>
      </w:pPr>
      <w:r w:rsidRPr="00E96A57">
        <w:rPr>
          <w:rFonts w:ascii="Arial" w:hAnsi="Arial" w:cs="Arial"/>
          <w:sz w:val="22"/>
          <w:szCs w:val="22"/>
        </w:rPr>
        <w:t>No obstante, de acuerdo con el artículo segundo transitorio del decreto 080 de reforma publicado el 16 de diciembre de 2024 en el Periódico Oficial del Estado de Tabasco, se estableció que las y los representantes de los partidos políticos ante el Consejo Estatal no podrán participar en las acciones, actividades y sesiones relacionadas con el Proceso Electoral Extraordinario.</w:t>
      </w:r>
    </w:p>
    <w:p w14:paraId="3C9453D1" w14:textId="77777777" w:rsidR="000F6049" w:rsidRPr="00E96A57" w:rsidRDefault="000F6049" w:rsidP="000F6049">
      <w:pPr>
        <w:pStyle w:val="Ttulo2"/>
        <w:rPr>
          <w:rFonts w:ascii="Arial" w:hAnsi="Arial" w:cs="Arial"/>
          <w:color w:val="auto"/>
          <w:sz w:val="22"/>
          <w:szCs w:val="22"/>
        </w:rPr>
      </w:pPr>
      <w:r w:rsidRPr="00E96A57">
        <w:rPr>
          <w:rFonts w:ascii="Arial" w:hAnsi="Arial" w:cs="Arial"/>
          <w:color w:val="auto"/>
          <w:sz w:val="22"/>
          <w:szCs w:val="22"/>
        </w:rPr>
        <w:t>Órganos centrales del Instituto</w:t>
      </w:r>
    </w:p>
    <w:p w14:paraId="21604BE0" w14:textId="77777777" w:rsidR="000F6049" w:rsidRPr="00E96A57" w:rsidRDefault="000F6049" w:rsidP="000F6049">
      <w:pPr>
        <w:rPr>
          <w:rFonts w:ascii="Arial" w:hAnsi="Arial" w:cs="Arial"/>
          <w:sz w:val="22"/>
          <w:szCs w:val="22"/>
        </w:rPr>
      </w:pPr>
      <w:r w:rsidRPr="00E96A57">
        <w:rPr>
          <w:rFonts w:ascii="Arial" w:hAnsi="Arial" w:cs="Arial"/>
          <w:sz w:val="22"/>
          <w:szCs w:val="22"/>
        </w:rPr>
        <w:t>De acuerdo con el artículo 105 numeral 1 de la Ley Electoral los órganos centrales del Instituto son los siguientes:</w:t>
      </w:r>
    </w:p>
    <w:p w14:paraId="064B86C7" w14:textId="77777777" w:rsidR="000F6049" w:rsidRPr="00E96A57" w:rsidRDefault="000F6049" w:rsidP="000F6049">
      <w:pPr>
        <w:pStyle w:val="Prrafodelista"/>
        <w:numPr>
          <w:ilvl w:val="0"/>
          <w:numId w:val="1"/>
        </w:numPr>
        <w:rPr>
          <w:rFonts w:ascii="Arial" w:hAnsi="Arial" w:cs="Arial"/>
          <w:sz w:val="22"/>
          <w:szCs w:val="22"/>
        </w:rPr>
      </w:pPr>
      <w:r w:rsidRPr="00E96A57">
        <w:rPr>
          <w:rFonts w:ascii="Arial" w:hAnsi="Arial" w:cs="Arial"/>
          <w:sz w:val="22"/>
          <w:szCs w:val="22"/>
        </w:rPr>
        <w:t>Consejo Estatal;</w:t>
      </w:r>
    </w:p>
    <w:p w14:paraId="1A7E2ED3" w14:textId="77777777" w:rsidR="000F6049" w:rsidRPr="00E96A57" w:rsidRDefault="000F6049" w:rsidP="000F6049">
      <w:pPr>
        <w:pStyle w:val="Prrafodelista"/>
        <w:numPr>
          <w:ilvl w:val="0"/>
          <w:numId w:val="1"/>
        </w:numPr>
        <w:rPr>
          <w:rFonts w:ascii="Arial" w:hAnsi="Arial" w:cs="Arial"/>
          <w:sz w:val="22"/>
          <w:szCs w:val="22"/>
        </w:rPr>
      </w:pPr>
      <w:r w:rsidRPr="00E96A57">
        <w:rPr>
          <w:rFonts w:ascii="Arial" w:hAnsi="Arial" w:cs="Arial"/>
          <w:sz w:val="22"/>
          <w:szCs w:val="22"/>
        </w:rPr>
        <w:t>Presidencia del Consejo Estatal;</w:t>
      </w:r>
    </w:p>
    <w:p w14:paraId="75D726C5" w14:textId="77777777" w:rsidR="000F6049" w:rsidRPr="00E96A57" w:rsidRDefault="000F6049" w:rsidP="000F6049">
      <w:pPr>
        <w:pStyle w:val="Prrafodelista"/>
        <w:numPr>
          <w:ilvl w:val="0"/>
          <w:numId w:val="1"/>
        </w:numPr>
        <w:rPr>
          <w:rFonts w:ascii="Arial" w:hAnsi="Arial" w:cs="Arial"/>
          <w:sz w:val="22"/>
          <w:szCs w:val="22"/>
        </w:rPr>
      </w:pPr>
      <w:r w:rsidRPr="00E96A57">
        <w:rPr>
          <w:rFonts w:ascii="Arial" w:hAnsi="Arial" w:cs="Arial"/>
          <w:sz w:val="22"/>
          <w:szCs w:val="22"/>
        </w:rPr>
        <w:t>Junta Estatal Ejecutiva;</w:t>
      </w:r>
    </w:p>
    <w:p w14:paraId="59F756C4" w14:textId="77777777" w:rsidR="000F6049" w:rsidRPr="00E96A57" w:rsidRDefault="000F6049" w:rsidP="000F6049">
      <w:pPr>
        <w:pStyle w:val="Prrafodelista"/>
        <w:numPr>
          <w:ilvl w:val="0"/>
          <w:numId w:val="1"/>
        </w:numPr>
        <w:rPr>
          <w:rFonts w:ascii="Arial" w:hAnsi="Arial" w:cs="Arial"/>
          <w:sz w:val="22"/>
          <w:szCs w:val="22"/>
        </w:rPr>
      </w:pPr>
      <w:r w:rsidRPr="00E96A57">
        <w:rPr>
          <w:rFonts w:ascii="Arial" w:hAnsi="Arial" w:cs="Arial"/>
          <w:sz w:val="22"/>
          <w:szCs w:val="22"/>
        </w:rPr>
        <w:t>Secretaría Ejecutiva, y</w:t>
      </w:r>
    </w:p>
    <w:p w14:paraId="00C87925" w14:textId="77777777" w:rsidR="000F6049" w:rsidRPr="00E96A57" w:rsidRDefault="000F6049" w:rsidP="000F6049">
      <w:pPr>
        <w:pStyle w:val="Prrafodelista"/>
        <w:numPr>
          <w:ilvl w:val="0"/>
          <w:numId w:val="1"/>
        </w:numPr>
        <w:rPr>
          <w:rFonts w:ascii="Arial" w:hAnsi="Arial" w:cs="Arial"/>
          <w:sz w:val="22"/>
          <w:szCs w:val="22"/>
        </w:rPr>
      </w:pPr>
      <w:r w:rsidRPr="00E96A57">
        <w:rPr>
          <w:rFonts w:ascii="Arial" w:hAnsi="Arial" w:cs="Arial"/>
          <w:sz w:val="22"/>
          <w:szCs w:val="22"/>
        </w:rPr>
        <w:t>Órgano Técnico de Fiscalización.</w:t>
      </w:r>
    </w:p>
    <w:p w14:paraId="25DC2F0C" w14:textId="77777777" w:rsidR="000F6049" w:rsidRPr="00E96A57" w:rsidRDefault="000F6049" w:rsidP="000F6049">
      <w:pPr>
        <w:pStyle w:val="Ttulo2"/>
        <w:rPr>
          <w:rFonts w:ascii="Arial" w:hAnsi="Arial" w:cs="Arial"/>
          <w:color w:val="auto"/>
          <w:sz w:val="22"/>
          <w:szCs w:val="22"/>
        </w:rPr>
      </w:pPr>
      <w:r w:rsidRPr="00E96A57">
        <w:rPr>
          <w:rFonts w:ascii="Arial" w:hAnsi="Arial" w:cs="Arial"/>
          <w:color w:val="auto"/>
          <w:sz w:val="22"/>
          <w:szCs w:val="22"/>
        </w:rPr>
        <w:t>Integración de la Junta Ejecutiva</w:t>
      </w:r>
    </w:p>
    <w:p w14:paraId="0B05B874" w14:textId="77777777" w:rsidR="000F6049" w:rsidRPr="00E96A57" w:rsidRDefault="000F6049" w:rsidP="000F6049">
      <w:pPr>
        <w:rPr>
          <w:rFonts w:ascii="Arial" w:hAnsi="Arial" w:cs="Arial"/>
          <w:sz w:val="22"/>
          <w:szCs w:val="22"/>
        </w:rPr>
      </w:pPr>
      <w:r w:rsidRPr="00E96A57">
        <w:rPr>
          <w:rFonts w:ascii="Arial" w:hAnsi="Arial" w:cs="Arial"/>
          <w:sz w:val="22"/>
          <w:szCs w:val="22"/>
        </w:rPr>
        <w:t>Que, el artículo 118, numeral 1, de la Ley Electoral, establece que la Junta Ejecutiva será presidida por la Presidencia del Consejo y se integrará con las personas titulares de la Secretaría Ejecutiva, las Direcciones de Organización Electoral y Educación Cívica, y, de Administración.</w:t>
      </w:r>
    </w:p>
    <w:p w14:paraId="7581F7FE" w14:textId="77777777" w:rsidR="000F6049" w:rsidRPr="00E96A57" w:rsidRDefault="000F6049" w:rsidP="000F6049">
      <w:pPr>
        <w:rPr>
          <w:rFonts w:ascii="Arial" w:hAnsi="Arial" w:cs="Arial"/>
          <w:sz w:val="22"/>
          <w:szCs w:val="22"/>
        </w:rPr>
      </w:pPr>
      <w:r w:rsidRPr="00E96A57">
        <w:rPr>
          <w:rFonts w:ascii="Arial" w:hAnsi="Arial" w:cs="Arial"/>
          <w:sz w:val="22"/>
          <w:szCs w:val="22"/>
        </w:rPr>
        <w:t>Asimismo, el numeral 2, del artículo mencionado establece que, las o los titulares del Órgano Técnico de Fiscalización y de la Contraloría General podrán participar en las sesiones de la Junta Ejecutiva, a convocatoria de la Presidencia del Consejo.</w:t>
      </w:r>
    </w:p>
    <w:p w14:paraId="1613B629" w14:textId="77777777" w:rsidR="000F6049" w:rsidRPr="00E96A57" w:rsidRDefault="000F6049" w:rsidP="000F6049">
      <w:pPr>
        <w:pStyle w:val="Ttulo2"/>
        <w:rPr>
          <w:rFonts w:ascii="Arial" w:hAnsi="Arial" w:cs="Arial"/>
          <w:color w:val="auto"/>
          <w:sz w:val="22"/>
          <w:szCs w:val="22"/>
        </w:rPr>
      </w:pPr>
      <w:r w:rsidRPr="00E96A57">
        <w:rPr>
          <w:rFonts w:ascii="Arial" w:hAnsi="Arial" w:cs="Arial"/>
          <w:color w:val="auto"/>
          <w:sz w:val="22"/>
          <w:szCs w:val="22"/>
        </w:rPr>
        <w:lastRenderedPageBreak/>
        <w:t xml:space="preserve">Reforma Constitucional </w:t>
      </w:r>
    </w:p>
    <w:p w14:paraId="0D400DE7" w14:textId="77777777" w:rsidR="000F6049" w:rsidRPr="00E96A57" w:rsidRDefault="000F6049" w:rsidP="000F6049">
      <w:pPr>
        <w:rPr>
          <w:rFonts w:ascii="Arial" w:hAnsi="Arial" w:cs="Arial"/>
          <w:sz w:val="22"/>
          <w:szCs w:val="22"/>
        </w:rPr>
      </w:pPr>
      <w:r w:rsidRPr="00E96A57">
        <w:rPr>
          <w:rFonts w:ascii="Arial" w:hAnsi="Arial" w:cs="Arial"/>
          <w:sz w:val="22"/>
          <w:szCs w:val="22"/>
        </w:rPr>
        <w:t>El 16 de diciembre de 2024 se publicó en el Periódico Oficial del Estado de Tabasco, el decreto 080 mediante el cual, el Congreso Local reformó los artículos 9, párrafo tercero, la fracción I de su Apartado C, y las fracciones VI y VII del Apartado D; 36, fracciones XIV, XIX y XXI; 55, párrafos primero y segundo; 55 Bis; 55 Ter; 56; 57; 59, párrafo primero; 62; 63; 68, párrafo primero; 73 Ter, párrafo segundo, fracción VII; 75, párrafo primero y 79; asimismo, adicionó la fracción VIII del Apartado D del artículo 9 y derogó el párrafo segundo de la fracción XXI del artículo 36, la fracción IV del artículo 39; el inciso b) de la fracción I del artículo 55; y el artículo 61; todos de la Constitución Local.  Dicha reforma entró en vigor el 17 de diciembre de 2024.</w:t>
      </w:r>
    </w:p>
    <w:p w14:paraId="6D620393" w14:textId="77777777" w:rsidR="000F6049" w:rsidRPr="00E96A57" w:rsidRDefault="000F6049" w:rsidP="000F6049">
      <w:pPr>
        <w:rPr>
          <w:rFonts w:ascii="Arial" w:hAnsi="Arial" w:cs="Arial"/>
          <w:sz w:val="22"/>
          <w:szCs w:val="22"/>
        </w:rPr>
      </w:pPr>
      <w:r w:rsidRPr="00E96A57">
        <w:rPr>
          <w:rFonts w:ascii="Arial" w:hAnsi="Arial" w:cs="Arial"/>
          <w:sz w:val="22"/>
          <w:szCs w:val="22"/>
        </w:rPr>
        <w:t>Con la reforma mencionada se determinó que la renovación de los Poderes Legislativo, Ejecutivo, Judicial y de los gobiernos municipales, se realizará mediante elecciones libres, auténticas y periódicas, a través del sufragio universal, libre, secreto, directo, personal e intransferible, cuyo ejercicio está garantizado por la propia Constitución Local.</w:t>
      </w:r>
    </w:p>
    <w:p w14:paraId="64300221" w14:textId="77777777" w:rsidR="000F6049" w:rsidRPr="00E96A57" w:rsidRDefault="000F6049" w:rsidP="000F6049">
      <w:pPr>
        <w:pStyle w:val="Ttulo2"/>
        <w:rPr>
          <w:rFonts w:ascii="Arial" w:hAnsi="Arial" w:cs="Arial"/>
          <w:color w:val="auto"/>
          <w:sz w:val="22"/>
          <w:szCs w:val="22"/>
        </w:rPr>
      </w:pPr>
      <w:r w:rsidRPr="00E96A57">
        <w:rPr>
          <w:rFonts w:ascii="Arial" w:hAnsi="Arial" w:cs="Arial"/>
          <w:color w:val="auto"/>
          <w:sz w:val="22"/>
          <w:szCs w:val="22"/>
        </w:rPr>
        <w:t>Monto de financiamiento público para partidos políticos</w:t>
      </w:r>
    </w:p>
    <w:p w14:paraId="20CEA334" w14:textId="77777777" w:rsidR="000F6049" w:rsidRPr="00E96A57" w:rsidRDefault="000F6049" w:rsidP="000F6049">
      <w:pPr>
        <w:rPr>
          <w:rFonts w:ascii="Arial" w:hAnsi="Arial" w:cs="Arial"/>
          <w:sz w:val="22"/>
          <w:szCs w:val="22"/>
        </w:rPr>
      </w:pPr>
      <w:r w:rsidRPr="00E96A57">
        <w:rPr>
          <w:rFonts w:ascii="Arial" w:hAnsi="Arial" w:cs="Arial"/>
          <w:sz w:val="22"/>
          <w:szCs w:val="22"/>
        </w:rPr>
        <w:t xml:space="preserve">El 25 de octubre de 2024, mediante acuerdo CE/2024/094, el Consejo Estatal determinó la cantidad de </w:t>
      </w:r>
      <w:r w:rsidRPr="00E96A57">
        <w:rPr>
          <w:rFonts w:ascii="Arial" w:hAnsi="Arial" w:cs="Arial"/>
          <w:b/>
          <w:bCs/>
          <w:sz w:val="22"/>
          <w:szCs w:val="22"/>
        </w:rPr>
        <w:t>$73’637,409.45 (setenta y tres millones seiscientos treinta y siete mil cuatrocientos nueve pesos 45/100 m. n.)</w:t>
      </w:r>
      <w:r w:rsidRPr="00E96A57">
        <w:rPr>
          <w:rFonts w:ascii="Arial" w:hAnsi="Arial" w:cs="Arial"/>
          <w:sz w:val="22"/>
          <w:szCs w:val="22"/>
        </w:rPr>
        <w:t xml:space="preserve"> por financiamiento público correspondiente a los partidos políticos para el sostenimiento de actividades ordinarias permanentes y específicas para el ejercicio 2025.</w:t>
      </w:r>
    </w:p>
    <w:p w14:paraId="3257B4FE" w14:textId="77777777" w:rsidR="000F6049" w:rsidRPr="00E96A57" w:rsidRDefault="000F6049" w:rsidP="000F6049">
      <w:pPr>
        <w:pStyle w:val="Ttulo2"/>
        <w:rPr>
          <w:rFonts w:ascii="Arial" w:hAnsi="Arial" w:cs="Arial"/>
          <w:color w:val="auto"/>
          <w:sz w:val="22"/>
          <w:szCs w:val="22"/>
        </w:rPr>
      </w:pPr>
      <w:r w:rsidRPr="00E96A57">
        <w:rPr>
          <w:rFonts w:ascii="Arial" w:hAnsi="Arial" w:cs="Arial"/>
          <w:color w:val="auto"/>
          <w:sz w:val="22"/>
          <w:szCs w:val="22"/>
        </w:rPr>
        <w:t>Aprobación del Presupuesto Anual correspondiente al ejercicio 2025</w:t>
      </w:r>
    </w:p>
    <w:p w14:paraId="69C74977" w14:textId="77777777" w:rsidR="000F6049" w:rsidRPr="00E96A57" w:rsidRDefault="000F6049" w:rsidP="000F6049">
      <w:pPr>
        <w:rPr>
          <w:rFonts w:ascii="Arial" w:hAnsi="Arial" w:cs="Arial"/>
          <w:sz w:val="22"/>
          <w:szCs w:val="22"/>
        </w:rPr>
      </w:pPr>
      <w:r w:rsidRPr="00E96A57">
        <w:rPr>
          <w:rFonts w:ascii="Arial" w:hAnsi="Arial" w:cs="Arial"/>
          <w:sz w:val="22"/>
          <w:szCs w:val="22"/>
        </w:rPr>
        <w:t xml:space="preserve">El 18 de diciembre de 2024, se publicó en la Edición 8586 del Periódico Oficial del Estado el decreto 034 relativo al Presupuesto Anual de Egresos aprobado por el H. Congreso del Estado de Tabasco, correspondiente al ejercicio 2025, el cual contiene entre otros aspectos, la política de gasto de los órganos autónomos. </w:t>
      </w:r>
    </w:p>
    <w:p w14:paraId="1D5A483A" w14:textId="77777777" w:rsidR="000F6049" w:rsidRPr="00E96A57" w:rsidRDefault="000F6049" w:rsidP="000F6049">
      <w:pPr>
        <w:pStyle w:val="Ttulo2"/>
        <w:rPr>
          <w:rFonts w:ascii="Arial" w:hAnsi="Arial" w:cs="Arial"/>
          <w:color w:val="auto"/>
          <w:sz w:val="22"/>
          <w:szCs w:val="22"/>
        </w:rPr>
      </w:pPr>
      <w:r w:rsidRPr="00E96A57">
        <w:rPr>
          <w:rFonts w:ascii="Arial" w:hAnsi="Arial" w:cs="Arial"/>
          <w:color w:val="auto"/>
          <w:sz w:val="22"/>
          <w:szCs w:val="22"/>
        </w:rPr>
        <w:t>Presupuesto del Instituto correspondiente al ejercicio 2025</w:t>
      </w:r>
    </w:p>
    <w:p w14:paraId="2B91A56C" w14:textId="77777777" w:rsidR="000F6049" w:rsidRPr="00E96A57" w:rsidRDefault="000F6049" w:rsidP="000F6049">
      <w:pPr>
        <w:rPr>
          <w:rFonts w:ascii="Arial" w:hAnsi="Arial" w:cs="Arial"/>
          <w:sz w:val="22"/>
          <w:szCs w:val="22"/>
        </w:rPr>
      </w:pPr>
      <w:r w:rsidRPr="00E96A57">
        <w:rPr>
          <w:rFonts w:ascii="Arial" w:hAnsi="Arial" w:cs="Arial"/>
          <w:sz w:val="22"/>
          <w:szCs w:val="22"/>
        </w:rPr>
        <w:t xml:space="preserve">De conformidad con el Presupuesto antes mencionado, el H. Congreso del Estado, para el ejercicio 2025 asignó al Instituto recursos por la cantidad de $194’440,981.00 (ciento noventa y cuatro millones novecientos ochenta y un mil pesos 00/100), cantidad que incluye el gasto previsto para el financiamiento público de los partidos políticos con derecho a éste. </w:t>
      </w:r>
    </w:p>
    <w:p w14:paraId="0D83FD99" w14:textId="77777777" w:rsidR="000F6049" w:rsidRPr="00E96A57" w:rsidRDefault="000F6049" w:rsidP="000F6049">
      <w:pPr>
        <w:rPr>
          <w:rFonts w:ascii="Arial" w:hAnsi="Arial" w:cs="Arial"/>
          <w:sz w:val="22"/>
          <w:szCs w:val="22"/>
        </w:rPr>
      </w:pPr>
      <w:r w:rsidRPr="00E96A57">
        <w:rPr>
          <w:rFonts w:ascii="Arial" w:hAnsi="Arial" w:cs="Arial"/>
          <w:sz w:val="22"/>
          <w:szCs w:val="22"/>
        </w:rPr>
        <w:lastRenderedPageBreak/>
        <w:t xml:space="preserve">No obstante, considerando que dicho presupuesto está destinado a las actividades ordinarias del Instituto, se solicitó una ampliación de recursos para el desarrollo del Proceso Electoral Extraordinario, los cuales fueron autorizados por la Secretaría de Finanzas, mediante oficios </w:t>
      </w:r>
      <w:proofErr w:type="spellStart"/>
      <w:r w:rsidRPr="00E96A57">
        <w:rPr>
          <w:rFonts w:ascii="Arial" w:hAnsi="Arial" w:cs="Arial"/>
          <w:sz w:val="22"/>
          <w:szCs w:val="22"/>
        </w:rPr>
        <w:t>SF</w:t>
      </w:r>
      <w:proofErr w:type="spellEnd"/>
      <w:r w:rsidRPr="00E96A57">
        <w:rPr>
          <w:rFonts w:ascii="Arial" w:hAnsi="Arial" w:cs="Arial"/>
          <w:sz w:val="22"/>
          <w:szCs w:val="22"/>
        </w:rPr>
        <w:t>/</w:t>
      </w:r>
      <w:proofErr w:type="spellStart"/>
      <w:r w:rsidRPr="00E96A57">
        <w:rPr>
          <w:rFonts w:ascii="Arial" w:hAnsi="Arial" w:cs="Arial"/>
          <w:sz w:val="22"/>
          <w:szCs w:val="22"/>
        </w:rPr>
        <w:t>AL0165</w:t>
      </w:r>
      <w:proofErr w:type="spellEnd"/>
      <w:r w:rsidRPr="00E96A57">
        <w:rPr>
          <w:rFonts w:ascii="Arial" w:hAnsi="Arial" w:cs="Arial"/>
          <w:sz w:val="22"/>
          <w:szCs w:val="22"/>
        </w:rPr>
        <w:t xml:space="preserve">/2025, </w:t>
      </w:r>
      <w:proofErr w:type="spellStart"/>
      <w:r w:rsidRPr="00E96A57">
        <w:rPr>
          <w:rFonts w:ascii="Arial" w:hAnsi="Arial" w:cs="Arial"/>
          <w:sz w:val="22"/>
          <w:szCs w:val="22"/>
        </w:rPr>
        <w:t>SF</w:t>
      </w:r>
      <w:proofErr w:type="spellEnd"/>
      <w:r w:rsidRPr="00E96A57">
        <w:rPr>
          <w:rFonts w:ascii="Arial" w:hAnsi="Arial" w:cs="Arial"/>
          <w:sz w:val="22"/>
          <w:szCs w:val="22"/>
        </w:rPr>
        <w:t>/</w:t>
      </w:r>
      <w:proofErr w:type="spellStart"/>
      <w:r w:rsidRPr="00E96A57">
        <w:rPr>
          <w:rFonts w:ascii="Arial" w:hAnsi="Arial" w:cs="Arial"/>
          <w:sz w:val="22"/>
          <w:szCs w:val="22"/>
        </w:rPr>
        <w:t>AL0299</w:t>
      </w:r>
      <w:proofErr w:type="spellEnd"/>
      <w:r w:rsidRPr="00E96A57">
        <w:rPr>
          <w:rFonts w:ascii="Arial" w:hAnsi="Arial" w:cs="Arial"/>
          <w:sz w:val="22"/>
          <w:szCs w:val="22"/>
        </w:rPr>
        <w:t xml:space="preserve">/2025 y </w:t>
      </w:r>
      <w:proofErr w:type="spellStart"/>
      <w:r w:rsidRPr="00E96A57">
        <w:rPr>
          <w:rFonts w:ascii="Arial" w:hAnsi="Arial" w:cs="Arial"/>
          <w:sz w:val="22"/>
          <w:szCs w:val="22"/>
        </w:rPr>
        <w:t>SAF</w:t>
      </w:r>
      <w:proofErr w:type="spellEnd"/>
      <w:r w:rsidRPr="00E96A57">
        <w:rPr>
          <w:rFonts w:ascii="Arial" w:hAnsi="Arial" w:cs="Arial"/>
          <w:sz w:val="22"/>
          <w:szCs w:val="22"/>
        </w:rPr>
        <w:t>/</w:t>
      </w:r>
      <w:proofErr w:type="spellStart"/>
      <w:r w:rsidRPr="00E96A57">
        <w:rPr>
          <w:rFonts w:ascii="Arial" w:hAnsi="Arial" w:cs="Arial"/>
          <w:sz w:val="22"/>
          <w:szCs w:val="22"/>
        </w:rPr>
        <w:t>AL0563</w:t>
      </w:r>
      <w:proofErr w:type="spellEnd"/>
      <w:r w:rsidRPr="00E96A57">
        <w:rPr>
          <w:rFonts w:ascii="Arial" w:hAnsi="Arial" w:cs="Arial"/>
          <w:sz w:val="22"/>
          <w:szCs w:val="22"/>
        </w:rPr>
        <w:t>/2025, por un monto total de $ 144’200,492.00 (ciento cuarenta y cuatro millones doscientos mil cuatrocientos noventa y dos 00/100 m. n.)</w:t>
      </w:r>
    </w:p>
    <w:p w14:paraId="1BA49680" w14:textId="77777777" w:rsidR="000F6049" w:rsidRPr="00E96A57" w:rsidRDefault="000F6049" w:rsidP="000F6049">
      <w:pPr>
        <w:pStyle w:val="Ttulo2"/>
        <w:rPr>
          <w:rFonts w:ascii="Arial" w:hAnsi="Arial" w:cs="Arial"/>
          <w:color w:val="auto"/>
          <w:sz w:val="22"/>
          <w:szCs w:val="22"/>
        </w:rPr>
      </w:pPr>
      <w:r w:rsidRPr="00E96A57">
        <w:rPr>
          <w:rFonts w:ascii="Arial" w:hAnsi="Arial" w:cs="Arial"/>
          <w:color w:val="auto"/>
          <w:sz w:val="22"/>
          <w:szCs w:val="22"/>
        </w:rPr>
        <w:t>Inicio del Proceso Electoral Extraordinario</w:t>
      </w:r>
    </w:p>
    <w:p w14:paraId="142E5DA8" w14:textId="77777777" w:rsidR="000F6049" w:rsidRPr="00E96A57" w:rsidRDefault="000F6049" w:rsidP="000F6049">
      <w:pPr>
        <w:rPr>
          <w:rFonts w:ascii="Arial" w:hAnsi="Arial" w:cs="Arial"/>
          <w:sz w:val="22"/>
          <w:szCs w:val="22"/>
        </w:rPr>
      </w:pPr>
      <w:r w:rsidRPr="00E96A57">
        <w:rPr>
          <w:rFonts w:ascii="Arial" w:hAnsi="Arial" w:cs="Arial"/>
          <w:sz w:val="22"/>
          <w:szCs w:val="22"/>
        </w:rPr>
        <w:t>El 20 de diciembre de 2024, en cumplimiento al artículo segundo transitorio del decreto 080, el Consejo Estatal declaró el inicio del Proceso Electoral Extraordinario en el que se elegirán a las Magistradas y Magistrados que integran el Tribunal de Disciplina Judicial, el cincuenta por ciento de las Magistradas y Magistrados que integran el Pleno del Tribunal Superior de Justicia, así como el cincuenta por ciento de las Juezas y Jueces del Poder Judicial del Estado.</w:t>
      </w:r>
    </w:p>
    <w:p w14:paraId="51CBAF80" w14:textId="77777777" w:rsidR="000F6049" w:rsidRPr="00E96A57" w:rsidRDefault="000F6049" w:rsidP="000F6049">
      <w:pPr>
        <w:pStyle w:val="Ttulo2"/>
        <w:rPr>
          <w:rFonts w:ascii="Arial" w:hAnsi="Arial" w:cs="Arial"/>
          <w:color w:val="auto"/>
          <w:sz w:val="22"/>
          <w:szCs w:val="22"/>
        </w:rPr>
      </w:pPr>
      <w:r w:rsidRPr="00E96A57">
        <w:rPr>
          <w:rFonts w:ascii="Arial" w:hAnsi="Arial" w:cs="Arial"/>
          <w:color w:val="auto"/>
          <w:sz w:val="22"/>
          <w:szCs w:val="22"/>
        </w:rPr>
        <w:t>Reforma a la Ley Electoral</w:t>
      </w:r>
    </w:p>
    <w:p w14:paraId="0E18A78E" w14:textId="77777777" w:rsidR="000F6049" w:rsidRPr="00E96A57" w:rsidRDefault="000F6049" w:rsidP="000F6049">
      <w:pPr>
        <w:rPr>
          <w:rFonts w:ascii="Arial" w:hAnsi="Arial" w:cs="Arial"/>
          <w:sz w:val="22"/>
          <w:szCs w:val="22"/>
        </w:rPr>
      </w:pPr>
      <w:r w:rsidRPr="00E96A57">
        <w:rPr>
          <w:rFonts w:ascii="Arial" w:hAnsi="Arial" w:cs="Arial"/>
          <w:sz w:val="22"/>
          <w:szCs w:val="22"/>
        </w:rPr>
        <w:t>El 18 de enero de 2025, se publicó en el Periódico Oficial del Estado de Tabasco, el decreto 083, mediante el cual, el H. Congreso del Estado reformó los artículos 1 fracción IV, 101 fracción IV, 115 numeral 1 fracciones XXXVIII y XXXIX, 116 fracción III, 127 numeral 4, 128, 335 numeral 1 fracción III y adicionó las fracciones II bis y II ter del numeral 1 del artículo 2, la fracción XL al numeral 1 del artículo 115, el numeral 5 del artículo 115, segundo párrafo al numeral 1 del artículo 127, el libro noveno que comprenden los artículos 384 al 419, todos de la Ley Electoral.</w:t>
      </w:r>
    </w:p>
    <w:p w14:paraId="679C0EFD" w14:textId="77777777" w:rsidR="000F6049" w:rsidRPr="00E96A57" w:rsidRDefault="000F6049" w:rsidP="000F6049">
      <w:pPr>
        <w:pStyle w:val="Ttulo2"/>
        <w:rPr>
          <w:rFonts w:ascii="Arial" w:hAnsi="Arial" w:cs="Arial"/>
          <w:color w:val="auto"/>
          <w:sz w:val="22"/>
          <w:szCs w:val="22"/>
        </w:rPr>
      </w:pPr>
      <w:r w:rsidRPr="00E96A57">
        <w:rPr>
          <w:rFonts w:ascii="Arial" w:hAnsi="Arial" w:cs="Arial"/>
          <w:color w:val="auto"/>
          <w:sz w:val="22"/>
          <w:szCs w:val="22"/>
        </w:rPr>
        <w:t>Jornada electoral</w:t>
      </w:r>
    </w:p>
    <w:p w14:paraId="68F7F253" w14:textId="77777777" w:rsidR="000F6049" w:rsidRPr="00E96A57" w:rsidRDefault="000F6049" w:rsidP="000F6049">
      <w:pPr>
        <w:rPr>
          <w:rFonts w:ascii="Arial" w:hAnsi="Arial" w:cs="Arial"/>
          <w:sz w:val="22"/>
          <w:szCs w:val="22"/>
        </w:rPr>
      </w:pPr>
      <w:r w:rsidRPr="00E96A57">
        <w:rPr>
          <w:rFonts w:ascii="Arial" w:hAnsi="Arial" w:cs="Arial"/>
          <w:sz w:val="22"/>
          <w:szCs w:val="22"/>
        </w:rPr>
        <w:t>En términos del artículo segundo transitorio del decreto 080, la jornada electoral se celebrará el primer domingo de junio del año de la elección; que, en el caso del Proceso Electoral Extraordinario, correspondió al 1 de junio de 2025.</w:t>
      </w:r>
    </w:p>
    <w:p w14:paraId="0B184202" w14:textId="77777777" w:rsidR="000F6049" w:rsidRPr="00E96A57" w:rsidRDefault="000F6049" w:rsidP="000F6049">
      <w:pPr>
        <w:pStyle w:val="Ttulo1"/>
        <w:rPr>
          <w:rFonts w:ascii="Arial" w:hAnsi="Arial" w:cs="Arial"/>
          <w:color w:val="auto"/>
          <w:sz w:val="24"/>
          <w:szCs w:val="24"/>
        </w:rPr>
      </w:pPr>
      <w:r w:rsidRPr="00E96A57">
        <w:rPr>
          <w:rFonts w:ascii="Arial" w:hAnsi="Arial" w:cs="Arial"/>
          <w:color w:val="auto"/>
          <w:sz w:val="24"/>
          <w:szCs w:val="24"/>
        </w:rPr>
        <w:lastRenderedPageBreak/>
        <w:t>Considerando</w:t>
      </w:r>
    </w:p>
    <w:p w14:paraId="3CA8F0C3" w14:textId="77777777" w:rsidR="000F6049" w:rsidRPr="00E96A57" w:rsidRDefault="000F6049" w:rsidP="000F6049">
      <w:pPr>
        <w:pStyle w:val="Ttulo2"/>
        <w:rPr>
          <w:rFonts w:ascii="Arial" w:hAnsi="Arial" w:cs="Arial"/>
          <w:color w:val="auto"/>
          <w:sz w:val="22"/>
          <w:szCs w:val="22"/>
        </w:rPr>
      </w:pPr>
      <w:r w:rsidRPr="00E96A57">
        <w:rPr>
          <w:rFonts w:ascii="Arial" w:hAnsi="Arial" w:cs="Arial"/>
          <w:color w:val="auto"/>
          <w:sz w:val="22"/>
          <w:szCs w:val="22"/>
        </w:rPr>
        <w:t>Competencia de la Junta Ejecutiva</w:t>
      </w:r>
    </w:p>
    <w:p w14:paraId="38293EDC" w14:textId="77777777" w:rsidR="000F6049" w:rsidRPr="00E96A57" w:rsidRDefault="000F6049" w:rsidP="000F6049">
      <w:pPr>
        <w:rPr>
          <w:rFonts w:ascii="Arial" w:hAnsi="Arial" w:cs="Arial"/>
          <w:sz w:val="22"/>
          <w:szCs w:val="22"/>
        </w:rPr>
      </w:pPr>
      <w:r w:rsidRPr="00E96A57">
        <w:rPr>
          <w:rFonts w:ascii="Arial" w:hAnsi="Arial" w:cs="Arial"/>
          <w:sz w:val="22"/>
          <w:szCs w:val="22"/>
        </w:rPr>
        <w:t>Que, el artículo 119 numeral 1, fracción II de la Ley Electoral establece que, corresponde a la Junta Ejecutiva, fijar los procedimientos administrativos, conforme a las políticas y programas generales del Instituto.</w:t>
      </w:r>
    </w:p>
    <w:p w14:paraId="215D457B" w14:textId="77777777" w:rsidR="000F6049" w:rsidRPr="00E96A57" w:rsidRDefault="000F6049" w:rsidP="000F6049">
      <w:pPr>
        <w:rPr>
          <w:rFonts w:ascii="Arial" w:hAnsi="Arial" w:cs="Arial"/>
          <w:sz w:val="22"/>
          <w:szCs w:val="22"/>
        </w:rPr>
      </w:pPr>
      <w:r w:rsidRPr="00E96A57">
        <w:rPr>
          <w:rFonts w:ascii="Arial" w:hAnsi="Arial" w:cs="Arial"/>
          <w:sz w:val="22"/>
          <w:szCs w:val="22"/>
        </w:rPr>
        <w:t>Acorde a lo anterior, el artículo 115 numeral 2 de la Ley Electoral establece que, para el debido ejercicio de las facultades y atribuciones del Instituto, derivados de caso fortuito o causa de fuerza mayor; o en situaciones de falta o insuficiencia de previsión normativa o reglamentaria, el Consejo Estatal podrá dictar los acuerdos necesarios, o celebrar los convenios que resulten pertinentes para garantizar el oportuno y adecuado cumplimiento de las funciones que corresponda; siempre en apego a sus facultades y a los principios rectores de la función electoral.</w:t>
      </w:r>
    </w:p>
    <w:p w14:paraId="123F4512" w14:textId="77777777" w:rsidR="000F6049" w:rsidRPr="00E96A57" w:rsidRDefault="000F6049" w:rsidP="000F6049">
      <w:pPr>
        <w:pStyle w:val="Ttulo2"/>
        <w:rPr>
          <w:rFonts w:ascii="Arial" w:hAnsi="Arial" w:cs="Arial"/>
          <w:color w:val="auto"/>
          <w:sz w:val="22"/>
          <w:szCs w:val="22"/>
        </w:rPr>
      </w:pPr>
      <w:r w:rsidRPr="00E96A57">
        <w:rPr>
          <w:rFonts w:ascii="Arial" w:hAnsi="Arial" w:cs="Arial"/>
          <w:color w:val="auto"/>
          <w:sz w:val="22"/>
          <w:szCs w:val="22"/>
        </w:rPr>
        <w:t xml:space="preserve">Administración del Instituto </w:t>
      </w:r>
    </w:p>
    <w:p w14:paraId="20497EA9" w14:textId="77777777" w:rsidR="000F6049" w:rsidRPr="00E96A57" w:rsidRDefault="000F6049" w:rsidP="000F6049">
      <w:pPr>
        <w:rPr>
          <w:rFonts w:ascii="Arial" w:hAnsi="Arial" w:cs="Arial"/>
          <w:sz w:val="22"/>
          <w:szCs w:val="22"/>
        </w:rPr>
      </w:pPr>
      <w:r w:rsidRPr="00E96A57">
        <w:rPr>
          <w:rFonts w:ascii="Arial" w:hAnsi="Arial" w:cs="Arial"/>
          <w:sz w:val="22"/>
          <w:szCs w:val="22"/>
        </w:rPr>
        <w:t>Que, el artículo 117 numeral 1 de la Ley Electoral establece que, entre otras, la Secretaría Ejecutiva, tiene la atribución de coordinar la Junta Ejecutiva, conducir la administración y supervisar el desarrollo adecuado de las actividades de los órganos ejecutivos y técnicos del Instituto.</w:t>
      </w:r>
    </w:p>
    <w:p w14:paraId="3E8CD8EF" w14:textId="77777777" w:rsidR="000F6049" w:rsidRPr="00E96A57" w:rsidRDefault="000F6049" w:rsidP="000F6049">
      <w:pPr>
        <w:rPr>
          <w:rFonts w:ascii="Arial" w:hAnsi="Arial" w:cs="Arial"/>
          <w:sz w:val="22"/>
          <w:szCs w:val="22"/>
        </w:rPr>
      </w:pPr>
      <w:r w:rsidRPr="00E96A57">
        <w:rPr>
          <w:rFonts w:ascii="Arial" w:hAnsi="Arial" w:cs="Arial"/>
          <w:sz w:val="22"/>
          <w:szCs w:val="22"/>
        </w:rPr>
        <w:t>Conforme a lo anterior, corresponde a la Secretaría Ejecutiva proveer a los órganos del Instituto de los elementos primordiales para el cumplimiento de sus funciones, en términos de lo que refiere el artículo 117, numeral 2, fracción XVIII de la Ley Electoral.</w:t>
      </w:r>
    </w:p>
    <w:p w14:paraId="3C6B23DD" w14:textId="77777777" w:rsidR="000F6049" w:rsidRPr="00E96A57" w:rsidRDefault="000F6049" w:rsidP="000F6049">
      <w:pPr>
        <w:pStyle w:val="Ttulo2"/>
        <w:rPr>
          <w:rFonts w:ascii="Arial" w:hAnsi="Arial" w:cs="Arial"/>
          <w:color w:val="auto"/>
          <w:sz w:val="22"/>
          <w:szCs w:val="22"/>
        </w:rPr>
      </w:pPr>
      <w:r w:rsidRPr="00E96A57">
        <w:rPr>
          <w:rFonts w:ascii="Arial" w:hAnsi="Arial" w:cs="Arial"/>
          <w:color w:val="auto"/>
          <w:sz w:val="22"/>
          <w:szCs w:val="22"/>
        </w:rPr>
        <w:t>Integración de la Junta Ejecutiva</w:t>
      </w:r>
    </w:p>
    <w:p w14:paraId="754BA35C" w14:textId="77777777" w:rsidR="000F6049" w:rsidRPr="00E96A57" w:rsidRDefault="000F6049" w:rsidP="000F6049">
      <w:pPr>
        <w:rPr>
          <w:rFonts w:ascii="Arial" w:hAnsi="Arial" w:cs="Arial"/>
          <w:sz w:val="22"/>
          <w:szCs w:val="22"/>
        </w:rPr>
      </w:pPr>
      <w:r w:rsidRPr="00E96A57">
        <w:rPr>
          <w:rFonts w:ascii="Arial" w:hAnsi="Arial" w:cs="Arial"/>
          <w:sz w:val="22"/>
          <w:szCs w:val="22"/>
        </w:rPr>
        <w:t>Que, el artículo 118, numeral 1, de la Ley Electoral, establece que la Junta Ejecutiva será presidida por la Presidencia del Consejo y se integrará con las personas titulares de la Secretaría Ejecutiva, las Direcciones de Organización Electoral y Educación Cívica, y, de Administración.</w:t>
      </w:r>
    </w:p>
    <w:p w14:paraId="71C6E499" w14:textId="77777777" w:rsidR="000F6049" w:rsidRPr="00E96A57" w:rsidRDefault="000F6049" w:rsidP="000F6049">
      <w:pPr>
        <w:rPr>
          <w:rFonts w:ascii="Arial" w:hAnsi="Arial" w:cs="Arial"/>
          <w:sz w:val="22"/>
          <w:szCs w:val="22"/>
        </w:rPr>
      </w:pPr>
      <w:r w:rsidRPr="00E96A57">
        <w:rPr>
          <w:rFonts w:ascii="Arial" w:hAnsi="Arial" w:cs="Arial"/>
          <w:sz w:val="22"/>
          <w:szCs w:val="22"/>
        </w:rPr>
        <w:t>Asimismo, el numeral 2, del artículo mencionado establece que, las o los titulares del Órgano Técnico de Fiscalización y de la Contraloría General podrán participar en las sesiones de la Junta Ejecutiva, a convocatoria de la Presidencia del Consejo.</w:t>
      </w:r>
    </w:p>
    <w:p w14:paraId="763CBC3D" w14:textId="77777777" w:rsidR="000F6049" w:rsidRPr="00E96A57" w:rsidRDefault="000F6049" w:rsidP="000F6049">
      <w:pPr>
        <w:pStyle w:val="Ttulo2"/>
        <w:rPr>
          <w:rFonts w:ascii="Arial" w:hAnsi="Arial" w:cs="Arial"/>
          <w:color w:val="auto"/>
          <w:sz w:val="22"/>
          <w:szCs w:val="22"/>
        </w:rPr>
      </w:pPr>
      <w:r w:rsidRPr="00E96A57">
        <w:rPr>
          <w:rFonts w:ascii="Arial" w:hAnsi="Arial" w:cs="Arial"/>
          <w:color w:val="auto"/>
          <w:sz w:val="22"/>
          <w:szCs w:val="22"/>
        </w:rPr>
        <w:lastRenderedPageBreak/>
        <w:t>Atribuciones de la Junta Ejecutiva</w:t>
      </w:r>
    </w:p>
    <w:p w14:paraId="130E5757" w14:textId="77777777" w:rsidR="000F6049" w:rsidRPr="00E96A57" w:rsidRDefault="000F6049" w:rsidP="000F6049">
      <w:pPr>
        <w:rPr>
          <w:rFonts w:ascii="Arial" w:hAnsi="Arial" w:cs="Arial"/>
          <w:sz w:val="22"/>
          <w:szCs w:val="22"/>
        </w:rPr>
      </w:pPr>
      <w:r w:rsidRPr="00E96A57">
        <w:rPr>
          <w:rFonts w:ascii="Arial" w:hAnsi="Arial" w:cs="Arial"/>
          <w:sz w:val="22"/>
          <w:szCs w:val="22"/>
        </w:rPr>
        <w:t>Que, el numeral 1, del artículo 119, de la Ley Electoral, señala que, la Junta Ejecutiva se reunirá por lo menos una vez al mes y ejercerá las atribuciones siguientes:</w:t>
      </w:r>
    </w:p>
    <w:p w14:paraId="28395CBB" w14:textId="77777777" w:rsidR="000F6049" w:rsidRPr="00E96A57" w:rsidRDefault="000F6049" w:rsidP="000F6049">
      <w:pPr>
        <w:pStyle w:val="Prrafodelista"/>
        <w:numPr>
          <w:ilvl w:val="0"/>
          <w:numId w:val="2"/>
        </w:numPr>
        <w:ind w:left="703" w:hanging="703"/>
        <w:contextualSpacing w:val="0"/>
        <w:rPr>
          <w:rFonts w:ascii="Arial" w:hAnsi="Arial" w:cs="Arial"/>
          <w:sz w:val="22"/>
          <w:szCs w:val="22"/>
        </w:rPr>
      </w:pPr>
      <w:r w:rsidRPr="00E96A57">
        <w:rPr>
          <w:rFonts w:ascii="Arial" w:hAnsi="Arial" w:cs="Arial"/>
          <w:sz w:val="22"/>
          <w:szCs w:val="22"/>
        </w:rPr>
        <w:t>Proponer al Consejo Estatal las políticas generales y los programas del Instituto Estatal;</w:t>
      </w:r>
    </w:p>
    <w:p w14:paraId="3BA72748" w14:textId="77777777" w:rsidR="000F6049" w:rsidRPr="00E96A57" w:rsidRDefault="000F6049" w:rsidP="000F6049">
      <w:pPr>
        <w:pStyle w:val="Prrafodelista"/>
        <w:numPr>
          <w:ilvl w:val="0"/>
          <w:numId w:val="2"/>
        </w:numPr>
        <w:ind w:left="703" w:hanging="703"/>
        <w:contextualSpacing w:val="0"/>
        <w:rPr>
          <w:rFonts w:ascii="Arial" w:hAnsi="Arial" w:cs="Arial"/>
          <w:sz w:val="22"/>
          <w:szCs w:val="22"/>
        </w:rPr>
      </w:pPr>
      <w:r w:rsidRPr="00E96A57">
        <w:rPr>
          <w:rFonts w:ascii="Arial" w:hAnsi="Arial" w:cs="Arial"/>
          <w:sz w:val="22"/>
          <w:szCs w:val="22"/>
        </w:rPr>
        <w:t>Fijar los procedimientos administrativos, conforme a las políticas y programas generales del Instituto;</w:t>
      </w:r>
    </w:p>
    <w:p w14:paraId="169ADB96" w14:textId="77777777" w:rsidR="000F6049" w:rsidRPr="00E96A57" w:rsidRDefault="000F6049" w:rsidP="000F6049">
      <w:pPr>
        <w:pStyle w:val="Prrafodelista"/>
        <w:numPr>
          <w:ilvl w:val="0"/>
          <w:numId w:val="2"/>
        </w:numPr>
        <w:ind w:left="703" w:hanging="703"/>
        <w:contextualSpacing w:val="0"/>
        <w:rPr>
          <w:rFonts w:ascii="Arial" w:hAnsi="Arial" w:cs="Arial"/>
          <w:sz w:val="22"/>
          <w:szCs w:val="22"/>
        </w:rPr>
      </w:pPr>
      <w:r w:rsidRPr="00E96A57">
        <w:rPr>
          <w:rFonts w:ascii="Arial" w:hAnsi="Arial" w:cs="Arial"/>
          <w:sz w:val="22"/>
          <w:szCs w:val="22"/>
        </w:rPr>
        <w:t>Revisar el cumplimiento de los trabajos relativos a los productos electorales que habrá de aportar el Registro Federal de Electores para el Proceso Local, conforme al convenio y documentos técnicos celebrados con el Instituto Nacional Electoral;</w:t>
      </w:r>
    </w:p>
    <w:p w14:paraId="4DE6C895" w14:textId="77777777" w:rsidR="000F6049" w:rsidRPr="00E96A57" w:rsidRDefault="000F6049" w:rsidP="000F6049">
      <w:pPr>
        <w:pStyle w:val="Prrafodelista"/>
        <w:numPr>
          <w:ilvl w:val="0"/>
          <w:numId w:val="2"/>
        </w:numPr>
        <w:ind w:left="703" w:hanging="703"/>
        <w:contextualSpacing w:val="0"/>
        <w:rPr>
          <w:rFonts w:ascii="Arial" w:hAnsi="Arial" w:cs="Arial"/>
          <w:sz w:val="22"/>
          <w:szCs w:val="22"/>
        </w:rPr>
      </w:pPr>
      <w:r w:rsidRPr="00E96A57">
        <w:rPr>
          <w:rFonts w:ascii="Arial" w:hAnsi="Arial" w:cs="Arial"/>
          <w:sz w:val="22"/>
          <w:szCs w:val="22"/>
        </w:rPr>
        <w:t>Vigilar el cumplimiento de las normas aplicables a los Partidos Políticos, las agrupaciones políticas y candidatos;</w:t>
      </w:r>
    </w:p>
    <w:p w14:paraId="29A9D3B9" w14:textId="77777777" w:rsidR="000F6049" w:rsidRPr="00E96A57" w:rsidRDefault="000F6049" w:rsidP="000F6049">
      <w:pPr>
        <w:pStyle w:val="Prrafodelista"/>
        <w:numPr>
          <w:ilvl w:val="0"/>
          <w:numId w:val="2"/>
        </w:numPr>
        <w:ind w:left="703" w:hanging="703"/>
        <w:contextualSpacing w:val="0"/>
        <w:rPr>
          <w:rFonts w:ascii="Arial" w:hAnsi="Arial" w:cs="Arial"/>
          <w:sz w:val="22"/>
          <w:szCs w:val="22"/>
        </w:rPr>
      </w:pPr>
      <w:r w:rsidRPr="00E96A57">
        <w:rPr>
          <w:rFonts w:ascii="Arial" w:hAnsi="Arial" w:cs="Arial"/>
          <w:sz w:val="22"/>
          <w:szCs w:val="22"/>
        </w:rPr>
        <w:t>Supervisar el cumplimiento de los programas y actividades de las Direcciones del Instituto;</w:t>
      </w:r>
    </w:p>
    <w:p w14:paraId="732C20A4" w14:textId="77777777" w:rsidR="000F6049" w:rsidRPr="00E96A57" w:rsidRDefault="000F6049" w:rsidP="000F6049">
      <w:pPr>
        <w:pStyle w:val="Prrafodelista"/>
        <w:numPr>
          <w:ilvl w:val="0"/>
          <w:numId w:val="2"/>
        </w:numPr>
        <w:ind w:left="703" w:hanging="703"/>
        <w:contextualSpacing w:val="0"/>
        <w:rPr>
          <w:rFonts w:ascii="Arial" w:hAnsi="Arial" w:cs="Arial"/>
          <w:sz w:val="22"/>
          <w:szCs w:val="22"/>
        </w:rPr>
      </w:pPr>
      <w:r w:rsidRPr="00E96A57">
        <w:rPr>
          <w:rFonts w:ascii="Arial" w:hAnsi="Arial" w:cs="Arial"/>
          <w:sz w:val="22"/>
          <w:szCs w:val="22"/>
        </w:rPr>
        <w:t>Nombrar a los miembros de las Juntas Distritales, a propuesta de su Presidenta o Presidente, y supervisar el cumplimiento de sus actividades; así como aprobar, conforme al presupuesto autorizado, la estructura de las vocalías de acuerdo con las necesidades del proceso electoral;</w:t>
      </w:r>
    </w:p>
    <w:p w14:paraId="7EED3BDF" w14:textId="77777777" w:rsidR="000F6049" w:rsidRPr="00E96A57" w:rsidRDefault="000F6049" w:rsidP="000F6049">
      <w:pPr>
        <w:pStyle w:val="Prrafodelista"/>
        <w:numPr>
          <w:ilvl w:val="0"/>
          <w:numId w:val="2"/>
        </w:numPr>
        <w:ind w:left="703" w:hanging="703"/>
        <w:contextualSpacing w:val="0"/>
        <w:rPr>
          <w:rFonts w:ascii="Arial" w:hAnsi="Arial" w:cs="Arial"/>
          <w:sz w:val="22"/>
          <w:szCs w:val="22"/>
        </w:rPr>
      </w:pPr>
      <w:r w:rsidRPr="00E96A57">
        <w:rPr>
          <w:rFonts w:ascii="Arial" w:hAnsi="Arial" w:cs="Arial"/>
          <w:sz w:val="22"/>
          <w:szCs w:val="22"/>
        </w:rPr>
        <w:t>Nombrar, en su caso, a la o el funcionario que acudirá a las sesiones de la Comisión Local de Vigilancia del Registro Federal de Electores, con facultades de enlace con el Instituto Nacional Electoral, de conformidad con el convenio respectivo que se suscriba;</w:t>
      </w:r>
    </w:p>
    <w:p w14:paraId="6E1EC36F" w14:textId="77777777" w:rsidR="000F6049" w:rsidRPr="00E96A57" w:rsidRDefault="000F6049" w:rsidP="000F6049">
      <w:pPr>
        <w:pStyle w:val="Prrafodelista"/>
        <w:numPr>
          <w:ilvl w:val="0"/>
          <w:numId w:val="2"/>
        </w:numPr>
        <w:ind w:left="703" w:hanging="703"/>
        <w:contextualSpacing w:val="0"/>
        <w:rPr>
          <w:rFonts w:ascii="Arial" w:hAnsi="Arial" w:cs="Arial"/>
          <w:sz w:val="22"/>
          <w:szCs w:val="22"/>
        </w:rPr>
      </w:pPr>
      <w:r w:rsidRPr="00E96A57">
        <w:rPr>
          <w:rFonts w:ascii="Arial" w:hAnsi="Arial" w:cs="Arial"/>
          <w:sz w:val="22"/>
          <w:szCs w:val="22"/>
        </w:rPr>
        <w:t>Conocer de los informes de la Contraloría General respecto de los expedientes relativos a las faltas administrativas y, en su caso, sobre imposición de sanciones a las personas servidoras públicas del Instituto Estatal;</w:t>
      </w:r>
    </w:p>
    <w:p w14:paraId="2D3C690B" w14:textId="77777777" w:rsidR="000F6049" w:rsidRPr="00E96A57" w:rsidRDefault="000F6049" w:rsidP="000F6049">
      <w:pPr>
        <w:pStyle w:val="Prrafodelista"/>
        <w:numPr>
          <w:ilvl w:val="0"/>
          <w:numId w:val="2"/>
        </w:numPr>
        <w:ind w:left="703" w:hanging="703"/>
        <w:contextualSpacing w:val="0"/>
        <w:rPr>
          <w:rFonts w:ascii="Arial" w:hAnsi="Arial" w:cs="Arial"/>
          <w:sz w:val="22"/>
          <w:szCs w:val="22"/>
        </w:rPr>
      </w:pPr>
      <w:r w:rsidRPr="00E96A57">
        <w:rPr>
          <w:rFonts w:ascii="Arial" w:hAnsi="Arial" w:cs="Arial"/>
          <w:sz w:val="22"/>
          <w:szCs w:val="22"/>
        </w:rPr>
        <w:t>Formular los estudios y, en su caso, los proyectos de convenio que deban suscribirse entre el Instituto con el INE;</w:t>
      </w:r>
    </w:p>
    <w:p w14:paraId="01969E3F" w14:textId="77777777" w:rsidR="000F6049" w:rsidRPr="00E96A57" w:rsidRDefault="000F6049" w:rsidP="000F6049">
      <w:pPr>
        <w:pStyle w:val="Prrafodelista"/>
        <w:numPr>
          <w:ilvl w:val="0"/>
          <w:numId w:val="2"/>
        </w:numPr>
        <w:ind w:left="703" w:hanging="703"/>
        <w:contextualSpacing w:val="0"/>
        <w:rPr>
          <w:rFonts w:ascii="Arial" w:hAnsi="Arial" w:cs="Arial"/>
          <w:sz w:val="22"/>
          <w:szCs w:val="22"/>
        </w:rPr>
      </w:pPr>
      <w:r w:rsidRPr="00E96A57">
        <w:rPr>
          <w:rFonts w:ascii="Arial" w:hAnsi="Arial" w:cs="Arial"/>
          <w:sz w:val="22"/>
          <w:szCs w:val="22"/>
        </w:rPr>
        <w:lastRenderedPageBreak/>
        <w:t>Presentar a consideración del Consejo Estatal el proyecto de dictamen de pérdida de registro de algún partido político local o agrupación política local, que se encuentren en cualquiera de los supuestos establecidos en esta Ley;</w:t>
      </w:r>
    </w:p>
    <w:p w14:paraId="0A4182CC" w14:textId="77777777" w:rsidR="000F6049" w:rsidRPr="00E96A57" w:rsidRDefault="000F6049" w:rsidP="000F6049">
      <w:pPr>
        <w:pStyle w:val="Prrafodelista"/>
        <w:numPr>
          <w:ilvl w:val="0"/>
          <w:numId w:val="2"/>
        </w:numPr>
        <w:ind w:left="703" w:hanging="703"/>
        <w:contextualSpacing w:val="0"/>
        <w:rPr>
          <w:rFonts w:ascii="Arial" w:hAnsi="Arial" w:cs="Arial"/>
          <w:sz w:val="22"/>
          <w:szCs w:val="22"/>
        </w:rPr>
      </w:pPr>
      <w:r w:rsidRPr="00E96A57">
        <w:rPr>
          <w:rFonts w:ascii="Arial" w:hAnsi="Arial" w:cs="Arial"/>
          <w:sz w:val="22"/>
          <w:szCs w:val="22"/>
        </w:rPr>
        <w:t>Resolver, en el ámbito de su competencia, los medios de impugnación en contra de los actos o resoluciones de la Secretaría Ejecutiva y de las Juntas Distritales del Instituto, en los términos establecidos en la ley de la materia;</w:t>
      </w:r>
    </w:p>
    <w:p w14:paraId="0E439086" w14:textId="77777777" w:rsidR="000F6049" w:rsidRPr="00E96A57" w:rsidRDefault="000F6049" w:rsidP="000F6049">
      <w:pPr>
        <w:pStyle w:val="Prrafodelista"/>
        <w:numPr>
          <w:ilvl w:val="0"/>
          <w:numId w:val="2"/>
        </w:numPr>
        <w:ind w:left="703" w:hanging="703"/>
        <w:contextualSpacing w:val="0"/>
        <w:rPr>
          <w:rFonts w:ascii="Arial" w:hAnsi="Arial" w:cs="Arial"/>
          <w:sz w:val="22"/>
          <w:szCs w:val="22"/>
        </w:rPr>
      </w:pPr>
      <w:r w:rsidRPr="00E96A57">
        <w:rPr>
          <w:rFonts w:ascii="Arial" w:hAnsi="Arial" w:cs="Arial"/>
          <w:sz w:val="22"/>
          <w:szCs w:val="22"/>
        </w:rPr>
        <w:t>Integrar los expedientes relativos a las faltas administrativas en materia electoral y, en su caso, proponer las sanciones, en los términos que establece esta Ley, y</w:t>
      </w:r>
    </w:p>
    <w:p w14:paraId="510C1D70" w14:textId="77777777" w:rsidR="000F6049" w:rsidRPr="00E96A57" w:rsidRDefault="000F6049" w:rsidP="000F6049">
      <w:pPr>
        <w:pStyle w:val="Prrafodelista"/>
        <w:numPr>
          <w:ilvl w:val="0"/>
          <w:numId w:val="2"/>
        </w:numPr>
        <w:ind w:left="703" w:hanging="703"/>
        <w:contextualSpacing w:val="0"/>
        <w:rPr>
          <w:rFonts w:ascii="Arial" w:hAnsi="Arial" w:cs="Arial"/>
          <w:sz w:val="22"/>
          <w:szCs w:val="22"/>
        </w:rPr>
      </w:pPr>
      <w:r w:rsidRPr="00E96A57">
        <w:rPr>
          <w:rFonts w:ascii="Arial" w:hAnsi="Arial" w:cs="Arial"/>
          <w:sz w:val="22"/>
          <w:szCs w:val="22"/>
        </w:rPr>
        <w:t>Las demás que le encomiende esta Ley, el Consejo Estatal y el Consejero Presidente.</w:t>
      </w:r>
    </w:p>
    <w:p w14:paraId="58D22F16" w14:textId="77777777" w:rsidR="000F6049" w:rsidRPr="00E96A57" w:rsidRDefault="000F6049" w:rsidP="000F6049">
      <w:pPr>
        <w:rPr>
          <w:rFonts w:ascii="Arial" w:hAnsi="Arial" w:cs="Arial"/>
          <w:sz w:val="22"/>
          <w:szCs w:val="22"/>
        </w:rPr>
      </w:pPr>
      <w:r w:rsidRPr="00E96A57">
        <w:rPr>
          <w:rFonts w:ascii="Arial" w:hAnsi="Arial" w:cs="Arial"/>
          <w:sz w:val="22"/>
          <w:szCs w:val="22"/>
        </w:rPr>
        <w:t>Además, en términos del artículo 4, numerales 2 y 3 del Reglamento de Sesiones, la Junta Ejecutiva es el órgano encargado de velar por el buen desempeño y el funcionamiento administrativo del Instituto, así como de supervisar la administración de los recursos financieros, humanos y materiales de este, teniendo las atribuciones asignadas y establecidas en la Ley Electoral, aquellas que le establezcan los acuerdos y las demás disposiciones que emita el Consejo Estatal.</w:t>
      </w:r>
    </w:p>
    <w:p w14:paraId="1265359D" w14:textId="77777777" w:rsidR="000F6049" w:rsidRPr="00E96A57" w:rsidRDefault="000F6049" w:rsidP="000F6049">
      <w:pPr>
        <w:pStyle w:val="Ttulo2"/>
        <w:rPr>
          <w:rFonts w:ascii="Arial" w:hAnsi="Arial" w:cs="Arial"/>
          <w:color w:val="auto"/>
          <w:sz w:val="22"/>
          <w:szCs w:val="22"/>
        </w:rPr>
      </w:pPr>
      <w:r w:rsidRPr="00E96A57">
        <w:rPr>
          <w:rFonts w:ascii="Arial" w:hAnsi="Arial" w:cs="Arial"/>
          <w:color w:val="auto"/>
          <w:sz w:val="22"/>
          <w:szCs w:val="22"/>
        </w:rPr>
        <w:t xml:space="preserve">Autonomía presupuestaria del Instituto </w:t>
      </w:r>
    </w:p>
    <w:p w14:paraId="4FC67A9C" w14:textId="77777777" w:rsidR="000F6049" w:rsidRPr="00E96A57" w:rsidRDefault="000F6049" w:rsidP="000F6049">
      <w:pPr>
        <w:rPr>
          <w:rFonts w:ascii="Arial" w:hAnsi="Arial" w:cs="Arial"/>
          <w:sz w:val="22"/>
          <w:szCs w:val="22"/>
        </w:rPr>
      </w:pPr>
      <w:r w:rsidRPr="00E96A57">
        <w:rPr>
          <w:rFonts w:ascii="Arial" w:hAnsi="Arial" w:cs="Arial"/>
          <w:sz w:val="22"/>
          <w:szCs w:val="22"/>
        </w:rPr>
        <w:t>Que, el artículo 6 de la Ley de Presupuesto y Responsabilidad Hacendaria del Estado de Tabasco y sus Municipios, sostiene que la autonomía presupuestaria otorgada a los órganos autónomos a través de la Constitución Local comprende:</w:t>
      </w:r>
    </w:p>
    <w:p w14:paraId="0C5AA3D1" w14:textId="77777777" w:rsidR="000F6049" w:rsidRPr="00E96A57" w:rsidRDefault="000F6049" w:rsidP="000F6049">
      <w:pPr>
        <w:pStyle w:val="Prrafodelista"/>
        <w:numPr>
          <w:ilvl w:val="0"/>
          <w:numId w:val="3"/>
        </w:numPr>
        <w:ind w:left="703" w:hanging="703"/>
        <w:contextualSpacing w:val="0"/>
        <w:rPr>
          <w:rFonts w:ascii="Arial" w:hAnsi="Arial" w:cs="Arial"/>
          <w:sz w:val="22"/>
          <w:szCs w:val="22"/>
        </w:rPr>
      </w:pPr>
      <w:r w:rsidRPr="00E96A57">
        <w:rPr>
          <w:rFonts w:ascii="Arial" w:hAnsi="Arial" w:cs="Arial"/>
          <w:sz w:val="22"/>
          <w:szCs w:val="22"/>
        </w:rPr>
        <w:t xml:space="preserve">La aprobación de su proyecto de presupuesto y su remisión a la Secretaría de Finanzas para su integración al proyecto de Presupuesto de Egresos, observando los criterios de política económica y demás disposiciones aplicables; </w:t>
      </w:r>
    </w:p>
    <w:p w14:paraId="0C4B470B" w14:textId="77777777" w:rsidR="000F6049" w:rsidRPr="00E96A57" w:rsidRDefault="000F6049" w:rsidP="000F6049">
      <w:pPr>
        <w:pStyle w:val="Prrafodelista"/>
        <w:numPr>
          <w:ilvl w:val="0"/>
          <w:numId w:val="3"/>
        </w:numPr>
        <w:ind w:left="703" w:hanging="703"/>
        <w:contextualSpacing w:val="0"/>
        <w:rPr>
          <w:rFonts w:ascii="Arial" w:hAnsi="Arial" w:cs="Arial"/>
          <w:sz w:val="22"/>
          <w:szCs w:val="22"/>
        </w:rPr>
      </w:pPr>
      <w:r w:rsidRPr="00E96A57">
        <w:rPr>
          <w:rFonts w:ascii="Arial" w:hAnsi="Arial" w:cs="Arial"/>
          <w:sz w:val="22"/>
          <w:szCs w:val="22"/>
        </w:rPr>
        <w:t xml:space="preserve">Ejercer su presupuesto observando lo dispuesto en dicha Ley, sin sujetarse a las disposiciones generales emitidas por la Secretaría y la Contraloría, el cual deberá realizarse con base en los principios de eficiencia, eficacia y transparencia y estarán sujetos a la normatividad, la evaluación y el control de los órganos correspondientes; </w:t>
      </w:r>
    </w:p>
    <w:p w14:paraId="3EF13ABA" w14:textId="77777777" w:rsidR="000F6049" w:rsidRPr="00E96A57" w:rsidRDefault="000F6049" w:rsidP="000F6049">
      <w:pPr>
        <w:pStyle w:val="Prrafodelista"/>
        <w:numPr>
          <w:ilvl w:val="0"/>
          <w:numId w:val="3"/>
        </w:numPr>
        <w:ind w:left="703" w:hanging="703"/>
        <w:contextualSpacing w:val="0"/>
        <w:rPr>
          <w:rFonts w:ascii="Arial" w:hAnsi="Arial" w:cs="Arial"/>
          <w:sz w:val="22"/>
          <w:szCs w:val="22"/>
        </w:rPr>
      </w:pPr>
      <w:r w:rsidRPr="00E96A57">
        <w:rPr>
          <w:rFonts w:ascii="Arial" w:hAnsi="Arial" w:cs="Arial"/>
          <w:sz w:val="22"/>
          <w:szCs w:val="22"/>
        </w:rPr>
        <w:t xml:space="preserve">La autorización de las adecuaciones a sus presupuestos sin requerir la aprobación de la Secretaría de Finanzas, observando las disposiciones de dicha Ley; </w:t>
      </w:r>
    </w:p>
    <w:p w14:paraId="4766C138" w14:textId="77777777" w:rsidR="000F6049" w:rsidRPr="00E96A57" w:rsidRDefault="000F6049" w:rsidP="000F6049">
      <w:pPr>
        <w:pStyle w:val="Prrafodelista"/>
        <w:numPr>
          <w:ilvl w:val="0"/>
          <w:numId w:val="3"/>
        </w:numPr>
        <w:ind w:left="703" w:hanging="703"/>
        <w:contextualSpacing w:val="0"/>
        <w:rPr>
          <w:rFonts w:ascii="Arial" w:hAnsi="Arial" w:cs="Arial"/>
          <w:sz w:val="22"/>
          <w:szCs w:val="22"/>
        </w:rPr>
      </w:pPr>
      <w:r w:rsidRPr="00E96A57">
        <w:rPr>
          <w:rFonts w:ascii="Arial" w:hAnsi="Arial" w:cs="Arial"/>
          <w:sz w:val="22"/>
          <w:szCs w:val="22"/>
        </w:rPr>
        <w:t xml:space="preserve">La realización de sus pagos a través de sus respectivas tesorerías o sus equivalentes; </w:t>
      </w:r>
    </w:p>
    <w:p w14:paraId="4C0F5E67" w14:textId="77777777" w:rsidR="000F6049" w:rsidRPr="00E96A57" w:rsidRDefault="000F6049" w:rsidP="000F6049">
      <w:pPr>
        <w:pStyle w:val="Prrafodelista"/>
        <w:numPr>
          <w:ilvl w:val="0"/>
          <w:numId w:val="3"/>
        </w:numPr>
        <w:ind w:left="703" w:hanging="703"/>
        <w:contextualSpacing w:val="0"/>
        <w:rPr>
          <w:rFonts w:ascii="Arial" w:hAnsi="Arial" w:cs="Arial"/>
          <w:sz w:val="22"/>
          <w:szCs w:val="22"/>
        </w:rPr>
      </w:pPr>
      <w:r w:rsidRPr="00E96A57">
        <w:rPr>
          <w:rFonts w:ascii="Arial" w:hAnsi="Arial" w:cs="Arial"/>
          <w:sz w:val="22"/>
          <w:szCs w:val="22"/>
        </w:rPr>
        <w:lastRenderedPageBreak/>
        <w:t>La determinación de los ajustes que correspondan en sus presupuestos en caso de disminución de ingresos, observando, en lo conducente, lo dispuesto en el artículo 18 de la Ley mencionada; y</w:t>
      </w:r>
    </w:p>
    <w:p w14:paraId="04A58630" w14:textId="77777777" w:rsidR="000F6049" w:rsidRPr="00E96A57" w:rsidRDefault="000F6049" w:rsidP="000F6049">
      <w:pPr>
        <w:pStyle w:val="Prrafodelista"/>
        <w:numPr>
          <w:ilvl w:val="0"/>
          <w:numId w:val="3"/>
        </w:numPr>
        <w:ind w:left="703" w:hanging="703"/>
        <w:contextualSpacing w:val="0"/>
        <w:rPr>
          <w:rFonts w:ascii="Arial" w:hAnsi="Arial" w:cs="Arial"/>
          <w:sz w:val="22"/>
          <w:szCs w:val="22"/>
        </w:rPr>
      </w:pPr>
      <w:r w:rsidRPr="00E96A57">
        <w:rPr>
          <w:rFonts w:ascii="Arial" w:hAnsi="Arial" w:cs="Arial"/>
          <w:sz w:val="22"/>
          <w:szCs w:val="22"/>
        </w:rPr>
        <w:t>Llevar la contabilidad y elaborar sus informes conforme a lo previsto en dicha Ley, así como enviarlos a la Secretaría de Finanzas para su integración a los informes trimestrales y a la cuenta pública.</w:t>
      </w:r>
    </w:p>
    <w:p w14:paraId="5D19A113" w14:textId="77777777" w:rsidR="000F6049" w:rsidRPr="00E96A57" w:rsidRDefault="000F6049" w:rsidP="000F6049">
      <w:pPr>
        <w:pStyle w:val="Ttulo2"/>
        <w:rPr>
          <w:rFonts w:ascii="Arial" w:hAnsi="Arial" w:cs="Arial"/>
          <w:color w:val="auto"/>
          <w:sz w:val="22"/>
          <w:szCs w:val="22"/>
        </w:rPr>
      </w:pPr>
      <w:r w:rsidRPr="00E96A57">
        <w:rPr>
          <w:rFonts w:ascii="Arial" w:hAnsi="Arial" w:cs="Arial"/>
          <w:color w:val="auto"/>
          <w:sz w:val="22"/>
          <w:szCs w:val="22"/>
        </w:rPr>
        <w:t>Administración de los recursos financieros y materiales del Instituto</w:t>
      </w:r>
    </w:p>
    <w:p w14:paraId="3B45343D" w14:textId="77777777" w:rsidR="000F6049" w:rsidRPr="00E96A57" w:rsidRDefault="000F6049" w:rsidP="000F6049">
      <w:pPr>
        <w:rPr>
          <w:rFonts w:ascii="Arial" w:hAnsi="Arial" w:cs="Arial"/>
          <w:sz w:val="22"/>
          <w:szCs w:val="22"/>
        </w:rPr>
      </w:pPr>
      <w:r w:rsidRPr="00E96A57">
        <w:rPr>
          <w:rFonts w:ascii="Arial" w:hAnsi="Arial" w:cs="Arial"/>
          <w:sz w:val="22"/>
          <w:szCs w:val="22"/>
        </w:rPr>
        <w:t>Que, conforme al artículo 122 numeral 1 fracción I de la Ley Electoral, corresponde a la Dirección de Administración aplicar las políticas, normas y procedimientos para la administración de los recursos financieros y materiales del Instituto, previo acuerdo de la Junta Ejecutiva.</w:t>
      </w:r>
    </w:p>
    <w:p w14:paraId="68F1D5EF" w14:textId="77777777" w:rsidR="000F6049" w:rsidRPr="00E96A57" w:rsidRDefault="000F6049" w:rsidP="000F6049">
      <w:pPr>
        <w:pStyle w:val="Ttulo2"/>
        <w:rPr>
          <w:rFonts w:ascii="Arial" w:hAnsi="Arial" w:cs="Arial"/>
          <w:color w:val="auto"/>
          <w:sz w:val="22"/>
          <w:szCs w:val="22"/>
        </w:rPr>
      </w:pPr>
      <w:r w:rsidRPr="00E96A57">
        <w:rPr>
          <w:rFonts w:ascii="Arial" w:hAnsi="Arial" w:cs="Arial"/>
          <w:color w:val="auto"/>
          <w:sz w:val="22"/>
          <w:szCs w:val="22"/>
        </w:rPr>
        <w:t xml:space="preserve">Aumento o creación de gasto </w:t>
      </w:r>
    </w:p>
    <w:p w14:paraId="20A9207F" w14:textId="77777777" w:rsidR="000F6049" w:rsidRPr="00E96A57" w:rsidRDefault="000F6049" w:rsidP="000F6049">
      <w:pPr>
        <w:rPr>
          <w:rFonts w:ascii="Arial" w:hAnsi="Arial" w:cs="Arial"/>
          <w:sz w:val="22"/>
          <w:szCs w:val="22"/>
          <w:lang w:val="es-ES"/>
        </w:rPr>
      </w:pPr>
      <w:r w:rsidRPr="00E96A57">
        <w:rPr>
          <w:rFonts w:ascii="Arial" w:hAnsi="Arial" w:cs="Arial"/>
          <w:sz w:val="22"/>
          <w:szCs w:val="22"/>
          <w:lang w:val="es-ES"/>
        </w:rPr>
        <w:t>Que, de conformidad con los artículos 15, 55 y 56 de la Ley de Presupuesto y Responsabilidad Hacendaria del Estado de Tabasco y sus municipios, toda propuesta de aumento o creación de gasto del Presupuesto de Egresos, deberá agregarse la correspondiente iniciativa de ingreso o compensarse con reducciones en otras previsiones de gasto.</w:t>
      </w:r>
    </w:p>
    <w:p w14:paraId="1350667B" w14:textId="77777777" w:rsidR="000F6049" w:rsidRPr="00E96A57" w:rsidRDefault="000F6049" w:rsidP="000F6049">
      <w:pPr>
        <w:rPr>
          <w:rFonts w:ascii="Arial" w:hAnsi="Arial" w:cs="Arial"/>
          <w:sz w:val="22"/>
          <w:szCs w:val="22"/>
          <w:lang w:val="es-ES"/>
        </w:rPr>
      </w:pPr>
      <w:r w:rsidRPr="00E96A57">
        <w:rPr>
          <w:rFonts w:ascii="Arial" w:hAnsi="Arial" w:cs="Arial"/>
          <w:sz w:val="22"/>
          <w:szCs w:val="22"/>
          <w:lang w:val="es-ES"/>
        </w:rPr>
        <w:t>A través de las respectivas unidades de administración, se podrá autorizar adecuaciones al presupuesto siempre que permitan un mejor cumplimiento de los objetivos de los programas a su cargo y deberán emitir las normas aplicables. Dichas adecuaciones, incluyendo aquéllas comprendidas en el artículo 17 de la Ley, deberán ser informadas al Ejecutivo, por conducto de la Secretaría, para efectos de la integración de la Cuenta Pública.</w:t>
      </w:r>
    </w:p>
    <w:p w14:paraId="0E7834F5" w14:textId="77777777" w:rsidR="000F6049" w:rsidRPr="00E96A57" w:rsidRDefault="000F6049" w:rsidP="000F6049">
      <w:pPr>
        <w:rPr>
          <w:rFonts w:ascii="Arial" w:hAnsi="Arial" w:cs="Arial"/>
          <w:sz w:val="22"/>
          <w:szCs w:val="22"/>
          <w:lang w:val="es-ES"/>
        </w:rPr>
      </w:pPr>
      <w:r w:rsidRPr="00E96A57">
        <w:rPr>
          <w:rFonts w:ascii="Arial" w:hAnsi="Arial" w:cs="Arial"/>
          <w:sz w:val="22"/>
          <w:szCs w:val="22"/>
          <w:lang w:val="es-ES"/>
        </w:rPr>
        <w:t>Asimismo, en el ejercicio del presupuesto, debe tomarse las medidas para racionalizar los recursos destinados a las actividades administrativas y de apoyo, sin afectar el cumplimiento de las metas de los programas aprobados en el Presupuesto de Egresos.</w:t>
      </w:r>
    </w:p>
    <w:p w14:paraId="34945E4A" w14:textId="77777777" w:rsidR="000F6049" w:rsidRPr="00E96A57" w:rsidRDefault="000F6049" w:rsidP="000F6049">
      <w:pPr>
        <w:rPr>
          <w:rFonts w:ascii="Arial" w:hAnsi="Arial" w:cs="Arial"/>
          <w:sz w:val="22"/>
          <w:szCs w:val="22"/>
          <w:lang w:val="es-ES"/>
        </w:rPr>
      </w:pPr>
      <w:r w:rsidRPr="00E96A57">
        <w:rPr>
          <w:rFonts w:ascii="Arial" w:hAnsi="Arial" w:cs="Arial"/>
          <w:sz w:val="22"/>
          <w:szCs w:val="22"/>
          <w:lang w:val="es-ES"/>
        </w:rPr>
        <w:t>Los ahorros generados como resultado de la aplicación de dichas medidas deberán destinarse, en los términos de las disposiciones generales aplicables, a los programas prioritarios del ejecutor de gasto que los genere.</w:t>
      </w:r>
    </w:p>
    <w:p w14:paraId="3AF21B11" w14:textId="77777777" w:rsidR="000F6049" w:rsidRPr="00E96A57" w:rsidRDefault="000F6049" w:rsidP="000F6049">
      <w:pPr>
        <w:rPr>
          <w:rFonts w:ascii="Arial" w:hAnsi="Arial" w:cs="Arial"/>
          <w:sz w:val="22"/>
          <w:szCs w:val="22"/>
          <w:lang w:val="es-ES"/>
        </w:rPr>
      </w:pPr>
      <w:r w:rsidRPr="00E96A57">
        <w:rPr>
          <w:rFonts w:ascii="Arial" w:hAnsi="Arial" w:cs="Arial"/>
          <w:sz w:val="22"/>
          <w:szCs w:val="22"/>
          <w:lang w:val="es-ES"/>
        </w:rPr>
        <w:t xml:space="preserve">Por su parte, el Ejecutivo por conducto de la Secretaría, la Función Pública y Administración, establecerá los criterios generales para promover el uso eficiente de los recursos humanos y </w:t>
      </w:r>
      <w:r w:rsidRPr="00E96A57">
        <w:rPr>
          <w:rFonts w:ascii="Arial" w:hAnsi="Arial" w:cs="Arial"/>
          <w:sz w:val="22"/>
          <w:szCs w:val="22"/>
          <w:lang w:val="es-ES"/>
        </w:rPr>
        <w:lastRenderedPageBreak/>
        <w:t>materiales de la administración pública, a fin de reorientarlos al logro de objetivos, evitar la duplicidad de funciones, promover la eficiencia y eficacia en la gestión pública, modernizar y mejorar la prestación de los servicios públicos, promover la productividad en el desempeño de las funciones de las dependencias y entidades y reducir gastos de operación. Dichas acciones deberán orientarse a lograr mejoras continuas de mediano plazo que permitan, como mínimo, medir con base anual su progreso.</w:t>
      </w:r>
    </w:p>
    <w:p w14:paraId="75054160" w14:textId="77777777" w:rsidR="000F6049" w:rsidRPr="00E96A57" w:rsidRDefault="000F6049" w:rsidP="000F6049">
      <w:pPr>
        <w:rPr>
          <w:rFonts w:ascii="Arial" w:hAnsi="Arial" w:cs="Arial"/>
          <w:sz w:val="22"/>
          <w:szCs w:val="22"/>
          <w:lang w:val="es-ES"/>
        </w:rPr>
      </w:pPr>
      <w:r w:rsidRPr="00E96A57">
        <w:rPr>
          <w:rFonts w:ascii="Arial" w:hAnsi="Arial" w:cs="Arial"/>
          <w:sz w:val="22"/>
          <w:szCs w:val="22"/>
          <w:lang w:val="es-ES"/>
        </w:rPr>
        <w:t>A fin de lograr los objetivos a que se refiere el párrafo anterior, el Ejecutivo, durante su primer año de gobierno, deberá emitir un programa de austeridad, racionalidad y disciplina del gasto, el cual deberá publicarse en el Periódico Oficial del Estado en la misma fecha en que se publique el Plan de Desarrollo, y deberá mantener concordancia con éste.</w:t>
      </w:r>
    </w:p>
    <w:p w14:paraId="65A9F6C9" w14:textId="77777777" w:rsidR="000F6049" w:rsidRPr="00E96A57" w:rsidRDefault="000F6049" w:rsidP="000F6049">
      <w:pPr>
        <w:rPr>
          <w:rFonts w:ascii="Arial" w:hAnsi="Arial" w:cs="Arial"/>
          <w:sz w:val="22"/>
          <w:szCs w:val="22"/>
          <w:lang w:val="es-ES"/>
        </w:rPr>
      </w:pPr>
      <w:r w:rsidRPr="00E96A57">
        <w:rPr>
          <w:rFonts w:ascii="Arial" w:hAnsi="Arial" w:cs="Arial"/>
          <w:sz w:val="22"/>
          <w:szCs w:val="22"/>
          <w:lang w:val="es-ES"/>
        </w:rPr>
        <w:t>Las dependencias y entidades deberán cumplir con los compromisos e indicadores del desempeño de las medidas que se establezcan en el programa a que se refiere el párrafo anterior, reportando su cumplimiento en los informes trimestrales.</w:t>
      </w:r>
    </w:p>
    <w:p w14:paraId="446D610D" w14:textId="77777777" w:rsidR="000F6049" w:rsidRPr="00E96A57" w:rsidRDefault="000F6049" w:rsidP="000F6049">
      <w:pPr>
        <w:rPr>
          <w:rFonts w:ascii="Arial" w:hAnsi="Arial" w:cs="Arial"/>
          <w:sz w:val="22"/>
          <w:szCs w:val="22"/>
          <w:lang w:val="es-ES"/>
        </w:rPr>
      </w:pPr>
      <w:r w:rsidRPr="00E96A57">
        <w:rPr>
          <w:rFonts w:ascii="Arial" w:hAnsi="Arial" w:cs="Arial"/>
          <w:sz w:val="22"/>
          <w:szCs w:val="22"/>
          <w:lang w:val="es-ES"/>
        </w:rPr>
        <w:t>Dicho programa será de observancia obligatoria para las dependencias y entidades, de acuerdo con lo dispuesto en la presente Ley y demás disposiciones aplicables, y deberá considerar al menos los siguientes aspectos:</w:t>
      </w:r>
    </w:p>
    <w:p w14:paraId="3330F602" w14:textId="77777777" w:rsidR="000F6049" w:rsidRPr="00E96A57" w:rsidRDefault="000F6049" w:rsidP="000F6049">
      <w:pPr>
        <w:pStyle w:val="Prrafodelista"/>
        <w:numPr>
          <w:ilvl w:val="0"/>
          <w:numId w:val="4"/>
        </w:numPr>
        <w:ind w:left="703" w:hanging="703"/>
        <w:contextualSpacing w:val="0"/>
        <w:rPr>
          <w:rFonts w:ascii="Arial" w:hAnsi="Arial" w:cs="Arial"/>
          <w:sz w:val="22"/>
          <w:szCs w:val="22"/>
        </w:rPr>
      </w:pPr>
      <w:r w:rsidRPr="00E96A57">
        <w:rPr>
          <w:rFonts w:ascii="Arial" w:hAnsi="Arial" w:cs="Arial"/>
          <w:sz w:val="22"/>
          <w:szCs w:val="22"/>
        </w:rPr>
        <w:t>Establecer mecanismos para monitorear anualmente la evolución de los recursos ejercidos por concepto de gasto corriente;</w:t>
      </w:r>
    </w:p>
    <w:p w14:paraId="785A6CBC" w14:textId="77777777" w:rsidR="000F6049" w:rsidRPr="00E96A57" w:rsidRDefault="000F6049" w:rsidP="000F6049">
      <w:pPr>
        <w:pStyle w:val="Prrafodelista"/>
        <w:numPr>
          <w:ilvl w:val="0"/>
          <w:numId w:val="4"/>
        </w:numPr>
        <w:ind w:left="703" w:hanging="703"/>
        <w:contextualSpacing w:val="0"/>
        <w:rPr>
          <w:rFonts w:ascii="Arial" w:hAnsi="Arial" w:cs="Arial"/>
          <w:sz w:val="22"/>
          <w:szCs w:val="22"/>
        </w:rPr>
      </w:pPr>
      <w:r w:rsidRPr="00E96A57">
        <w:rPr>
          <w:rFonts w:ascii="Arial" w:hAnsi="Arial" w:cs="Arial"/>
          <w:sz w:val="22"/>
          <w:szCs w:val="22"/>
        </w:rPr>
        <w:t>Promover el uso intensivo de las tecnologías de la información y comunicaciones a fin de reducir el costo de los recursos materiales y servicios generales del gobierno;</w:t>
      </w:r>
    </w:p>
    <w:p w14:paraId="400A6979" w14:textId="77777777" w:rsidR="000F6049" w:rsidRPr="00E96A57" w:rsidRDefault="000F6049" w:rsidP="000F6049">
      <w:pPr>
        <w:pStyle w:val="Prrafodelista"/>
        <w:numPr>
          <w:ilvl w:val="0"/>
          <w:numId w:val="4"/>
        </w:numPr>
        <w:ind w:left="703" w:hanging="703"/>
        <w:contextualSpacing w:val="0"/>
        <w:rPr>
          <w:rFonts w:ascii="Arial" w:hAnsi="Arial" w:cs="Arial"/>
          <w:sz w:val="22"/>
          <w:szCs w:val="22"/>
        </w:rPr>
      </w:pPr>
      <w:r w:rsidRPr="00E96A57">
        <w:rPr>
          <w:rFonts w:ascii="Arial" w:hAnsi="Arial" w:cs="Arial"/>
          <w:sz w:val="22"/>
          <w:szCs w:val="22"/>
        </w:rPr>
        <w:t>Simplificar los procesos internos y eliminar aquellos que no están relacionados con las actividades sustantivas de los ejecutores de gasto contribuyendo a la transparencia y a la rendición de cuentas;</w:t>
      </w:r>
    </w:p>
    <w:p w14:paraId="6A7D267D" w14:textId="77777777" w:rsidR="000F6049" w:rsidRPr="00E96A57" w:rsidRDefault="000F6049" w:rsidP="000F6049">
      <w:pPr>
        <w:pStyle w:val="Prrafodelista"/>
        <w:numPr>
          <w:ilvl w:val="0"/>
          <w:numId w:val="4"/>
        </w:numPr>
        <w:ind w:left="703" w:hanging="703"/>
        <w:contextualSpacing w:val="0"/>
        <w:rPr>
          <w:rFonts w:ascii="Arial" w:hAnsi="Arial" w:cs="Arial"/>
          <w:sz w:val="22"/>
          <w:szCs w:val="22"/>
        </w:rPr>
      </w:pPr>
      <w:r w:rsidRPr="00E96A57">
        <w:rPr>
          <w:rFonts w:ascii="Arial" w:hAnsi="Arial" w:cs="Arial"/>
          <w:sz w:val="22"/>
          <w:szCs w:val="22"/>
        </w:rPr>
        <w:t>Establecer los lineamientos para reorientar los recursos de la administración pública, en caso de que se realicen reestructuras a las dependencias y entidades;</w:t>
      </w:r>
    </w:p>
    <w:p w14:paraId="5E3A79F3" w14:textId="77777777" w:rsidR="000F6049" w:rsidRPr="00E96A57" w:rsidRDefault="000F6049" w:rsidP="000F6049">
      <w:pPr>
        <w:pStyle w:val="Prrafodelista"/>
        <w:numPr>
          <w:ilvl w:val="0"/>
          <w:numId w:val="4"/>
        </w:numPr>
        <w:ind w:left="703" w:hanging="703"/>
        <w:contextualSpacing w:val="0"/>
        <w:rPr>
          <w:rFonts w:ascii="Arial" w:hAnsi="Arial" w:cs="Arial"/>
          <w:sz w:val="22"/>
          <w:szCs w:val="22"/>
        </w:rPr>
      </w:pPr>
      <w:r w:rsidRPr="00E96A57">
        <w:rPr>
          <w:rFonts w:ascii="Arial" w:hAnsi="Arial" w:cs="Arial"/>
          <w:sz w:val="22"/>
          <w:szCs w:val="22"/>
        </w:rPr>
        <w:t>Establecer las medidas para lograr una distribución de los recursos humanos al servicio de la administración pública que permita hacer más eficiente la actuación del gobierno;</w:t>
      </w:r>
    </w:p>
    <w:p w14:paraId="046558BD" w14:textId="77777777" w:rsidR="000F6049" w:rsidRPr="00E96A57" w:rsidRDefault="000F6049" w:rsidP="000F6049">
      <w:pPr>
        <w:pStyle w:val="Prrafodelista"/>
        <w:numPr>
          <w:ilvl w:val="0"/>
          <w:numId w:val="4"/>
        </w:numPr>
        <w:ind w:left="703" w:hanging="703"/>
        <w:contextualSpacing w:val="0"/>
        <w:rPr>
          <w:rFonts w:ascii="Arial" w:hAnsi="Arial" w:cs="Arial"/>
          <w:sz w:val="22"/>
          <w:szCs w:val="22"/>
        </w:rPr>
      </w:pPr>
      <w:r w:rsidRPr="00E96A57">
        <w:rPr>
          <w:rFonts w:ascii="Arial" w:hAnsi="Arial" w:cs="Arial"/>
          <w:sz w:val="22"/>
          <w:szCs w:val="22"/>
        </w:rPr>
        <w:t>Estrategias para modernizar la estructura de la administración pública a fin de contar con recursos para ofrecer mejores bienes y servicios públicos, y</w:t>
      </w:r>
    </w:p>
    <w:p w14:paraId="3F0A0EFF" w14:textId="77777777" w:rsidR="000F6049" w:rsidRPr="00E96A57" w:rsidRDefault="000F6049" w:rsidP="000F6049">
      <w:pPr>
        <w:pStyle w:val="Prrafodelista"/>
        <w:numPr>
          <w:ilvl w:val="0"/>
          <w:numId w:val="4"/>
        </w:numPr>
        <w:ind w:left="703" w:hanging="703"/>
        <w:contextualSpacing w:val="0"/>
        <w:rPr>
          <w:rFonts w:ascii="Arial" w:hAnsi="Arial" w:cs="Arial"/>
          <w:sz w:val="22"/>
          <w:szCs w:val="22"/>
        </w:rPr>
      </w:pPr>
      <w:r w:rsidRPr="00E96A57">
        <w:rPr>
          <w:rFonts w:ascii="Arial" w:hAnsi="Arial" w:cs="Arial"/>
          <w:sz w:val="22"/>
          <w:szCs w:val="22"/>
        </w:rPr>
        <w:lastRenderedPageBreak/>
        <w:t>Estrategias para enajenar aquellos bienes improductivos u obsoletos, ociosos o innecesarios.</w:t>
      </w:r>
    </w:p>
    <w:p w14:paraId="7FEE1949" w14:textId="77777777" w:rsidR="000F6049" w:rsidRPr="00E96A57" w:rsidRDefault="000F6049" w:rsidP="000F6049">
      <w:pPr>
        <w:rPr>
          <w:rFonts w:ascii="Arial" w:hAnsi="Arial" w:cs="Arial"/>
          <w:sz w:val="22"/>
          <w:szCs w:val="22"/>
          <w:lang w:val="es-ES"/>
        </w:rPr>
      </w:pPr>
      <w:r w:rsidRPr="00E96A57">
        <w:rPr>
          <w:rFonts w:ascii="Arial" w:hAnsi="Arial" w:cs="Arial"/>
          <w:sz w:val="22"/>
          <w:szCs w:val="22"/>
          <w:lang w:val="es-ES"/>
        </w:rPr>
        <w:t>Los ahorros generados como resultado de la aplicación de dichas medidas deberán destinarse, en los términos de las disposiciones generales aplicables, en primer lugar, a corregir desviaciones del Balance presupuestario de recursos disponibles negativo y, en segundo lugar, a los programas prioritarios del ejecutor de gasto que los genere.</w:t>
      </w:r>
    </w:p>
    <w:p w14:paraId="6C4CFEC0" w14:textId="77777777" w:rsidR="000F6049" w:rsidRPr="00E96A57" w:rsidRDefault="000F6049" w:rsidP="000F6049">
      <w:pPr>
        <w:pStyle w:val="Ttulo2"/>
        <w:rPr>
          <w:rFonts w:ascii="Arial" w:hAnsi="Arial" w:cs="Arial"/>
          <w:color w:val="auto"/>
          <w:sz w:val="22"/>
          <w:szCs w:val="22"/>
          <w:lang w:val="es-ES"/>
        </w:rPr>
      </w:pPr>
      <w:r w:rsidRPr="00E96A57">
        <w:rPr>
          <w:rFonts w:ascii="Arial" w:hAnsi="Arial" w:cs="Arial"/>
          <w:color w:val="auto"/>
          <w:sz w:val="22"/>
          <w:szCs w:val="22"/>
          <w:lang w:val="es-ES"/>
        </w:rPr>
        <w:t>Movimientos presupuestales</w:t>
      </w:r>
    </w:p>
    <w:p w14:paraId="60D6080E" w14:textId="77777777" w:rsidR="000F6049" w:rsidRPr="00E96A57" w:rsidRDefault="000F6049" w:rsidP="000F6049">
      <w:pPr>
        <w:rPr>
          <w:rFonts w:ascii="Arial" w:hAnsi="Arial" w:cs="Arial"/>
          <w:sz w:val="22"/>
          <w:szCs w:val="22"/>
          <w:lang w:val="es-ES"/>
        </w:rPr>
      </w:pPr>
      <w:r w:rsidRPr="00E96A57">
        <w:rPr>
          <w:rFonts w:ascii="Arial" w:hAnsi="Arial" w:cs="Arial"/>
          <w:sz w:val="22"/>
          <w:szCs w:val="22"/>
          <w:lang w:val="es-ES"/>
        </w:rPr>
        <w:t>Que, de acuerdo con el numeral 2.2 del Manual de normas presupuestarias y administrativas para el control del ejercicio presupuestal, los recursos presupuestarios autorizados no ejercidos, podrán ser sujetos de adecuaciones presupuestales para lograr el cumplimiento de las actividades institucionales a través de la Coordinación de Recursos Financieros y el área de presupuesto con apoyo de la Unidad Técnica de Planeación.</w:t>
      </w:r>
    </w:p>
    <w:p w14:paraId="0DFFE81E" w14:textId="77777777" w:rsidR="000F6049" w:rsidRPr="00E96A57" w:rsidRDefault="000F6049" w:rsidP="000F6049">
      <w:pPr>
        <w:rPr>
          <w:rFonts w:ascii="Arial" w:hAnsi="Arial" w:cs="Arial"/>
          <w:sz w:val="22"/>
          <w:szCs w:val="22"/>
        </w:rPr>
      </w:pPr>
      <w:r w:rsidRPr="00E96A57">
        <w:rPr>
          <w:rFonts w:ascii="Arial" w:hAnsi="Arial" w:cs="Arial"/>
          <w:sz w:val="22"/>
          <w:szCs w:val="22"/>
        </w:rPr>
        <w:t>Además, de acuerdo con el numeral 2.2.2. del ordenamiento en cita, las adecuaciones entre partidas procederán si son solicitadas por la Dirección de Administración, con el visto bueno de la Unidad Técnica de Planeación y autorizados por el Secretario Ejecutivo, identificándose plenamente el monto, partida de origen y destino de los recursos.</w:t>
      </w:r>
    </w:p>
    <w:p w14:paraId="2D787102" w14:textId="77777777" w:rsidR="000F6049" w:rsidRPr="00E96A57" w:rsidRDefault="000F6049" w:rsidP="000F6049">
      <w:pPr>
        <w:pStyle w:val="Ttulo2"/>
        <w:rPr>
          <w:rFonts w:ascii="Arial" w:hAnsi="Arial" w:cs="Arial"/>
          <w:color w:val="auto"/>
          <w:sz w:val="22"/>
          <w:szCs w:val="22"/>
        </w:rPr>
      </w:pPr>
      <w:r w:rsidRPr="00E96A57">
        <w:rPr>
          <w:rFonts w:ascii="Arial" w:hAnsi="Arial" w:cs="Arial"/>
          <w:color w:val="auto"/>
          <w:sz w:val="22"/>
          <w:szCs w:val="22"/>
        </w:rPr>
        <w:t>Ahorro presupuestario</w:t>
      </w:r>
    </w:p>
    <w:p w14:paraId="009436B7" w14:textId="5DF08AFD" w:rsidR="000F6049" w:rsidRPr="00E96A57" w:rsidRDefault="000F6049" w:rsidP="000F6049">
      <w:pPr>
        <w:rPr>
          <w:rFonts w:ascii="Arial" w:hAnsi="Arial" w:cs="Arial"/>
          <w:sz w:val="22"/>
          <w:szCs w:val="22"/>
        </w:rPr>
      </w:pPr>
      <w:r w:rsidRPr="00E96A57">
        <w:rPr>
          <w:rFonts w:ascii="Arial" w:hAnsi="Arial" w:cs="Arial"/>
          <w:sz w:val="22"/>
          <w:szCs w:val="22"/>
        </w:rPr>
        <w:t>Que, de acuerdo con el informe rendido por la Unidad de Planeación</w:t>
      </w:r>
      <w:r w:rsidR="00F86DE6" w:rsidRPr="00E96A57">
        <w:rPr>
          <w:rFonts w:ascii="Arial" w:hAnsi="Arial" w:cs="Arial"/>
          <w:sz w:val="22"/>
          <w:szCs w:val="22"/>
        </w:rPr>
        <w:t xml:space="preserve"> y Evaluación</w:t>
      </w:r>
      <w:r w:rsidRPr="00E96A57">
        <w:rPr>
          <w:rFonts w:ascii="Arial" w:hAnsi="Arial" w:cs="Arial"/>
          <w:sz w:val="22"/>
          <w:szCs w:val="22"/>
        </w:rPr>
        <w:t>, de la revisión a los recursos asignados para el desarrollo del Proceso Electoral Extraordinario, se desprende un ahorro presupuestario originado a partir de la aplicación de las medidas de austeridad</w:t>
      </w:r>
      <w:r w:rsidR="005D4846" w:rsidRPr="00E96A57">
        <w:rPr>
          <w:rFonts w:ascii="Arial" w:hAnsi="Arial" w:cs="Arial"/>
          <w:sz w:val="22"/>
          <w:szCs w:val="22"/>
        </w:rPr>
        <w:t xml:space="preserve"> y eficiencia en las diversas adquisiciones relacionadas con las actividades electorales.</w:t>
      </w:r>
    </w:p>
    <w:p w14:paraId="6B664B5D" w14:textId="29E9350F" w:rsidR="005D4846" w:rsidRPr="00E96A57" w:rsidRDefault="005D4846" w:rsidP="000F6049">
      <w:pPr>
        <w:rPr>
          <w:rFonts w:ascii="Arial" w:hAnsi="Arial" w:cs="Arial"/>
          <w:sz w:val="22"/>
          <w:szCs w:val="22"/>
        </w:rPr>
      </w:pPr>
      <w:r w:rsidRPr="00E96A57">
        <w:rPr>
          <w:rFonts w:ascii="Arial" w:hAnsi="Arial" w:cs="Arial"/>
          <w:sz w:val="22"/>
          <w:szCs w:val="22"/>
        </w:rPr>
        <w:t xml:space="preserve">En ese tenor, con el propósito de reorientar el gasto y satisfacer los diversos requerimientos que aún quedan pendientes para el Proceso Electoral Extraordinario, así como aquellas relacionadas con las actividades ordinarias del Instituto el Secretario Ejecutivo propone la utilización de dichos recursos para implementar y ejecutar diversos proyectos comprendidos en los capítulos 2000 y 3000 del Programa Presupuestario </w:t>
      </w:r>
      <w:proofErr w:type="spellStart"/>
      <w:r w:rsidRPr="00E96A57">
        <w:rPr>
          <w:rFonts w:ascii="Arial" w:hAnsi="Arial" w:cs="Arial"/>
          <w:sz w:val="22"/>
          <w:szCs w:val="22"/>
        </w:rPr>
        <w:t>R005</w:t>
      </w:r>
      <w:proofErr w:type="spellEnd"/>
      <w:r w:rsidRPr="00E96A57">
        <w:rPr>
          <w:rFonts w:ascii="Arial" w:hAnsi="Arial" w:cs="Arial"/>
          <w:sz w:val="22"/>
          <w:szCs w:val="22"/>
        </w:rPr>
        <w:t xml:space="preserve">. Organización del Proceso Electoral Local Extraordinario 2024 – 2025. Para tal efecto, se adjunta un documento que contiene los programas que estarán vinculados con el ejercicio de estos recursos.  </w:t>
      </w:r>
    </w:p>
    <w:p w14:paraId="4971FDFD" w14:textId="31A99A2D" w:rsidR="005D4846" w:rsidRPr="00E96A57" w:rsidRDefault="005D4846" w:rsidP="000F6049">
      <w:pPr>
        <w:rPr>
          <w:rFonts w:ascii="Arial" w:hAnsi="Arial" w:cs="Arial"/>
          <w:sz w:val="22"/>
          <w:szCs w:val="22"/>
        </w:rPr>
      </w:pPr>
      <w:r w:rsidRPr="00E96A57">
        <w:rPr>
          <w:rFonts w:ascii="Arial" w:hAnsi="Arial" w:cs="Arial"/>
          <w:sz w:val="22"/>
          <w:szCs w:val="22"/>
        </w:rPr>
        <w:lastRenderedPageBreak/>
        <w:t>Cabe señalar que, el ejercicio de los recursos está sujeto a la autorización que, en su caso, otorgue la Secretaría de Finanzas del Estado; de no ser así, los recursos serán devueltos a dicho ente, de conformidad con la Ley de Presupuesto y Responsabilidad Hacendaria del Estado y de sus Municipios.</w:t>
      </w:r>
    </w:p>
    <w:p w14:paraId="2D45C58F" w14:textId="77777777" w:rsidR="000F6049" w:rsidRPr="00E96A57" w:rsidRDefault="000F6049" w:rsidP="000F6049">
      <w:pPr>
        <w:rPr>
          <w:rFonts w:ascii="Arial" w:hAnsi="Arial" w:cs="Arial"/>
          <w:sz w:val="22"/>
          <w:szCs w:val="22"/>
        </w:rPr>
      </w:pPr>
      <w:r w:rsidRPr="00E96A57">
        <w:rPr>
          <w:rFonts w:ascii="Arial" w:hAnsi="Arial" w:cs="Arial"/>
          <w:sz w:val="22"/>
          <w:szCs w:val="22"/>
        </w:rPr>
        <w:t>Sobre la base de las consideraciones señaladas, esta Junta Estatal emite el siguiente:</w:t>
      </w:r>
    </w:p>
    <w:p w14:paraId="68B8DD6E" w14:textId="77777777" w:rsidR="000F6049" w:rsidRPr="00E96A57" w:rsidRDefault="000F6049" w:rsidP="000F6049">
      <w:pPr>
        <w:pStyle w:val="Ttulo1"/>
        <w:rPr>
          <w:rFonts w:ascii="Arial" w:hAnsi="Arial" w:cs="Arial"/>
          <w:color w:val="auto"/>
          <w:sz w:val="24"/>
          <w:szCs w:val="24"/>
        </w:rPr>
      </w:pPr>
      <w:r w:rsidRPr="00E96A57">
        <w:rPr>
          <w:rFonts w:ascii="Arial" w:hAnsi="Arial" w:cs="Arial"/>
          <w:color w:val="auto"/>
          <w:sz w:val="24"/>
          <w:szCs w:val="24"/>
        </w:rPr>
        <w:t>Acuerdo</w:t>
      </w:r>
    </w:p>
    <w:p w14:paraId="1713C70A" w14:textId="52C608AA" w:rsidR="000F6049" w:rsidRPr="00E96A57" w:rsidRDefault="000F6049" w:rsidP="000F6049">
      <w:pPr>
        <w:rPr>
          <w:rFonts w:ascii="Arial" w:hAnsi="Arial" w:cs="Arial"/>
          <w:bCs/>
          <w:sz w:val="22"/>
          <w:szCs w:val="22"/>
        </w:rPr>
      </w:pPr>
      <w:r w:rsidRPr="00E96A57">
        <w:rPr>
          <w:rFonts w:ascii="Arial" w:hAnsi="Arial" w:cs="Arial"/>
          <w:b/>
          <w:sz w:val="22"/>
          <w:szCs w:val="22"/>
        </w:rPr>
        <w:t>Primero.</w:t>
      </w:r>
      <w:r w:rsidR="005D4846" w:rsidRPr="00E96A57">
        <w:rPr>
          <w:rFonts w:ascii="Arial" w:hAnsi="Arial" w:cs="Arial"/>
          <w:b/>
          <w:sz w:val="22"/>
          <w:szCs w:val="22"/>
        </w:rPr>
        <w:t xml:space="preserve"> </w:t>
      </w:r>
      <w:r w:rsidR="005D4846" w:rsidRPr="00E96A57">
        <w:rPr>
          <w:rFonts w:ascii="Arial" w:hAnsi="Arial" w:cs="Arial"/>
          <w:bCs/>
          <w:sz w:val="22"/>
          <w:szCs w:val="22"/>
        </w:rPr>
        <w:t xml:space="preserve">Se aprueba la utilización de los recursos provenientes del ahorro presupuestario para la implementación de proyectos comprendidos en los capítulos 2000 y 3000 del Programa Presupuestario </w:t>
      </w:r>
      <w:proofErr w:type="spellStart"/>
      <w:r w:rsidR="005D4846" w:rsidRPr="00E96A57">
        <w:rPr>
          <w:rFonts w:ascii="Arial" w:hAnsi="Arial" w:cs="Arial"/>
          <w:bCs/>
          <w:sz w:val="22"/>
          <w:szCs w:val="22"/>
        </w:rPr>
        <w:t>R005</w:t>
      </w:r>
      <w:proofErr w:type="spellEnd"/>
      <w:r w:rsidR="005D4846" w:rsidRPr="00E96A57">
        <w:rPr>
          <w:rFonts w:ascii="Arial" w:hAnsi="Arial" w:cs="Arial"/>
          <w:bCs/>
          <w:sz w:val="22"/>
          <w:szCs w:val="22"/>
        </w:rPr>
        <w:t>. Organización del Proceso Electoral Local Extraordinario 2024 – 2025 anexo al presente acuerdo.</w:t>
      </w:r>
    </w:p>
    <w:p w14:paraId="6CC78AB2" w14:textId="77777777" w:rsidR="000F6049" w:rsidRPr="00E96A57" w:rsidRDefault="000F6049" w:rsidP="000F6049">
      <w:pPr>
        <w:rPr>
          <w:rFonts w:ascii="Arial" w:hAnsi="Arial" w:cs="Arial"/>
          <w:sz w:val="22"/>
          <w:szCs w:val="22"/>
        </w:rPr>
      </w:pPr>
      <w:r w:rsidRPr="00E96A57">
        <w:rPr>
          <w:rFonts w:ascii="Arial" w:hAnsi="Arial" w:cs="Arial"/>
          <w:b/>
          <w:sz w:val="22"/>
          <w:szCs w:val="22"/>
        </w:rPr>
        <w:t>Segundo.</w:t>
      </w:r>
      <w:r w:rsidRPr="00E96A57">
        <w:rPr>
          <w:rFonts w:ascii="Arial" w:hAnsi="Arial" w:cs="Arial"/>
          <w:sz w:val="22"/>
          <w:szCs w:val="22"/>
        </w:rPr>
        <w:t xml:space="preserve"> Se instruye a la Dirección de Administración realice los trámites administrativos correspondientes para dar cumplimiento al presente acuerdo.</w:t>
      </w:r>
    </w:p>
    <w:p w14:paraId="3E20B41E" w14:textId="77777777" w:rsidR="000F6049" w:rsidRPr="00E96A57" w:rsidRDefault="000F6049" w:rsidP="000F6049">
      <w:pPr>
        <w:rPr>
          <w:rFonts w:ascii="Arial" w:hAnsi="Arial" w:cs="Arial"/>
          <w:sz w:val="22"/>
          <w:szCs w:val="22"/>
        </w:rPr>
      </w:pPr>
      <w:r w:rsidRPr="00E96A57">
        <w:rPr>
          <w:rFonts w:ascii="Arial" w:hAnsi="Arial" w:cs="Arial"/>
          <w:b/>
          <w:sz w:val="22"/>
          <w:szCs w:val="22"/>
        </w:rPr>
        <w:t>Tercero.</w:t>
      </w:r>
      <w:r w:rsidRPr="00E96A57">
        <w:rPr>
          <w:rFonts w:ascii="Arial" w:hAnsi="Arial" w:cs="Arial"/>
          <w:sz w:val="22"/>
          <w:szCs w:val="22"/>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07AABAA5" w14:textId="73B9E58B" w:rsidR="000F6049" w:rsidRDefault="000F6049" w:rsidP="000F6049">
      <w:pPr>
        <w:spacing w:line="288" w:lineRule="auto"/>
        <w:rPr>
          <w:rFonts w:ascii="Arial" w:hAnsi="Arial" w:cs="Arial"/>
          <w:sz w:val="22"/>
          <w:szCs w:val="22"/>
        </w:rPr>
      </w:pPr>
      <w:r w:rsidRPr="00E96A57">
        <w:rPr>
          <w:rFonts w:ascii="Arial" w:hAnsi="Arial" w:cs="Arial"/>
          <w:sz w:val="22"/>
          <w:szCs w:val="22"/>
        </w:rPr>
        <w:t xml:space="preserve">El presente acuerdo se aprobó en sesión </w:t>
      </w:r>
      <w:r w:rsidR="00E96A57">
        <w:rPr>
          <w:rFonts w:ascii="Arial" w:hAnsi="Arial" w:cs="Arial"/>
          <w:sz w:val="22"/>
          <w:szCs w:val="22"/>
        </w:rPr>
        <w:t>extraordinaria</w:t>
      </w:r>
      <w:r w:rsidRPr="00E96A57">
        <w:rPr>
          <w:rFonts w:ascii="Arial" w:hAnsi="Arial" w:cs="Arial"/>
          <w:sz w:val="22"/>
          <w:szCs w:val="22"/>
        </w:rPr>
        <w:t xml:space="preserve"> efectuada el</w:t>
      </w:r>
      <w:r w:rsidR="00E96A57">
        <w:rPr>
          <w:rFonts w:ascii="Arial" w:hAnsi="Arial" w:cs="Arial"/>
          <w:sz w:val="22"/>
          <w:szCs w:val="22"/>
        </w:rPr>
        <w:t xml:space="preserve"> día treinta</w:t>
      </w:r>
      <w:r w:rsidRPr="00E96A57">
        <w:rPr>
          <w:rFonts w:ascii="Arial" w:hAnsi="Arial" w:cs="Arial"/>
          <w:sz w:val="22"/>
          <w:szCs w:val="22"/>
        </w:rPr>
        <w:t xml:space="preserve"> de </w:t>
      </w:r>
      <w:r w:rsidR="00E96A57">
        <w:rPr>
          <w:rFonts w:ascii="Arial" w:hAnsi="Arial" w:cs="Arial"/>
          <w:sz w:val="22"/>
          <w:szCs w:val="22"/>
        </w:rPr>
        <w:t>junio</w:t>
      </w:r>
      <w:r w:rsidRPr="00E96A57">
        <w:rPr>
          <w:rFonts w:ascii="Arial" w:hAnsi="Arial" w:cs="Arial"/>
          <w:sz w:val="22"/>
          <w:szCs w:val="22"/>
        </w:rPr>
        <w:t xml:space="preserve">  del año dos mil veinticinco, por votación</w:t>
      </w:r>
      <w:r w:rsidR="00E96A57">
        <w:rPr>
          <w:rFonts w:ascii="Arial" w:hAnsi="Arial" w:cs="Arial"/>
          <w:sz w:val="22"/>
          <w:szCs w:val="22"/>
        </w:rPr>
        <w:t xml:space="preserve"> unánime</w:t>
      </w:r>
      <w:r w:rsidRPr="00E96A57">
        <w:rPr>
          <w:rFonts w:ascii="Arial" w:hAnsi="Arial" w:cs="Arial"/>
          <w:sz w:val="22"/>
          <w:szCs w:val="22"/>
        </w:rPr>
        <w:t xml:space="preserve"> de la y los integrantes de la Junta Estatal Ejecutiva del Instituto Electoral y de Participación Ciudadana de Tabasco: </w:t>
      </w:r>
      <w:r w:rsidR="00E96A57">
        <w:rPr>
          <w:rFonts w:ascii="Arial" w:hAnsi="Arial" w:cs="Arial"/>
          <w:sz w:val="22"/>
          <w:szCs w:val="22"/>
        </w:rPr>
        <w:t>Mtro</w:t>
      </w:r>
      <w:r w:rsidRPr="00E96A57">
        <w:rPr>
          <w:rFonts w:ascii="Arial" w:hAnsi="Arial" w:cs="Arial"/>
          <w:sz w:val="22"/>
          <w:szCs w:val="22"/>
        </w:rPr>
        <w:t xml:space="preserve">. Paul Alejandro González </w:t>
      </w:r>
      <w:proofErr w:type="spellStart"/>
      <w:r w:rsidRPr="00E96A57">
        <w:rPr>
          <w:rFonts w:ascii="Arial" w:hAnsi="Arial" w:cs="Arial"/>
          <w:sz w:val="22"/>
          <w:szCs w:val="22"/>
        </w:rPr>
        <w:t>Torruco</w:t>
      </w:r>
      <w:proofErr w:type="spellEnd"/>
      <w:r w:rsidRPr="00E96A57">
        <w:rPr>
          <w:rFonts w:ascii="Arial" w:hAnsi="Arial" w:cs="Arial"/>
          <w:sz w:val="22"/>
          <w:szCs w:val="22"/>
        </w:rPr>
        <w:t>, Director de Administración; Lic. Ricardo Araiza González, Director de Organización Electoral y Educación Cívica, Lic. Jorge Alberto Zavala Frías, Secretario Ejecutivo y Mtra. Elizabeth Nava Gutiérrez, Presidenta de la Junta Estatal Ejecutiva.</w:t>
      </w:r>
    </w:p>
    <w:p w14:paraId="3DA7F9EF" w14:textId="27CAB522" w:rsidR="00E96A57" w:rsidRDefault="00E96A57" w:rsidP="000F6049">
      <w:pPr>
        <w:spacing w:line="288" w:lineRule="auto"/>
        <w:rPr>
          <w:rFonts w:ascii="Arial" w:hAnsi="Arial" w:cs="Arial"/>
          <w:sz w:val="22"/>
          <w:szCs w:val="22"/>
        </w:rPr>
      </w:pPr>
    </w:p>
    <w:p w14:paraId="26939080" w14:textId="77777777" w:rsidR="00E96A57" w:rsidRPr="00E96A57" w:rsidRDefault="00E96A57" w:rsidP="000F6049">
      <w:pPr>
        <w:spacing w:line="288" w:lineRule="auto"/>
        <w:rPr>
          <w:rFonts w:ascii="Arial" w:hAnsi="Arial" w:cs="Arial"/>
          <w:sz w:val="22"/>
          <w:szCs w:val="22"/>
        </w:rPr>
      </w:pPr>
    </w:p>
    <w:tbl>
      <w:tblPr>
        <w:tblStyle w:val="Tablaconcuadrcula"/>
        <w:tblW w:w="90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78"/>
        <w:gridCol w:w="4400"/>
      </w:tblGrid>
      <w:tr w:rsidR="00E96A57" w:rsidRPr="00E96A57" w14:paraId="58C7E23F" w14:textId="77777777" w:rsidTr="007A782A">
        <w:tc>
          <w:tcPr>
            <w:tcW w:w="4395" w:type="dxa"/>
          </w:tcPr>
          <w:p w14:paraId="3BC6F3F4" w14:textId="77777777" w:rsidR="000F6049" w:rsidRPr="00E96A57" w:rsidRDefault="000F6049" w:rsidP="007A782A">
            <w:pPr>
              <w:spacing w:before="480" w:after="0"/>
              <w:jc w:val="center"/>
              <w:rPr>
                <w:rFonts w:ascii="Arial" w:hAnsi="Arial" w:cs="Arial"/>
                <w:b/>
                <w:bCs/>
                <w:sz w:val="22"/>
                <w:szCs w:val="22"/>
              </w:rPr>
            </w:pPr>
            <w:r w:rsidRPr="00E96A57">
              <w:rPr>
                <w:rFonts w:ascii="Arial" w:hAnsi="Arial" w:cs="Arial"/>
                <w:b/>
                <w:bCs/>
                <w:sz w:val="22"/>
                <w:szCs w:val="22"/>
              </w:rPr>
              <w:t>MTRA. ELIZABETH NAVA GUTIÉRREZ</w:t>
            </w:r>
          </w:p>
          <w:p w14:paraId="5A89B154" w14:textId="77777777" w:rsidR="000F6049" w:rsidRPr="00E96A57" w:rsidRDefault="000F6049" w:rsidP="007A782A">
            <w:pPr>
              <w:spacing w:before="0" w:after="0"/>
              <w:jc w:val="center"/>
              <w:rPr>
                <w:rFonts w:ascii="Arial" w:hAnsi="Arial" w:cs="Arial"/>
                <w:b/>
                <w:bCs/>
                <w:sz w:val="22"/>
                <w:szCs w:val="22"/>
              </w:rPr>
            </w:pPr>
            <w:r w:rsidRPr="00E96A57">
              <w:rPr>
                <w:rFonts w:ascii="Arial" w:hAnsi="Arial" w:cs="Arial"/>
                <w:b/>
                <w:bCs/>
                <w:sz w:val="22"/>
                <w:szCs w:val="22"/>
              </w:rPr>
              <w:t>CONSEJERA PRESIDENTA</w:t>
            </w:r>
          </w:p>
        </w:tc>
        <w:tc>
          <w:tcPr>
            <w:tcW w:w="278" w:type="dxa"/>
          </w:tcPr>
          <w:p w14:paraId="6F64CD9D" w14:textId="77777777" w:rsidR="000F6049" w:rsidRPr="00E96A57" w:rsidRDefault="000F6049" w:rsidP="007A782A">
            <w:pPr>
              <w:spacing w:before="0" w:after="0"/>
              <w:jc w:val="center"/>
              <w:rPr>
                <w:rFonts w:ascii="Arial" w:hAnsi="Arial" w:cs="Arial"/>
                <w:b/>
                <w:bCs/>
                <w:sz w:val="22"/>
                <w:szCs w:val="22"/>
              </w:rPr>
            </w:pPr>
          </w:p>
        </w:tc>
        <w:tc>
          <w:tcPr>
            <w:tcW w:w="4400" w:type="dxa"/>
          </w:tcPr>
          <w:p w14:paraId="0930E1AC" w14:textId="77777777" w:rsidR="000F6049" w:rsidRPr="00E96A57" w:rsidRDefault="000F6049" w:rsidP="007A782A">
            <w:pPr>
              <w:spacing w:before="480" w:after="0"/>
              <w:jc w:val="center"/>
              <w:rPr>
                <w:rFonts w:ascii="Arial" w:hAnsi="Arial" w:cs="Arial"/>
                <w:b/>
                <w:bCs/>
                <w:sz w:val="22"/>
                <w:szCs w:val="22"/>
              </w:rPr>
            </w:pPr>
            <w:r w:rsidRPr="00E96A57">
              <w:rPr>
                <w:rFonts w:ascii="Arial" w:hAnsi="Arial" w:cs="Arial"/>
                <w:b/>
                <w:bCs/>
                <w:sz w:val="22"/>
                <w:szCs w:val="22"/>
              </w:rPr>
              <w:t>LIC. JORGE ALBERTO ZAVALA FRÍAS</w:t>
            </w:r>
          </w:p>
          <w:p w14:paraId="334E2AAC" w14:textId="77777777" w:rsidR="000F6049" w:rsidRPr="00E96A57" w:rsidRDefault="000F6049" w:rsidP="007A782A">
            <w:pPr>
              <w:spacing w:before="0" w:after="0"/>
              <w:jc w:val="center"/>
              <w:rPr>
                <w:rFonts w:ascii="Arial" w:hAnsi="Arial" w:cs="Arial"/>
                <w:b/>
                <w:bCs/>
                <w:sz w:val="22"/>
                <w:szCs w:val="22"/>
              </w:rPr>
            </w:pPr>
            <w:r w:rsidRPr="00E96A57">
              <w:rPr>
                <w:rFonts w:ascii="Arial" w:hAnsi="Arial" w:cs="Arial"/>
                <w:b/>
                <w:bCs/>
                <w:sz w:val="22"/>
                <w:szCs w:val="22"/>
              </w:rPr>
              <w:t>SECRETARIO EJECUTIVO</w:t>
            </w:r>
          </w:p>
        </w:tc>
      </w:tr>
    </w:tbl>
    <w:p w14:paraId="370600EC" w14:textId="77777777" w:rsidR="000F6049" w:rsidRPr="00E96A57" w:rsidRDefault="000F6049" w:rsidP="000F6049">
      <w:pPr>
        <w:rPr>
          <w:rFonts w:ascii="Arial" w:hAnsi="Arial" w:cs="Arial"/>
          <w:sz w:val="22"/>
          <w:szCs w:val="22"/>
        </w:rPr>
      </w:pPr>
      <w:bookmarkStart w:id="0" w:name="_GoBack"/>
      <w:bookmarkEnd w:id="0"/>
    </w:p>
    <w:sectPr w:rsidR="000F6049" w:rsidRPr="00E96A57" w:rsidSect="00E96A57">
      <w:headerReference w:type="default" r:id="rId7"/>
      <w:footerReference w:type="default" r:id="rId8"/>
      <w:pgSz w:w="12240" w:h="15840"/>
      <w:pgMar w:top="1417" w:right="146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EA1C8" w14:textId="77777777" w:rsidR="001B3889" w:rsidRDefault="001B3889" w:rsidP="004066A2">
      <w:pPr>
        <w:spacing w:before="0" w:after="0" w:line="240" w:lineRule="auto"/>
      </w:pPr>
      <w:r>
        <w:separator/>
      </w:r>
    </w:p>
  </w:endnote>
  <w:endnote w:type="continuationSeparator" w:id="0">
    <w:p w14:paraId="04DF5D2A" w14:textId="77777777" w:rsidR="001B3889" w:rsidRDefault="001B3889" w:rsidP="004066A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Exo">
    <w:altName w:val="Times New Roman"/>
    <w:charset w:val="00"/>
    <w:family w:val="auto"/>
    <w:pitch w:val="variable"/>
    <w:sig w:usb0="A00000FF" w:usb1="4000204B" w:usb2="00000000" w:usb3="00000000" w:csb0="00000193"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993366"/>
        <w:sz w:val="20"/>
        <w:szCs w:val="20"/>
      </w:rPr>
      <w:id w:val="-758751977"/>
      <w:docPartObj>
        <w:docPartGallery w:val="Page Numbers (Top of Page)"/>
        <w:docPartUnique/>
      </w:docPartObj>
    </w:sdtPr>
    <w:sdtEndPr/>
    <w:sdtContent>
      <w:p w14:paraId="1499C668" w14:textId="0A35A4C6" w:rsidR="004066A2" w:rsidRPr="00E96A57" w:rsidRDefault="004066A2" w:rsidP="004066A2">
        <w:pPr>
          <w:pStyle w:val="Piedepgina"/>
          <w:spacing w:before="120"/>
          <w:jc w:val="right"/>
          <w:rPr>
            <w:rFonts w:ascii="Arial" w:hAnsi="Arial" w:cs="Arial"/>
            <w:color w:val="993366"/>
            <w:sz w:val="20"/>
            <w:szCs w:val="20"/>
          </w:rPr>
        </w:pPr>
        <w:r w:rsidRPr="00E96A57">
          <w:rPr>
            <w:rFonts w:ascii="Arial" w:hAnsi="Arial" w:cs="Arial"/>
            <w:b/>
            <w:bCs/>
            <w:color w:val="993366"/>
          </w:rPr>
          <w:t xml:space="preserve">Página </w:t>
        </w:r>
        <w:r w:rsidRPr="00E96A57">
          <w:rPr>
            <w:rFonts w:ascii="Arial" w:hAnsi="Arial" w:cs="Arial"/>
            <w:b/>
            <w:bCs/>
            <w:color w:val="993366"/>
          </w:rPr>
          <w:fldChar w:fldCharType="begin"/>
        </w:r>
        <w:r w:rsidRPr="00E96A57">
          <w:rPr>
            <w:rFonts w:ascii="Arial" w:hAnsi="Arial" w:cs="Arial"/>
            <w:b/>
            <w:bCs/>
            <w:color w:val="993366"/>
          </w:rPr>
          <w:instrText>PAGE</w:instrText>
        </w:r>
        <w:r w:rsidRPr="00E96A57">
          <w:rPr>
            <w:rFonts w:ascii="Arial" w:hAnsi="Arial" w:cs="Arial"/>
            <w:b/>
            <w:bCs/>
            <w:color w:val="993366"/>
          </w:rPr>
          <w:fldChar w:fldCharType="separate"/>
        </w:r>
        <w:r w:rsidR="00E96A57">
          <w:rPr>
            <w:rFonts w:ascii="Arial" w:hAnsi="Arial" w:cs="Arial"/>
            <w:b/>
            <w:bCs/>
            <w:noProof/>
            <w:color w:val="993366"/>
          </w:rPr>
          <w:t>12</w:t>
        </w:r>
        <w:r w:rsidRPr="00E96A57">
          <w:rPr>
            <w:rFonts w:ascii="Arial" w:hAnsi="Arial" w:cs="Arial"/>
            <w:b/>
            <w:bCs/>
            <w:color w:val="993366"/>
          </w:rPr>
          <w:fldChar w:fldCharType="end"/>
        </w:r>
        <w:r w:rsidRPr="00E96A57">
          <w:rPr>
            <w:rFonts w:ascii="Arial" w:hAnsi="Arial" w:cs="Arial"/>
            <w:b/>
            <w:bCs/>
            <w:color w:val="993366"/>
          </w:rPr>
          <w:t xml:space="preserve"> | </w:t>
        </w:r>
        <w:r w:rsidRPr="00E96A57">
          <w:rPr>
            <w:rFonts w:ascii="Arial" w:hAnsi="Arial" w:cs="Arial"/>
            <w:b/>
            <w:bCs/>
            <w:color w:val="993366"/>
          </w:rPr>
          <w:fldChar w:fldCharType="begin"/>
        </w:r>
        <w:r w:rsidRPr="00E96A57">
          <w:rPr>
            <w:rFonts w:ascii="Arial" w:hAnsi="Arial" w:cs="Arial"/>
            <w:b/>
            <w:bCs/>
            <w:color w:val="993366"/>
          </w:rPr>
          <w:instrText>NUMPAGES</w:instrText>
        </w:r>
        <w:r w:rsidRPr="00E96A57">
          <w:rPr>
            <w:rFonts w:ascii="Arial" w:hAnsi="Arial" w:cs="Arial"/>
            <w:b/>
            <w:bCs/>
            <w:color w:val="993366"/>
          </w:rPr>
          <w:fldChar w:fldCharType="separate"/>
        </w:r>
        <w:r w:rsidR="00E96A57">
          <w:rPr>
            <w:rFonts w:ascii="Arial" w:hAnsi="Arial" w:cs="Arial"/>
            <w:b/>
            <w:bCs/>
            <w:noProof/>
            <w:color w:val="993366"/>
          </w:rPr>
          <w:t>12</w:t>
        </w:r>
        <w:r w:rsidRPr="00E96A57">
          <w:rPr>
            <w:rFonts w:ascii="Arial" w:hAnsi="Arial" w:cs="Arial"/>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D878C" w14:textId="77777777" w:rsidR="001B3889" w:rsidRDefault="001B3889" w:rsidP="004066A2">
      <w:pPr>
        <w:spacing w:before="0" w:after="0" w:line="240" w:lineRule="auto"/>
      </w:pPr>
      <w:r>
        <w:separator/>
      </w:r>
    </w:p>
  </w:footnote>
  <w:footnote w:type="continuationSeparator" w:id="0">
    <w:p w14:paraId="29EE4521" w14:textId="77777777" w:rsidR="001B3889" w:rsidRDefault="001B3889" w:rsidP="004066A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503"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843"/>
    </w:tblGrid>
    <w:tr w:rsidR="004066A2" w:rsidRPr="005E43CB" w14:paraId="35D44AD1" w14:textId="77777777" w:rsidTr="007A782A">
      <w:tc>
        <w:tcPr>
          <w:tcW w:w="1418" w:type="dxa"/>
        </w:tcPr>
        <w:p w14:paraId="357D5247" w14:textId="77777777" w:rsidR="004066A2" w:rsidRPr="005E43CB" w:rsidRDefault="004066A2" w:rsidP="004066A2">
          <w:pPr>
            <w:pStyle w:val="Encabezado"/>
            <w:ind w:left="-170"/>
            <w:jc w:val="left"/>
          </w:pPr>
          <w:r w:rsidRPr="005E43CB">
            <w:rPr>
              <w:b/>
              <w:noProof/>
              <w:sz w:val="32"/>
              <w:lang w:eastAsia="es-MX"/>
            </w:rPr>
            <w:drawing>
              <wp:inline distT="0" distB="0" distL="0" distR="0" wp14:anchorId="2C46FAF6" wp14:editId="3A166A56">
                <wp:extent cx="1014331" cy="1199403"/>
                <wp:effectExtent l="0" t="0" r="0" b="1270"/>
                <wp:docPr id="5" name="Imagen 5" descr="Dibujo animado de un animal con la boca abiert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620323" name="Imagen 1569620323" descr="Dibujo animado de un animal con la boca abierta&#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14:paraId="23CA3354" w14:textId="77777777" w:rsidR="004066A2" w:rsidRPr="00E96A57" w:rsidRDefault="004066A2" w:rsidP="004066A2">
          <w:pPr>
            <w:pStyle w:val="Encabezado"/>
            <w:spacing w:before="720"/>
            <w:jc w:val="center"/>
            <w:rPr>
              <w:rFonts w:ascii="Arial" w:hAnsi="Arial" w:cs="Arial"/>
              <w:b/>
              <w:bCs/>
              <w:sz w:val="25"/>
              <w:szCs w:val="25"/>
            </w:rPr>
          </w:pPr>
          <w:r w:rsidRPr="00E96A57">
            <w:rPr>
              <w:rFonts w:ascii="Arial" w:hAnsi="Arial" w:cs="Arial"/>
              <w:b/>
              <w:bCs/>
              <w:sz w:val="25"/>
              <w:szCs w:val="25"/>
            </w:rPr>
            <w:t>INSTITUTO ELECTORAL Y DE PARTICIPACIÓN CIUDADANA DE TABASCO</w:t>
          </w:r>
        </w:p>
        <w:p w14:paraId="1F1FE693" w14:textId="77777777" w:rsidR="004066A2" w:rsidRPr="005E43CB" w:rsidRDefault="004066A2" w:rsidP="004066A2">
          <w:pPr>
            <w:pStyle w:val="Encabezado"/>
            <w:jc w:val="center"/>
            <w:rPr>
              <w:sz w:val="25"/>
              <w:szCs w:val="25"/>
            </w:rPr>
          </w:pPr>
          <w:r w:rsidRPr="00E96A57">
            <w:rPr>
              <w:rFonts w:ascii="Arial" w:hAnsi="Arial" w:cs="Arial"/>
              <w:sz w:val="25"/>
              <w:szCs w:val="25"/>
            </w:rPr>
            <w:t>JUNTA ESTATAL EJECUTIVA</w:t>
          </w:r>
        </w:p>
      </w:tc>
      <w:tc>
        <w:tcPr>
          <w:tcW w:w="1843" w:type="dxa"/>
        </w:tcPr>
        <w:p w14:paraId="25DD4CB4" w14:textId="77777777" w:rsidR="004066A2" w:rsidRPr="005E43CB" w:rsidRDefault="004066A2" w:rsidP="004066A2">
          <w:pPr>
            <w:pStyle w:val="Encabezado"/>
            <w:spacing w:before="480"/>
          </w:pPr>
          <w:r>
            <w:rPr>
              <w:noProof/>
              <w:lang w:eastAsia="es-MX"/>
            </w:rPr>
            <w:drawing>
              <wp:inline distT="0" distB="0" distL="0" distR="0" wp14:anchorId="08FA3D36" wp14:editId="030AFD8A">
                <wp:extent cx="942975" cy="774065"/>
                <wp:effectExtent l="0" t="0" r="9525" b="6985"/>
                <wp:docPr id="6" name="Imagen 6" descr="Logotipo, Icon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107626" name="Imagen 1830107626" descr="Logotipo, Icono&#10;&#10;El contenido generado por IA puede ser incorrecto."/>
                        <pic:cNvPicPr/>
                      </pic:nvPicPr>
                      <pic:blipFill>
                        <a:blip r:embed="rId2" cstate="print">
                          <a:extLst>
                            <a:ext uri="{28A0092B-C50C-407E-A947-70E740481C1C}">
                              <a14:useLocalDpi xmlns:a14="http://schemas.microsoft.com/office/drawing/2010/main" val="0"/>
                            </a:ext>
                          </a:extLst>
                        </a:blip>
                        <a:stretch>
                          <a:fillRect/>
                        </a:stretch>
                      </pic:blipFill>
                      <pic:spPr>
                        <a:xfrm>
                          <a:off x="0" y="0"/>
                          <a:ext cx="942975" cy="774065"/>
                        </a:xfrm>
                        <a:prstGeom prst="rect">
                          <a:avLst/>
                        </a:prstGeom>
                      </pic:spPr>
                    </pic:pic>
                  </a:graphicData>
                </a:graphic>
              </wp:inline>
            </w:drawing>
          </w:r>
        </w:p>
      </w:tc>
    </w:tr>
  </w:tbl>
  <w:p w14:paraId="22AA6E27" w14:textId="1FCAF100" w:rsidR="004066A2" w:rsidRPr="00E96A57" w:rsidRDefault="00E96A57" w:rsidP="00E96A57">
    <w:pPr>
      <w:pStyle w:val="Encabezado"/>
      <w:jc w:val="right"/>
      <w:rPr>
        <w:rFonts w:ascii="Arial" w:hAnsi="Arial" w:cs="Arial"/>
        <w:b/>
      </w:rPr>
    </w:pPr>
    <w:proofErr w:type="spellStart"/>
    <w:r w:rsidRPr="00E96A57">
      <w:rPr>
        <w:rFonts w:ascii="Arial" w:hAnsi="Arial" w:cs="Arial"/>
        <w:b/>
      </w:rPr>
      <w:t>JEE</w:t>
    </w:r>
    <w:proofErr w:type="spellEnd"/>
    <w:r w:rsidRPr="00E96A57">
      <w:rPr>
        <w:rFonts w:ascii="Arial" w:hAnsi="Arial" w:cs="Arial"/>
        <w:b/>
      </w:rPr>
      <w:t>/2025/025</w:t>
    </w:r>
  </w:p>
  <w:p w14:paraId="478C41E6" w14:textId="77777777" w:rsidR="00E96A57" w:rsidRPr="00E96A57" w:rsidRDefault="00E96A57">
    <w:pPr>
      <w:pStyle w:val="Encabezado"/>
      <w:rPr>
        <w:rFonts w:ascii="Arial" w:hAnsi="Arial" w:cs="Aria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528ED"/>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0E161C17"/>
    <w:multiLevelType w:val="hybridMultilevel"/>
    <w:tmpl w:val="5664BA56"/>
    <w:lvl w:ilvl="0" w:tplc="E3AE3756">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7802A3"/>
    <w:multiLevelType w:val="hybridMultilevel"/>
    <w:tmpl w:val="94449D4A"/>
    <w:lvl w:ilvl="0" w:tplc="133C4C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DD31B66"/>
    <w:multiLevelType w:val="hybridMultilevel"/>
    <w:tmpl w:val="3138B6FC"/>
    <w:lvl w:ilvl="0" w:tplc="C004E948">
      <w:start w:val="1"/>
      <w:numFmt w:val="upp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87325F6"/>
    <w:multiLevelType w:val="hybridMultilevel"/>
    <w:tmpl w:val="CAE068D8"/>
    <w:lvl w:ilvl="0" w:tplc="1974C3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049"/>
    <w:rsid w:val="000F6049"/>
    <w:rsid w:val="001B3889"/>
    <w:rsid w:val="004066A2"/>
    <w:rsid w:val="005D4846"/>
    <w:rsid w:val="00AB0752"/>
    <w:rsid w:val="00DC426C"/>
    <w:rsid w:val="00E96A57"/>
    <w:rsid w:val="00F01A45"/>
    <w:rsid w:val="00F86D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E6423"/>
  <w15:chartTrackingRefBased/>
  <w15:docId w15:val="{DA0E6069-EA6C-4743-8DF0-18856E0D2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049"/>
    <w:pPr>
      <w:spacing w:before="240" w:after="240" w:line="276" w:lineRule="auto"/>
      <w:jc w:val="both"/>
    </w:pPr>
    <w:rPr>
      <w:rFonts w:ascii="Exo" w:hAnsi="Exo"/>
    </w:rPr>
  </w:style>
  <w:style w:type="paragraph" w:styleId="Ttulo1">
    <w:name w:val="heading 1"/>
    <w:basedOn w:val="Normal"/>
    <w:next w:val="Normal"/>
    <w:link w:val="Ttulo1Car"/>
    <w:uiPriority w:val="9"/>
    <w:qFormat/>
    <w:rsid w:val="000F6049"/>
    <w:pPr>
      <w:keepNext/>
      <w:keepLines/>
      <w:numPr>
        <w:numId w:val="5"/>
      </w:numPr>
      <w:spacing w:before="600"/>
      <w:jc w:val="center"/>
      <w:outlineLvl w:val="0"/>
    </w:pPr>
    <w:rPr>
      <w:rFonts w:eastAsiaTheme="majorEastAsia" w:cstheme="majorBidi"/>
      <w:b/>
      <w:bCs/>
      <w:color w:val="0F4761" w:themeColor="accent1" w:themeShade="BF"/>
      <w:sz w:val="28"/>
      <w:szCs w:val="28"/>
    </w:rPr>
  </w:style>
  <w:style w:type="paragraph" w:styleId="Ttulo2">
    <w:name w:val="heading 2"/>
    <w:basedOn w:val="Normal"/>
    <w:next w:val="Normal"/>
    <w:link w:val="Ttulo2Car"/>
    <w:uiPriority w:val="9"/>
    <w:unhideWhenUsed/>
    <w:qFormat/>
    <w:rsid w:val="000F6049"/>
    <w:pPr>
      <w:keepNext/>
      <w:keepLines/>
      <w:numPr>
        <w:ilvl w:val="1"/>
        <w:numId w:val="5"/>
      </w:numPr>
      <w:spacing w:before="480"/>
      <w:outlineLvl w:val="1"/>
    </w:pPr>
    <w:rPr>
      <w:rFonts w:eastAsiaTheme="majorEastAsia" w:cstheme="majorBidi"/>
      <w:b/>
      <w:bCs/>
      <w:color w:val="0F4761" w:themeColor="accent1" w:themeShade="BF"/>
    </w:rPr>
  </w:style>
  <w:style w:type="paragraph" w:styleId="Ttulo3">
    <w:name w:val="heading 3"/>
    <w:basedOn w:val="Normal"/>
    <w:next w:val="Normal"/>
    <w:link w:val="Ttulo3Car"/>
    <w:uiPriority w:val="9"/>
    <w:semiHidden/>
    <w:unhideWhenUsed/>
    <w:qFormat/>
    <w:rsid w:val="000F6049"/>
    <w:pPr>
      <w:keepNext/>
      <w:keepLines/>
      <w:numPr>
        <w:ilvl w:val="2"/>
        <w:numId w:val="5"/>
      </w:numPr>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F6049"/>
    <w:pPr>
      <w:keepNext/>
      <w:keepLines/>
      <w:numPr>
        <w:ilvl w:val="3"/>
        <w:numId w:val="5"/>
      </w:numPr>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F6049"/>
    <w:pPr>
      <w:keepNext/>
      <w:keepLines/>
      <w:numPr>
        <w:ilvl w:val="4"/>
        <w:numId w:val="5"/>
      </w:numPr>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F6049"/>
    <w:pPr>
      <w:keepNext/>
      <w:keepLines/>
      <w:numPr>
        <w:ilvl w:val="5"/>
        <w:numId w:val="5"/>
      </w:numPr>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F6049"/>
    <w:pPr>
      <w:keepNext/>
      <w:keepLines/>
      <w:numPr>
        <w:ilvl w:val="6"/>
        <w:numId w:val="5"/>
      </w:numPr>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F6049"/>
    <w:pPr>
      <w:keepNext/>
      <w:keepLines/>
      <w:numPr>
        <w:ilvl w:val="7"/>
        <w:numId w:val="5"/>
      </w:numPr>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F6049"/>
    <w:pPr>
      <w:keepNext/>
      <w:keepLines/>
      <w:numPr>
        <w:ilvl w:val="8"/>
        <w:numId w:val="5"/>
      </w:numPr>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F6049"/>
    <w:rPr>
      <w:rFonts w:ascii="Exo" w:eastAsiaTheme="majorEastAsia" w:hAnsi="Exo" w:cstheme="majorBidi"/>
      <w:b/>
      <w:bCs/>
      <w:color w:val="0F4761" w:themeColor="accent1" w:themeShade="BF"/>
      <w:sz w:val="28"/>
      <w:szCs w:val="28"/>
    </w:rPr>
  </w:style>
  <w:style w:type="character" w:customStyle="1" w:styleId="Ttulo2Car">
    <w:name w:val="Título 2 Car"/>
    <w:basedOn w:val="Fuentedeprrafopredeter"/>
    <w:link w:val="Ttulo2"/>
    <w:uiPriority w:val="9"/>
    <w:rsid w:val="000F6049"/>
    <w:rPr>
      <w:rFonts w:ascii="Exo" w:eastAsiaTheme="majorEastAsia" w:hAnsi="Exo" w:cstheme="majorBidi"/>
      <w:b/>
      <w:bCs/>
      <w:color w:val="0F4761" w:themeColor="accent1" w:themeShade="BF"/>
    </w:rPr>
  </w:style>
  <w:style w:type="character" w:customStyle="1" w:styleId="Ttulo3Car">
    <w:name w:val="Título 3 Car"/>
    <w:basedOn w:val="Fuentedeprrafopredeter"/>
    <w:link w:val="Ttulo3"/>
    <w:uiPriority w:val="9"/>
    <w:semiHidden/>
    <w:rsid w:val="000F604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F604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F604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F604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F604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F604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F6049"/>
    <w:rPr>
      <w:rFonts w:eastAsiaTheme="majorEastAsia" w:cstheme="majorBidi"/>
      <w:color w:val="272727" w:themeColor="text1" w:themeTint="D8"/>
    </w:rPr>
  </w:style>
  <w:style w:type="paragraph" w:styleId="Ttulo">
    <w:name w:val="Title"/>
    <w:basedOn w:val="Normal"/>
    <w:next w:val="Normal"/>
    <w:link w:val="TtuloCar"/>
    <w:uiPriority w:val="10"/>
    <w:qFormat/>
    <w:rsid w:val="000F60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F604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F604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F604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F6049"/>
    <w:pPr>
      <w:spacing w:before="160"/>
      <w:jc w:val="center"/>
    </w:pPr>
    <w:rPr>
      <w:i/>
      <w:iCs/>
      <w:color w:val="404040" w:themeColor="text1" w:themeTint="BF"/>
    </w:rPr>
  </w:style>
  <w:style w:type="character" w:customStyle="1" w:styleId="CitaCar">
    <w:name w:val="Cita Car"/>
    <w:basedOn w:val="Fuentedeprrafopredeter"/>
    <w:link w:val="Cita"/>
    <w:uiPriority w:val="29"/>
    <w:rsid w:val="000F6049"/>
    <w:rPr>
      <w:i/>
      <w:iCs/>
      <w:color w:val="404040" w:themeColor="text1" w:themeTint="BF"/>
    </w:rPr>
  </w:style>
  <w:style w:type="paragraph" w:styleId="Prrafodelista">
    <w:name w:val="List Paragraph"/>
    <w:basedOn w:val="Normal"/>
    <w:uiPriority w:val="34"/>
    <w:qFormat/>
    <w:rsid w:val="000F6049"/>
    <w:pPr>
      <w:ind w:left="720"/>
      <w:contextualSpacing/>
    </w:pPr>
  </w:style>
  <w:style w:type="character" w:styleId="nfasisintenso">
    <w:name w:val="Intense Emphasis"/>
    <w:basedOn w:val="Fuentedeprrafopredeter"/>
    <w:uiPriority w:val="21"/>
    <w:qFormat/>
    <w:rsid w:val="000F6049"/>
    <w:rPr>
      <w:i/>
      <w:iCs/>
      <w:color w:val="0F4761" w:themeColor="accent1" w:themeShade="BF"/>
    </w:rPr>
  </w:style>
  <w:style w:type="paragraph" w:styleId="Citadestacada">
    <w:name w:val="Intense Quote"/>
    <w:basedOn w:val="Normal"/>
    <w:next w:val="Normal"/>
    <w:link w:val="CitadestacadaCar"/>
    <w:uiPriority w:val="30"/>
    <w:qFormat/>
    <w:rsid w:val="000F60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F6049"/>
    <w:rPr>
      <w:i/>
      <w:iCs/>
      <w:color w:val="0F4761" w:themeColor="accent1" w:themeShade="BF"/>
    </w:rPr>
  </w:style>
  <w:style w:type="character" w:styleId="Referenciaintensa">
    <w:name w:val="Intense Reference"/>
    <w:basedOn w:val="Fuentedeprrafopredeter"/>
    <w:uiPriority w:val="32"/>
    <w:qFormat/>
    <w:rsid w:val="000F6049"/>
    <w:rPr>
      <w:b/>
      <w:bCs/>
      <w:smallCaps/>
      <w:color w:val="0F4761" w:themeColor="accent1" w:themeShade="BF"/>
      <w:spacing w:val="5"/>
    </w:rPr>
  </w:style>
  <w:style w:type="table" w:styleId="Tablaconcuadrcula">
    <w:name w:val="Table Grid"/>
    <w:basedOn w:val="Tablanormal"/>
    <w:uiPriority w:val="39"/>
    <w:rsid w:val="000F6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066A2"/>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4066A2"/>
    <w:rPr>
      <w:rFonts w:ascii="Exo" w:hAnsi="Exo"/>
    </w:rPr>
  </w:style>
  <w:style w:type="paragraph" w:styleId="Piedepgina">
    <w:name w:val="footer"/>
    <w:basedOn w:val="Normal"/>
    <w:link w:val="PiedepginaCar"/>
    <w:uiPriority w:val="99"/>
    <w:unhideWhenUsed/>
    <w:rsid w:val="004066A2"/>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4066A2"/>
    <w:rPr>
      <w:rFonts w:ascii="Exo" w:hAnsi="Exo"/>
    </w:rPr>
  </w:style>
  <w:style w:type="paragraph" w:styleId="Textodeglobo">
    <w:name w:val="Balloon Text"/>
    <w:basedOn w:val="Normal"/>
    <w:link w:val="TextodegloboCar"/>
    <w:uiPriority w:val="99"/>
    <w:semiHidden/>
    <w:unhideWhenUsed/>
    <w:rsid w:val="00E96A57"/>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6A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3689</Words>
  <Characters>20295</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 Leon</dc:creator>
  <cp:keywords/>
  <dc:description/>
  <cp:lastModifiedBy>Jaqueline del Carmen Carrillo Llergo</cp:lastModifiedBy>
  <cp:revision>5</cp:revision>
  <cp:lastPrinted>2025-07-11T21:54:00Z</cp:lastPrinted>
  <dcterms:created xsi:type="dcterms:W3CDTF">2025-07-11T16:04:00Z</dcterms:created>
  <dcterms:modified xsi:type="dcterms:W3CDTF">2025-07-11T21:54:00Z</dcterms:modified>
</cp:coreProperties>
</file>