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56681" w14:textId="7BAC05E8" w:rsidR="002830A3" w:rsidRPr="00437C39" w:rsidRDefault="00437C39" w:rsidP="002830A3">
      <w:pPr>
        <w:rPr>
          <w:rFonts w:ascii="Arial" w:hAnsi="Arial" w:cs="Arial"/>
          <w:b/>
          <w:bCs/>
        </w:rPr>
      </w:pPr>
      <w:r w:rsidRPr="00437C39">
        <w:rPr>
          <w:rFonts w:ascii="Arial" w:hAnsi="Arial" w:cs="Arial"/>
          <w:b/>
          <w:bCs/>
        </w:rPr>
        <w:t xml:space="preserve">ACUERDO QUE, A PROPUESTA DE LA SECRETARÍA EJECUTIVA, EMITE LA JUNTA ESTATAL EJECUTIVA DEL INSTITUTO ELECTORAL Y DE PARTICIPACIÓN CIUDADANA DE TABASCO POR EL QUE </w:t>
      </w:r>
      <w:bookmarkStart w:id="0" w:name="_Hlk203120593"/>
      <w:r w:rsidRPr="00437C39">
        <w:rPr>
          <w:rFonts w:ascii="Arial" w:hAnsi="Arial" w:cs="Arial"/>
          <w:b/>
          <w:bCs/>
        </w:rPr>
        <w:t xml:space="preserve">AUTORIZA EL EJERCICIO DE RECURSOS DEL PROGRAMA PRESUPUESTARIO </w:t>
      </w:r>
      <w:proofErr w:type="spellStart"/>
      <w:r w:rsidRPr="00437C39">
        <w:rPr>
          <w:rFonts w:ascii="Arial" w:hAnsi="Arial" w:cs="Arial"/>
          <w:b/>
          <w:bCs/>
        </w:rPr>
        <w:t>R004</w:t>
      </w:r>
      <w:proofErr w:type="spellEnd"/>
      <w:r w:rsidRPr="00437C39">
        <w:rPr>
          <w:rFonts w:ascii="Arial" w:hAnsi="Arial" w:cs="Arial"/>
          <w:b/>
          <w:bCs/>
        </w:rPr>
        <w:t xml:space="preserve">.- CONTINGENTE DEL </w:t>
      </w:r>
      <w:proofErr w:type="spellStart"/>
      <w:r w:rsidRPr="00437C39">
        <w:rPr>
          <w:rFonts w:ascii="Arial" w:hAnsi="Arial" w:cs="Arial"/>
          <w:b/>
          <w:bCs/>
        </w:rPr>
        <w:t>IEPC</w:t>
      </w:r>
      <w:proofErr w:type="spellEnd"/>
      <w:r w:rsidRPr="00437C39">
        <w:rPr>
          <w:rFonts w:ascii="Arial" w:hAnsi="Arial" w:cs="Arial"/>
          <w:b/>
          <w:bCs/>
        </w:rPr>
        <w:t xml:space="preserve"> TABASCO PARA EL PAGO DE LA COMPENSACIÓN AL PERSONAL QUE TERMINÓ LA RELACIÓN LABORAL CON EL PROPIO INSTITUTO</w:t>
      </w:r>
    </w:p>
    <w:bookmarkEnd w:id="0"/>
    <w:p w14:paraId="30B5EDC7" w14:textId="77777777" w:rsidR="002830A3" w:rsidRPr="00437C39" w:rsidRDefault="002830A3" w:rsidP="002830A3">
      <w:pPr>
        <w:rPr>
          <w:rFonts w:ascii="Arial" w:hAnsi="Arial" w:cs="Arial"/>
        </w:rPr>
      </w:pPr>
      <w:r w:rsidRPr="00437C39">
        <w:rPr>
          <w:rFonts w:ascii="Arial" w:hAnsi="Arial" w:cs="Arial"/>
          <w:sz w:val="22"/>
          <w:szCs w:val="22"/>
        </w:rPr>
        <w:t>Para efectos</w:t>
      </w:r>
      <w:r w:rsidRPr="00437C39">
        <w:rPr>
          <w:rFonts w:ascii="Arial" w:hAnsi="Arial" w:cs="Arial"/>
        </w:rPr>
        <w:t xml:space="preserve"> del presente acuerdo se usarán las abreviaturas y definiciones siguientes:</w:t>
      </w: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B0493A" w:rsidRPr="00437C39" w14:paraId="780659B5" w14:textId="77777777" w:rsidTr="007A782A">
        <w:trPr>
          <w:jc w:val="center"/>
        </w:trPr>
        <w:tc>
          <w:tcPr>
            <w:tcW w:w="2664" w:type="dxa"/>
            <w:vAlign w:val="center"/>
          </w:tcPr>
          <w:p w14:paraId="4E6FAA4F"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Consejo Estatal:</w:t>
            </w:r>
          </w:p>
        </w:tc>
        <w:tc>
          <w:tcPr>
            <w:tcW w:w="3998" w:type="dxa"/>
            <w:vAlign w:val="center"/>
          </w:tcPr>
          <w:p w14:paraId="2CE56953"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Consejo Estatal del Instituto Electoral y de Participación Ciudadana de Tabasco.</w:t>
            </w:r>
          </w:p>
        </w:tc>
      </w:tr>
      <w:tr w:rsidR="00B0493A" w:rsidRPr="00437C39" w14:paraId="6FBA9CB7" w14:textId="77777777" w:rsidTr="007A782A">
        <w:trPr>
          <w:jc w:val="center"/>
        </w:trPr>
        <w:tc>
          <w:tcPr>
            <w:tcW w:w="2664" w:type="dxa"/>
            <w:vAlign w:val="center"/>
          </w:tcPr>
          <w:p w14:paraId="26AC7CAD"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Constitución Federal:</w:t>
            </w:r>
          </w:p>
        </w:tc>
        <w:tc>
          <w:tcPr>
            <w:tcW w:w="3998" w:type="dxa"/>
            <w:vAlign w:val="center"/>
          </w:tcPr>
          <w:p w14:paraId="4237BF81"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Constitución Política de los Estados Unidos Mexicanos.</w:t>
            </w:r>
          </w:p>
        </w:tc>
      </w:tr>
      <w:tr w:rsidR="00B0493A" w:rsidRPr="00437C39" w14:paraId="32D7A1CB" w14:textId="77777777" w:rsidTr="007A782A">
        <w:trPr>
          <w:jc w:val="center"/>
        </w:trPr>
        <w:tc>
          <w:tcPr>
            <w:tcW w:w="2664" w:type="dxa"/>
            <w:vAlign w:val="center"/>
          </w:tcPr>
          <w:p w14:paraId="651B050D"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Constitución Local:</w:t>
            </w:r>
          </w:p>
        </w:tc>
        <w:tc>
          <w:tcPr>
            <w:tcW w:w="3998" w:type="dxa"/>
            <w:vAlign w:val="center"/>
          </w:tcPr>
          <w:p w14:paraId="589DA534"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Constitución Política del Estado Libre y Soberano de Tabasco.</w:t>
            </w:r>
          </w:p>
        </w:tc>
      </w:tr>
      <w:tr w:rsidR="00B0493A" w:rsidRPr="00437C39" w14:paraId="017CB0E7" w14:textId="77777777" w:rsidTr="007A782A">
        <w:trPr>
          <w:jc w:val="center"/>
        </w:trPr>
        <w:tc>
          <w:tcPr>
            <w:tcW w:w="2664" w:type="dxa"/>
            <w:vAlign w:val="center"/>
          </w:tcPr>
          <w:p w14:paraId="1566C3C9"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Dirección de Administración:</w:t>
            </w:r>
          </w:p>
        </w:tc>
        <w:tc>
          <w:tcPr>
            <w:tcW w:w="3998" w:type="dxa"/>
            <w:vAlign w:val="center"/>
          </w:tcPr>
          <w:p w14:paraId="2271C419"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Dirección de Administración del Instituto Electoral y de Participación Ciudadana de Tabasco.</w:t>
            </w:r>
          </w:p>
        </w:tc>
      </w:tr>
      <w:tr w:rsidR="00B0493A" w:rsidRPr="00437C39" w14:paraId="02BC7BE1" w14:textId="77777777" w:rsidTr="007A782A">
        <w:trPr>
          <w:jc w:val="center"/>
        </w:trPr>
        <w:tc>
          <w:tcPr>
            <w:tcW w:w="2664" w:type="dxa"/>
            <w:vAlign w:val="center"/>
          </w:tcPr>
          <w:p w14:paraId="279B3BC7"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Instituto:</w:t>
            </w:r>
          </w:p>
        </w:tc>
        <w:tc>
          <w:tcPr>
            <w:tcW w:w="3998" w:type="dxa"/>
            <w:vAlign w:val="center"/>
          </w:tcPr>
          <w:p w14:paraId="0950FB11"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Instituto Electoral y de Participación Ciudadana de Tabasco.</w:t>
            </w:r>
          </w:p>
        </w:tc>
      </w:tr>
      <w:tr w:rsidR="00B0493A" w:rsidRPr="00437C39" w14:paraId="28103FA8" w14:textId="77777777" w:rsidTr="007A782A">
        <w:trPr>
          <w:jc w:val="center"/>
        </w:trPr>
        <w:tc>
          <w:tcPr>
            <w:tcW w:w="2664" w:type="dxa"/>
            <w:vAlign w:val="center"/>
          </w:tcPr>
          <w:p w14:paraId="13E92784"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Junta Ejecutiva:</w:t>
            </w:r>
          </w:p>
        </w:tc>
        <w:tc>
          <w:tcPr>
            <w:tcW w:w="3998" w:type="dxa"/>
            <w:vAlign w:val="center"/>
          </w:tcPr>
          <w:p w14:paraId="729DBAB2"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Junta Estatal Ejecutiva del Instituto Electoral y de Participación Ciudadana de Tabasco.</w:t>
            </w:r>
          </w:p>
        </w:tc>
      </w:tr>
      <w:tr w:rsidR="00B0493A" w:rsidRPr="00437C39" w14:paraId="225A6503" w14:textId="77777777" w:rsidTr="007A782A">
        <w:trPr>
          <w:jc w:val="center"/>
        </w:trPr>
        <w:tc>
          <w:tcPr>
            <w:tcW w:w="2664" w:type="dxa"/>
            <w:vAlign w:val="center"/>
          </w:tcPr>
          <w:p w14:paraId="1266CB01"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Ley de Remuneraciones:</w:t>
            </w:r>
          </w:p>
        </w:tc>
        <w:tc>
          <w:tcPr>
            <w:tcW w:w="3998" w:type="dxa"/>
            <w:vAlign w:val="center"/>
          </w:tcPr>
          <w:p w14:paraId="0C8696F8"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Ley de Remuneraciones de los Servidores Públicos del Estado de Tabasco y sus Municipios.</w:t>
            </w:r>
          </w:p>
        </w:tc>
      </w:tr>
      <w:tr w:rsidR="00B0493A" w:rsidRPr="00437C39" w14:paraId="0A608F01" w14:textId="77777777" w:rsidTr="007A782A">
        <w:trPr>
          <w:jc w:val="center"/>
        </w:trPr>
        <w:tc>
          <w:tcPr>
            <w:tcW w:w="2664" w:type="dxa"/>
            <w:vAlign w:val="center"/>
          </w:tcPr>
          <w:p w14:paraId="00E1F16C" w14:textId="77777777" w:rsidR="002830A3" w:rsidRPr="00437C39" w:rsidRDefault="002830A3" w:rsidP="007A782A">
            <w:pPr>
              <w:spacing w:before="120" w:after="120"/>
              <w:jc w:val="right"/>
              <w:rPr>
                <w:rFonts w:ascii="Arial" w:hAnsi="Arial" w:cs="Arial"/>
                <w:b/>
                <w:sz w:val="20"/>
                <w:szCs w:val="20"/>
              </w:rPr>
            </w:pPr>
            <w:r w:rsidRPr="00437C39">
              <w:rPr>
                <w:rFonts w:ascii="Arial" w:hAnsi="Arial" w:cs="Arial"/>
                <w:b/>
                <w:sz w:val="20"/>
                <w:szCs w:val="20"/>
              </w:rPr>
              <w:t>Ley Electoral:</w:t>
            </w:r>
          </w:p>
        </w:tc>
        <w:tc>
          <w:tcPr>
            <w:tcW w:w="3998" w:type="dxa"/>
            <w:vAlign w:val="center"/>
          </w:tcPr>
          <w:p w14:paraId="76F75ABA" w14:textId="77777777" w:rsidR="002830A3" w:rsidRPr="00437C39" w:rsidRDefault="002830A3" w:rsidP="007A782A">
            <w:pPr>
              <w:spacing w:before="120" w:after="120"/>
              <w:rPr>
                <w:rFonts w:ascii="Arial" w:hAnsi="Arial" w:cs="Arial"/>
                <w:sz w:val="20"/>
                <w:szCs w:val="20"/>
              </w:rPr>
            </w:pPr>
            <w:r w:rsidRPr="00437C39">
              <w:rPr>
                <w:rFonts w:ascii="Arial" w:hAnsi="Arial" w:cs="Arial"/>
                <w:sz w:val="20"/>
                <w:szCs w:val="20"/>
              </w:rPr>
              <w:t>Ley Electoral y de Partidos Políticos del Estado de Tabasco.</w:t>
            </w:r>
          </w:p>
        </w:tc>
      </w:tr>
    </w:tbl>
    <w:p w14:paraId="263B19FF" w14:textId="77777777" w:rsidR="002830A3" w:rsidRPr="00437C39" w:rsidRDefault="002830A3" w:rsidP="00A62A4D">
      <w:pPr>
        <w:pStyle w:val="Ttulo1"/>
        <w:rPr>
          <w:rFonts w:ascii="Arial" w:hAnsi="Arial" w:cs="Arial"/>
          <w:sz w:val="24"/>
          <w:szCs w:val="24"/>
        </w:rPr>
      </w:pPr>
      <w:r w:rsidRPr="00437C39">
        <w:rPr>
          <w:rFonts w:ascii="Arial" w:hAnsi="Arial" w:cs="Arial"/>
          <w:sz w:val="24"/>
          <w:szCs w:val="24"/>
        </w:rPr>
        <w:lastRenderedPageBreak/>
        <w:t>Antecedentes</w:t>
      </w:r>
    </w:p>
    <w:p w14:paraId="44611478"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Fines del Instituto</w:t>
      </w:r>
    </w:p>
    <w:p w14:paraId="5B5B0859" w14:textId="77777777" w:rsidR="002830A3" w:rsidRPr="00437C39" w:rsidRDefault="002830A3" w:rsidP="002830A3">
      <w:pPr>
        <w:rPr>
          <w:rFonts w:ascii="Arial" w:hAnsi="Arial" w:cs="Arial"/>
          <w:sz w:val="22"/>
          <w:szCs w:val="22"/>
        </w:rPr>
      </w:pPr>
      <w:r w:rsidRPr="00437C39">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E5C267B" w14:textId="77777777" w:rsidR="002830A3" w:rsidRPr="00437C39" w:rsidRDefault="002830A3" w:rsidP="002830A3">
      <w:pPr>
        <w:rPr>
          <w:rFonts w:ascii="Arial" w:hAnsi="Arial" w:cs="Arial"/>
          <w:sz w:val="22"/>
          <w:szCs w:val="22"/>
        </w:rPr>
      </w:pPr>
      <w:r w:rsidRPr="00437C39">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403D28F5" w14:textId="77777777" w:rsidR="002830A3" w:rsidRPr="00437C39" w:rsidRDefault="002830A3" w:rsidP="002830A3">
      <w:pPr>
        <w:rPr>
          <w:rFonts w:ascii="Arial" w:hAnsi="Arial" w:cs="Arial"/>
          <w:sz w:val="22"/>
          <w:szCs w:val="22"/>
        </w:rPr>
      </w:pPr>
      <w:r w:rsidRPr="00437C39">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0559048B"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Integración del órgano superior de dirección</w:t>
      </w:r>
    </w:p>
    <w:p w14:paraId="430FEB30" w14:textId="77777777" w:rsidR="002830A3" w:rsidRPr="00437C39" w:rsidRDefault="002830A3" w:rsidP="002830A3">
      <w:pPr>
        <w:rPr>
          <w:rFonts w:ascii="Arial" w:hAnsi="Arial" w:cs="Arial"/>
          <w:sz w:val="22"/>
          <w:szCs w:val="22"/>
        </w:rPr>
      </w:pPr>
      <w:r w:rsidRPr="00437C39">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4BE6E19" w14:textId="77777777" w:rsidR="002830A3" w:rsidRPr="00437C39" w:rsidRDefault="002830A3" w:rsidP="002830A3">
      <w:pPr>
        <w:rPr>
          <w:rFonts w:ascii="Arial" w:hAnsi="Arial" w:cs="Arial"/>
          <w:sz w:val="22"/>
          <w:szCs w:val="22"/>
        </w:rPr>
      </w:pPr>
      <w:r w:rsidRPr="00437C39">
        <w:rPr>
          <w:rFonts w:ascii="Arial" w:hAnsi="Arial" w:cs="Arial"/>
          <w:sz w:val="22"/>
          <w:szCs w:val="22"/>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89290DF" w14:textId="77777777" w:rsidR="002830A3" w:rsidRPr="00437C39" w:rsidRDefault="002830A3" w:rsidP="002830A3">
      <w:pPr>
        <w:rPr>
          <w:rFonts w:ascii="Arial" w:hAnsi="Arial" w:cs="Arial"/>
          <w:sz w:val="22"/>
          <w:szCs w:val="22"/>
        </w:rPr>
      </w:pPr>
      <w:r w:rsidRPr="00437C39">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9CC820C"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Órganos centrales del Instituto</w:t>
      </w:r>
    </w:p>
    <w:p w14:paraId="55A5C154" w14:textId="77777777" w:rsidR="002830A3" w:rsidRPr="00437C39" w:rsidRDefault="002830A3" w:rsidP="002830A3">
      <w:pPr>
        <w:rPr>
          <w:rFonts w:ascii="Arial" w:hAnsi="Arial" w:cs="Arial"/>
          <w:sz w:val="22"/>
          <w:szCs w:val="22"/>
        </w:rPr>
      </w:pPr>
      <w:r w:rsidRPr="00437C39">
        <w:rPr>
          <w:rFonts w:ascii="Arial" w:hAnsi="Arial" w:cs="Arial"/>
          <w:sz w:val="22"/>
          <w:szCs w:val="22"/>
        </w:rPr>
        <w:t>De acuerdo con el artículo 105 numeral 1 de la Ley Electoral los órganos centrales del Instituto son los siguientes:</w:t>
      </w:r>
    </w:p>
    <w:p w14:paraId="52F68B7B" w14:textId="77777777" w:rsidR="002830A3" w:rsidRPr="00437C39" w:rsidRDefault="002830A3" w:rsidP="002830A3">
      <w:pPr>
        <w:pStyle w:val="Prrafodelista"/>
        <w:numPr>
          <w:ilvl w:val="0"/>
          <w:numId w:val="1"/>
        </w:numPr>
        <w:rPr>
          <w:rFonts w:ascii="Arial" w:hAnsi="Arial" w:cs="Arial"/>
          <w:sz w:val="22"/>
          <w:szCs w:val="22"/>
        </w:rPr>
      </w:pPr>
      <w:r w:rsidRPr="00437C39">
        <w:rPr>
          <w:rFonts w:ascii="Arial" w:hAnsi="Arial" w:cs="Arial"/>
          <w:sz w:val="22"/>
          <w:szCs w:val="22"/>
        </w:rPr>
        <w:t>Consejo Estatal;</w:t>
      </w:r>
    </w:p>
    <w:p w14:paraId="5751D0F6" w14:textId="77777777" w:rsidR="002830A3" w:rsidRPr="00437C39" w:rsidRDefault="002830A3" w:rsidP="002830A3">
      <w:pPr>
        <w:pStyle w:val="Prrafodelista"/>
        <w:numPr>
          <w:ilvl w:val="0"/>
          <w:numId w:val="1"/>
        </w:numPr>
        <w:rPr>
          <w:rFonts w:ascii="Arial" w:hAnsi="Arial" w:cs="Arial"/>
          <w:sz w:val="22"/>
          <w:szCs w:val="22"/>
        </w:rPr>
      </w:pPr>
      <w:r w:rsidRPr="00437C39">
        <w:rPr>
          <w:rFonts w:ascii="Arial" w:hAnsi="Arial" w:cs="Arial"/>
          <w:sz w:val="22"/>
          <w:szCs w:val="22"/>
        </w:rPr>
        <w:t>Presidencia del Consejo Estatal;</w:t>
      </w:r>
    </w:p>
    <w:p w14:paraId="78CA610E" w14:textId="77777777" w:rsidR="002830A3" w:rsidRPr="00437C39" w:rsidRDefault="002830A3" w:rsidP="002830A3">
      <w:pPr>
        <w:pStyle w:val="Prrafodelista"/>
        <w:numPr>
          <w:ilvl w:val="0"/>
          <w:numId w:val="1"/>
        </w:numPr>
        <w:rPr>
          <w:rFonts w:ascii="Arial" w:hAnsi="Arial" w:cs="Arial"/>
          <w:sz w:val="22"/>
          <w:szCs w:val="22"/>
        </w:rPr>
      </w:pPr>
      <w:r w:rsidRPr="00437C39">
        <w:rPr>
          <w:rFonts w:ascii="Arial" w:hAnsi="Arial" w:cs="Arial"/>
          <w:sz w:val="22"/>
          <w:szCs w:val="22"/>
        </w:rPr>
        <w:t>Junta Estatal Ejecutiva;</w:t>
      </w:r>
    </w:p>
    <w:p w14:paraId="06FA4150" w14:textId="77777777" w:rsidR="002830A3" w:rsidRPr="00437C39" w:rsidRDefault="002830A3" w:rsidP="002830A3">
      <w:pPr>
        <w:pStyle w:val="Prrafodelista"/>
        <w:numPr>
          <w:ilvl w:val="0"/>
          <w:numId w:val="1"/>
        </w:numPr>
        <w:rPr>
          <w:rFonts w:ascii="Arial" w:hAnsi="Arial" w:cs="Arial"/>
          <w:sz w:val="22"/>
          <w:szCs w:val="22"/>
        </w:rPr>
      </w:pPr>
      <w:r w:rsidRPr="00437C39">
        <w:rPr>
          <w:rFonts w:ascii="Arial" w:hAnsi="Arial" w:cs="Arial"/>
          <w:sz w:val="22"/>
          <w:szCs w:val="22"/>
        </w:rPr>
        <w:t>Secretaría Ejecutiva, y</w:t>
      </w:r>
    </w:p>
    <w:p w14:paraId="49A84AD7" w14:textId="77777777" w:rsidR="002830A3" w:rsidRPr="00437C39" w:rsidRDefault="002830A3" w:rsidP="002830A3">
      <w:pPr>
        <w:pStyle w:val="Prrafodelista"/>
        <w:numPr>
          <w:ilvl w:val="0"/>
          <w:numId w:val="1"/>
        </w:numPr>
        <w:rPr>
          <w:rFonts w:ascii="Arial" w:hAnsi="Arial" w:cs="Arial"/>
          <w:sz w:val="22"/>
          <w:szCs w:val="22"/>
        </w:rPr>
      </w:pPr>
      <w:r w:rsidRPr="00437C39">
        <w:rPr>
          <w:rFonts w:ascii="Arial" w:hAnsi="Arial" w:cs="Arial"/>
          <w:sz w:val="22"/>
          <w:szCs w:val="22"/>
        </w:rPr>
        <w:t>Órgano Técnico de Fiscalización.</w:t>
      </w:r>
    </w:p>
    <w:p w14:paraId="584BFD76"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Integración de la Junta Ejecutiva</w:t>
      </w:r>
    </w:p>
    <w:p w14:paraId="76476C29" w14:textId="77777777" w:rsidR="002830A3" w:rsidRPr="00437C39" w:rsidRDefault="002830A3" w:rsidP="002830A3">
      <w:pPr>
        <w:rPr>
          <w:rFonts w:ascii="Arial" w:hAnsi="Arial" w:cs="Arial"/>
          <w:sz w:val="22"/>
          <w:szCs w:val="22"/>
        </w:rPr>
      </w:pPr>
      <w:r w:rsidRPr="00437C39">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2D0D47FF" w14:textId="6728F735" w:rsidR="002830A3" w:rsidRDefault="002830A3" w:rsidP="002830A3">
      <w:pPr>
        <w:rPr>
          <w:rFonts w:ascii="Arial" w:hAnsi="Arial" w:cs="Arial"/>
          <w:sz w:val="22"/>
          <w:szCs w:val="22"/>
        </w:rPr>
      </w:pPr>
      <w:r w:rsidRPr="00437C39">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29A09C6C" w14:textId="77777777" w:rsidR="00437C39" w:rsidRPr="00437C39" w:rsidRDefault="00437C39" w:rsidP="002830A3">
      <w:pPr>
        <w:rPr>
          <w:rFonts w:ascii="Arial" w:hAnsi="Arial" w:cs="Arial"/>
          <w:sz w:val="22"/>
          <w:szCs w:val="22"/>
        </w:rPr>
      </w:pPr>
    </w:p>
    <w:p w14:paraId="718FD913"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lastRenderedPageBreak/>
        <w:t xml:space="preserve">Reforma Constitucional </w:t>
      </w:r>
    </w:p>
    <w:p w14:paraId="3687AD22" w14:textId="77777777" w:rsidR="002830A3" w:rsidRPr="00437C39" w:rsidRDefault="002830A3" w:rsidP="002830A3">
      <w:pPr>
        <w:rPr>
          <w:rFonts w:ascii="Arial" w:hAnsi="Arial" w:cs="Arial"/>
          <w:sz w:val="22"/>
          <w:szCs w:val="22"/>
        </w:rPr>
      </w:pPr>
      <w:r w:rsidRPr="00437C39">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0E09B551" w14:textId="77777777" w:rsidR="002830A3" w:rsidRPr="00437C39" w:rsidRDefault="002830A3" w:rsidP="002830A3">
      <w:pPr>
        <w:rPr>
          <w:rFonts w:ascii="Arial" w:hAnsi="Arial" w:cs="Arial"/>
          <w:sz w:val="22"/>
          <w:szCs w:val="22"/>
        </w:rPr>
      </w:pPr>
      <w:r w:rsidRPr="00437C39">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45740059"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Aprobación del Presupuesto Anual correspondiente al ejercicio 2025</w:t>
      </w:r>
    </w:p>
    <w:p w14:paraId="0E3E40F5" w14:textId="77777777" w:rsidR="002830A3" w:rsidRPr="00437C39" w:rsidRDefault="002830A3" w:rsidP="002830A3">
      <w:pPr>
        <w:rPr>
          <w:rFonts w:ascii="Arial" w:hAnsi="Arial" w:cs="Arial"/>
          <w:sz w:val="22"/>
          <w:szCs w:val="22"/>
        </w:rPr>
      </w:pPr>
      <w:r w:rsidRPr="00437C39">
        <w:rPr>
          <w:rFonts w:ascii="Arial" w:hAnsi="Arial" w:cs="Arial"/>
          <w:sz w:val="22"/>
          <w:szCs w:val="22"/>
        </w:rPr>
        <w:t xml:space="preserve">El 18 de diciembre de 2024, se publicó en la Edición 8586 del Periódico Oficial del Estado el decreto 034 relativo al Presupuesto Anual de Egresos aprobado por el H. Congreso del Estado de Tabasco, correspondiente al ejercicio 2025, el cual contiene entre otros aspectos, la política de gasto de los órganos autónomos. </w:t>
      </w:r>
    </w:p>
    <w:p w14:paraId="054EBCB1"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Presupuesto del Instituto correspondiente al ejercicio 2025</w:t>
      </w:r>
    </w:p>
    <w:p w14:paraId="38A982EE" w14:textId="77777777" w:rsidR="002830A3" w:rsidRPr="00437C39" w:rsidRDefault="002830A3" w:rsidP="002830A3">
      <w:pPr>
        <w:rPr>
          <w:rFonts w:ascii="Arial" w:hAnsi="Arial" w:cs="Arial"/>
          <w:sz w:val="22"/>
          <w:szCs w:val="22"/>
        </w:rPr>
      </w:pPr>
      <w:r w:rsidRPr="00437C39">
        <w:rPr>
          <w:rFonts w:ascii="Arial" w:hAnsi="Arial" w:cs="Arial"/>
          <w:sz w:val="22"/>
          <w:szCs w:val="22"/>
        </w:rPr>
        <w:t xml:space="preserve">De conformidad con el Presupuesto antes mencionado, el H. Congreso del Estado, para el ejercicio 2025 asignó al Instituto recursos por la cantidad de $194’440,981.00 (ciento noventa y cuatro millones novecientos ochenta y un mil pesos 00/100), cantidad que incluye el gasto previsto para el financiamiento público de los partidos políticos con derecho a éste. </w:t>
      </w:r>
    </w:p>
    <w:p w14:paraId="600D9F24"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Reforma a la Ley Electoral</w:t>
      </w:r>
    </w:p>
    <w:p w14:paraId="059F03DF" w14:textId="77777777" w:rsidR="002830A3" w:rsidRPr="00437C39" w:rsidRDefault="002830A3" w:rsidP="002830A3">
      <w:pPr>
        <w:rPr>
          <w:rFonts w:ascii="Arial" w:hAnsi="Arial" w:cs="Arial"/>
          <w:sz w:val="22"/>
          <w:szCs w:val="22"/>
        </w:rPr>
      </w:pPr>
      <w:r w:rsidRPr="00437C39">
        <w:rPr>
          <w:rFonts w:ascii="Arial" w:hAnsi="Arial" w:cs="Arial"/>
          <w:sz w:val="22"/>
          <w:szCs w:val="22"/>
        </w:rPr>
        <w:t xml:space="preserve">El 18 de enero de 2025, se publicó en el Periódico Oficial del Estado de Tabasco, el decreto 083, mediante el cual, el H. Congreso del Estado reformó los artículos 1 fracción IV, 101 fracción IV, 115 numeral 1 fracciones XXXVIII y XXXIX, 116 fracción III, 127 </w:t>
      </w:r>
      <w:r w:rsidRPr="00437C39">
        <w:rPr>
          <w:rFonts w:ascii="Arial" w:hAnsi="Arial" w:cs="Arial"/>
          <w:sz w:val="22"/>
          <w:szCs w:val="22"/>
        </w:rPr>
        <w:lastRenderedPageBreak/>
        <w:t>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130B59B9" w14:textId="589F273D"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 xml:space="preserve">Creación del Programa Contingente del </w:t>
      </w:r>
      <w:proofErr w:type="spellStart"/>
      <w:r w:rsidRPr="00437C39">
        <w:rPr>
          <w:rFonts w:ascii="Arial" w:hAnsi="Arial" w:cs="Arial"/>
          <w:color w:val="auto"/>
          <w:sz w:val="22"/>
          <w:szCs w:val="22"/>
        </w:rPr>
        <w:t>IEPC</w:t>
      </w:r>
      <w:proofErr w:type="spellEnd"/>
      <w:r w:rsidRPr="00437C39">
        <w:rPr>
          <w:rFonts w:ascii="Arial" w:hAnsi="Arial" w:cs="Arial"/>
          <w:color w:val="auto"/>
          <w:sz w:val="22"/>
          <w:szCs w:val="22"/>
        </w:rPr>
        <w:t xml:space="preserve"> Tabasco</w:t>
      </w:r>
    </w:p>
    <w:p w14:paraId="7FDF8C35" w14:textId="01AFBF53" w:rsidR="002830A3" w:rsidRPr="00437C39" w:rsidRDefault="002830A3" w:rsidP="002830A3">
      <w:pPr>
        <w:rPr>
          <w:rFonts w:ascii="Arial" w:hAnsi="Arial" w:cs="Arial"/>
          <w:sz w:val="22"/>
          <w:szCs w:val="22"/>
        </w:rPr>
      </w:pPr>
      <w:r w:rsidRPr="00437C39">
        <w:rPr>
          <w:rFonts w:ascii="Arial" w:hAnsi="Arial" w:cs="Arial"/>
          <w:sz w:val="22"/>
          <w:szCs w:val="22"/>
        </w:rPr>
        <w:t>El 24 de enero de 202</w:t>
      </w:r>
      <w:r w:rsidR="00B00573" w:rsidRPr="00437C39">
        <w:rPr>
          <w:rFonts w:ascii="Arial" w:hAnsi="Arial" w:cs="Arial"/>
          <w:sz w:val="22"/>
          <w:szCs w:val="22"/>
        </w:rPr>
        <w:t>5</w:t>
      </w:r>
      <w:r w:rsidRPr="00437C39">
        <w:rPr>
          <w:rFonts w:ascii="Arial" w:hAnsi="Arial" w:cs="Arial"/>
          <w:sz w:val="22"/>
          <w:szCs w:val="22"/>
        </w:rPr>
        <w:t xml:space="preserve">, mediante acuerdo </w:t>
      </w:r>
      <w:proofErr w:type="spellStart"/>
      <w:r w:rsidRPr="00437C39">
        <w:rPr>
          <w:rFonts w:ascii="Arial" w:hAnsi="Arial" w:cs="Arial"/>
          <w:sz w:val="22"/>
          <w:szCs w:val="22"/>
        </w:rPr>
        <w:t>JEE</w:t>
      </w:r>
      <w:proofErr w:type="spellEnd"/>
      <w:r w:rsidRPr="00437C39">
        <w:rPr>
          <w:rFonts w:ascii="Arial" w:hAnsi="Arial" w:cs="Arial"/>
          <w:sz w:val="22"/>
          <w:szCs w:val="22"/>
        </w:rPr>
        <w:t xml:space="preserve">/2025/001, aprobó la creación del Programa Contingente del </w:t>
      </w:r>
      <w:proofErr w:type="spellStart"/>
      <w:r w:rsidRPr="00437C39">
        <w:rPr>
          <w:rFonts w:ascii="Arial" w:hAnsi="Arial" w:cs="Arial"/>
          <w:sz w:val="22"/>
          <w:szCs w:val="22"/>
        </w:rPr>
        <w:t>IEPC</w:t>
      </w:r>
      <w:proofErr w:type="spellEnd"/>
      <w:r w:rsidRPr="00437C39">
        <w:rPr>
          <w:rFonts w:ascii="Arial" w:hAnsi="Arial" w:cs="Arial"/>
          <w:sz w:val="22"/>
          <w:szCs w:val="22"/>
        </w:rPr>
        <w:t xml:space="preserve"> Tabasco con el propósito de satisfacer las necesidades y requerimientos, motivados y justificados para llevar a cabo las actividades del propio Instituto, que no cuentan con techo presupuestal y/o se consideran extraordinarias.</w:t>
      </w:r>
    </w:p>
    <w:p w14:paraId="69940BD2" w14:textId="77777777" w:rsidR="002830A3" w:rsidRPr="00437C39" w:rsidRDefault="002830A3" w:rsidP="002830A3">
      <w:pPr>
        <w:pStyle w:val="Ttulo1"/>
        <w:rPr>
          <w:rFonts w:ascii="Arial" w:hAnsi="Arial" w:cs="Arial"/>
          <w:sz w:val="24"/>
          <w:szCs w:val="24"/>
        </w:rPr>
      </w:pPr>
      <w:r w:rsidRPr="00437C39">
        <w:rPr>
          <w:rFonts w:ascii="Arial" w:hAnsi="Arial" w:cs="Arial"/>
          <w:sz w:val="24"/>
          <w:szCs w:val="24"/>
        </w:rPr>
        <w:t>Considerando</w:t>
      </w:r>
    </w:p>
    <w:p w14:paraId="6F965579"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Competencia de la Junta Ejecutiva</w:t>
      </w:r>
    </w:p>
    <w:p w14:paraId="7559E928" w14:textId="77777777" w:rsidR="002830A3" w:rsidRPr="00437C39" w:rsidRDefault="002830A3" w:rsidP="002830A3">
      <w:pPr>
        <w:rPr>
          <w:rFonts w:ascii="Arial" w:hAnsi="Arial" w:cs="Arial"/>
          <w:sz w:val="22"/>
          <w:szCs w:val="22"/>
        </w:rPr>
      </w:pPr>
      <w:r w:rsidRPr="00437C39">
        <w:rPr>
          <w:rFonts w:ascii="Arial" w:hAnsi="Arial" w:cs="Arial"/>
          <w:sz w:val="22"/>
          <w:szCs w:val="22"/>
        </w:rPr>
        <w:t>Que, el artículo 119 numeral 1, fracción II de la Ley Electoral establece que, corresponde a la Junta Ejecutiva, fijar los procedimientos administrativos, conforme a las políticas y programas generales del Instituto.</w:t>
      </w:r>
    </w:p>
    <w:p w14:paraId="15529A72" w14:textId="77777777" w:rsidR="002830A3" w:rsidRPr="00437C39" w:rsidRDefault="002830A3" w:rsidP="002830A3">
      <w:pPr>
        <w:rPr>
          <w:rFonts w:ascii="Arial" w:hAnsi="Arial" w:cs="Arial"/>
          <w:sz w:val="22"/>
          <w:szCs w:val="22"/>
        </w:rPr>
      </w:pPr>
      <w:r w:rsidRPr="00437C39">
        <w:rPr>
          <w:rFonts w:ascii="Arial" w:hAnsi="Arial" w:cs="Arial"/>
          <w:sz w:val="22"/>
          <w:szCs w:val="22"/>
        </w:rPr>
        <w:t>Acorde a lo anterior, el artículo 115 numeral 2 de la Ley Electoral establece que, para el debido ejercicio de las facultades y atribuciones del Instituto, derivados de caso fortuito o causa de fuerza mayor; o en situaciones de falta o insuficiencia de previsión normativa o reglamentaria, el Consejo Estatal podrá dictar los acuerdos necesarios, o celebrar los convenios que resulten pertinentes para garantizar el oportuno y adecuado cumplimiento de las funciones que corresponda; siempre en apego a sus facultades y a los principios rectores de la función electoral.</w:t>
      </w:r>
    </w:p>
    <w:p w14:paraId="1CFBC515"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 xml:space="preserve">Administración del Instituto </w:t>
      </w:r>
    </w:p>
    <w:p w14:paraId="01C47CEA" w14:textId="77777777" w:rsidR="002830A3" w:rsidRPr="00437C39" w:rsidRDefault="002830A3" w:rsidP="002830A3">
      <w:pPr>
        <w:rPr>
          <w:rFonts w:ascii="Arial" w:hAnsi="Arial" w:cs="Arial"/>
          <w:sz w:val="22"/>
          <w:szCs w:val="22"/>
        </w:rPr>
      </w:pPr>
      <w:r w:rsidRPr="00437C39">
        <w:rPr>
          <w:rFonts w:ascii="Arial" w:hAnsi="Arial" w:cs="Arial"/>
          <w:sz w:val="22"/>
          <w:szCs w:val="22"/>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69F8DF04" w14:textId="77777777" w:rsidR="002830A3" w:rsidRPr="00437C39" w:rsidRDefault="002830A3" w:rsidP="002830A3">
      <w:pPr>
        <w:rPr>
          <w:rFonts w:ascii="Arial" w:hAnsi="Arial" w:cs="Arial"/>
          <w:sz w:val="22"/>
          <w:szCs w:val="22"/>
        </w:rPr>
      </w:pPr>
      <w:r w:rsidRPr="00437C39">
        <w:rPr>
          <w:rFonts w:ascii="Arial" w:hAnsi="Arial" w:cs="Arial"/>
          <w:sz w:val="22"/>
          <w:szCs w:val="22"/>
        </w:rPr>
        <w:lastRenderedPageBreak/>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0B909DA3"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Integración de la Junta Ejecutiva</w:t>
      </w:r>
    </w:p>
    <w:p w14:paraId="45FC2006" w14:textId="77777777" w:rsidR="002830A3" w:rsidRPr="00437C39" w:rsidRDefault="002830A3" w:rsidP="002830A3">
      <w:pPr>
        <w:rPr>
          <w:rFonts w:ascii="Arial" w:hAnsi="Arial" w:cs="Arial"/>
          <w:sz w:val="22"/>
          <w:szCs w:val="22"/>
        </w:rPr>
      </w:pPr>
      <w:r w:rsidRPr="00437C39">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74656DA7" w14:textId="77777777" w:rsidR="002830A3" w:rsidRPr="00437C39" w:rsidRDefault="002830A3" w:rsidP="002830A3">
      <w:pPr>
        <w:rPr>
          <w:rFonts w:ascii="Arial" w:hAnsi="Arial" w:cs="Arial"/>
          <w:sz w:val="22"/>
          <w:szCs w:val="22"/>
        </w:rPr>
      </w:pPr>
      <w:r w:rsidRPr="00437C39">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722C99F3"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Atribuciones de la Junta Ejecutiva</w:t>
      </w:r>
    </w:p>
    <w:p w14:paraId="341AE9E7" w14:textId="77777777" w:rsidR="002830A3" w:rsidRPr="00437C39" w:rsidRDefault="002830A3" w:rsidP="002830A3">
      <w:pPr>
        <w:rPr>
          <w:rFonts w:ascii="Arial" w:hAnsi="Arial" w:cs="Arial"/>
          <w:sz w:val="22"/>
          <w:szCs w:val="22"/>
        </w:rPr>
      </w:pPr>
      <w:r w:rsidRPr="00437C39">
        <w:rPr>
          <w:rFonts w:ascii="Arial" w:hAnsi="Arial" w:cs="Arial"/>
          <w:sz w:val="22"/>
          <w:szCs w:val="22"/>
        </w:rPr>
        <w:t>Que, el numeral 1, del artículo 119, de la Ley Electoral, señala que, la Junta Ejecutiva se reunirá por lo menos una vez al mes y ejercerá las atribuciones siguientes:</w:t>
      </w:r>
    </w:p>
    <w:p w14:paraId="078C08AE"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Proponer al Consejo Estatal las políticas generales y los programas del Instituto Estatal;</w:t>
      </w:r>
    </w:p>
    <w:p w14:paraId="2235B2CF"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Fijar los procedimientos administrativos, conforme a las políticas y programas generales del Instituto;</w:t>
      </w:r>
    </w:p>
    <w:p w14:paraId="01198080"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Revisar el cumplimiento de los trabajos relativos a los productos electorales que habrá de aportar el Registro Federal de Electores para el Proceso Local, conforme al convenio y documentos técnicos celebrados con el Instituto Nacional Electoral;</w:t>
      </w:r>
    </w:p>
    <w:p w14:paraId="4A63650C"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Vigilar el cumplimiento de las normas aplicables a los Partidos Políticos, las agrupaciones políticas y candidatos;</w:t>
      </w:r>
    </w:p>
    <w:p w14:paraId="62286030"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Supervisar el cumplimiento de los programas y actividades de las Direcciones del Instituto;</w:t>
      </w:r>
    </w:p>
    <w:p w14:paraId="41FF0D25"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 xml:space="preserve">Nombrar a los miembros de las Juntas Distritales, a propuesta de su Presidenta o Presidente, y supervisar el cumplimiento de sus actividades; así como aprobar, </w:t>
      </w:r>
      <w:r w:rsidRPr="00437C39">
        <w:rPr>
          <w:rFonts w:ascii="Arial" w:hAnsi="Arial" w:cs="Arial"/>
          <w:sz w:val="22"/>
          <w:szCs w:val="22"/>
        </w:rPr>
        <w:lastRenderedPageBreak/>
        <w:t>conforme al presupuesto autorizado, la estructura de las vocalías de acuerdo con las necesidades del proceso electoral;</w:t>
      </w:r>
    </w:p>
    <w:p w14:paraId="70A81A02"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7BFAA932"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Conocer de los informes de la Contraloría General respecto de los expedientes relativos a las faltas administrativas y, en su caso, sobre imposición de sanciones a las personas servidoras públicas del Instituto Estatal;</w:t>
      </w:r>
    </w:p>
    <w:p w14:paraId="5A39E7B6"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Formular los estudios y, en su caso, los proyectos de convenio que deban suscribirse entre el Instituto con el INE;</w:t>
      </w:r>
    </w:p>
    <w:p w14:paraId="7A7B1764"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Presentar a consideración del Consejo Estatal el proyecto de dictamen de pérdida de registro de algún partido político local o agrupación política local, que se encuentren en cualquiera de los supuestos establecidos en esta Ley;</w:t>
      </w:r>
    </w:p>
    <w:p w14:paraId="5F3D5535"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Resolver, en el ámbito de su competencia, los medios de impugnación en contra de los actos o resoluciones de la Secretaría Ejecutiva y de las Juntas Distritales del Instituto, en los términos establecidos en la ley de la materia;</w:t>
      </w:r>
    </w:p>
    <w:p w14:paraId="4EFAB216"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Integrar los expedientes relativos a las faltas administrativas en materia electoral y, en su caso, proponer las sanciones, en los términos que establece esta Ley, y</w:t>
      </w:r>
    </w:p>
    <w:p w14:paraId="028EDC0C" w14:textId="77777777" w:rsidR="002830A3" w:rsidRPr="00437C39" w:rsidRDefault="002830A3" w:rsidP="002830A3">
      <w:pPr>
        <w:pStyle w:val="Prrafodelista"/>
        <w:numPr>
          <w:ilvl w:val="0"/>
          <w:numId w:val="2"/>
        </w:numPr>
        <w:ind w:left="703" w:hanging="703"/>
        <w:contextualSpacing w:val="0"/>
        <w:rPr>
          <w:rFonts w:ascii="Arial" w:hAnsi="Arial" w:cs="Arial"/>
          <w:sz w:val="22"/>
          <w:szCs w:val="22"/>
        </w:rPr>
      </w:pPr>
      <w:r w:rsidRPr="00437C39">
        <w:rPr>
          <w:rFonts w:ascii="Arial" w:hAnsi="Arial" w:cs="Arial"/>
          <w:sz w:val="22"/>
          <w:szCs w:val="22"/>
        </w:rPr>
        <w:t>Las demás que le encomiende esta Ley, el Consejo Estatal y el Consejero Presidente.</w:t>
      </w:r>
    </w:p>
    <w:p w14:paraId="3D9C7AF9" w14:textId="77777777" w:rsidR="002830A3" w:rsidRPr="00437C39" w:rsidRDefault="002830A3" w:rsidP="002830A3">
      <w:pPr>
        <w:rPr>
          <w:rFonts w:ascii="Arial" w:hAnsi="Arial" w:cs="Arial"/>
          <w:sz w:val="22"/>
          <w:szCs w:val="22"/>
        </w:rPr>
      </w:pPr>
      <w:r w:rsidRPr="00437C39">
        <w:rPr>
          <w:rFonts w:ascii="Arial" w:hAnsi="Arial" w:cs="Arial"/>
          <w:sz w:val="22"/>
          <w:szCs w:val="22"/>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3726684B"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lastRenderedPageBreak/>
        <w:t xml:space="preserve">Autonomía presupuestaria del Instituto </w:t>
      </w:r>
    </w:p>
    <w:p w14:paraId="577BDAD0" w14:textId="77777777" w:rsidR="002830A3" w:rsidRPr="00437C39" w:rsidRDefault="002830A3" w:rsidP="002830A3">
      <w:pPr>
        <w:rPr>
          <w:rFonts w:ascii="Arial" w:hAnsi="Arial" w:cs="Arial"/>
          <w:sz w:val="22"/>
          <w:szCs w:val="22"/>
        </w:rPr>
      </w:pPr>
      <w:r w:rsidRPr="00437C39">
        <w:rPr>
          <w:rFonts w:ascii="Arial" w:hAnsi="Arial" w:cs="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45864809" w14:textId="77777777" w:rsidR="002830A3" w:rsidRPr="00437C39" w:rsidRDefault="002830A3" w:rsidP="002830A3">
      <w:pPr>
        <w:pStyle w:val="Prrafodelista"/>
        <w:numPr>
          <w:ilvl w:val="0"/>
          <w:numId w:val="3"/>
        </w:numPr>
        <w:ind w:left="703" w:hanging="703"/>
        <w:contextualSpacing w:val="0"/>
        <w:rPr>
          <w:rFonts w:ascii="Arial" w:hAnsi="Arial" w:cs="Arial"/>
          <w:sz w:val="22"/>
          <w:szCs w:val="22"/>
        </w:rPr>
      </w:pPr>
      <w:r w:rsidRPr="00437C39">
        <w:rPr>
          <w:rFonts w:ascii="Arial" w:hAnsi="Arial" w:cs="Arial"/>
          <w:sz w:val="22"/>
          <w:szCs w:val="22"/>
        </w:rPr>
        <w:t xml:space="preserve">La aprobación de su proyecto de presupuesto y su remisión a la Secretaría de Finanzas para su integración al proyecto de Presupuesto de Egresos, observando los criterios de política económica y demás disposiciones aplicables; </w:t>
      </w:r>
    </w:p>
    <w:p w14:paraId="4B865F61" w14:textId="77777777" w:rsidR="002830A3" w:rsidRPr="00437C39" w:rsidRDefault="002830A3" w:rsidP="002830A3">
      <w:pPr>
        <w:pStyle w:val="Prrafodelista"/>
        <w:numPr>
          <w:ilvl w:val="0"/>
          <w:numId w:val="3"/>
        </w:numPr>
        <w:ind w:left="703" w:hanging="703"/>
        <w:contextualSpacing w:val="0"/>
        <w:rPr>
          <w:rFonts w:ascii="Arial" w:hAnsi="Arial" w:cs="Arial"/>
          <w:sz w:val="22"/>
          <w:szCs w:val="22"/>
        </w:rPr>
      </w:pPr>
      <w:r w:rsidRPr="00437C39">
        <w:rPr>
          <w:rFonts w:ascii="Arial" w:hAnsi="Arial" w:cs="Arial"/>
          <w:sz w:val="22"/>
          <w:szCs w:val="22"/>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7D05EB78" w14:textId="77777777" w:rsidR="002830A3" w:rsidRPr="00437C39" w:rsidRDefault="002830A3" w:rsidP="002830A3">
      <w:pPr>
        <w:pStyle w:val="Prrafodelista"/>
        <w:numPr>
          <w:ilvl w:val="0"/>
          <w:numId w:val="3"/>
        </w:numPr>
        <w:ind w:left="703" w:hanging="703"/>
        <w:contextualSpacing w:val="0"/>
        <w:rPr>
          <w:rFonts w:ascii="Arial" w:hAnsi="Arial" w:cs="Arial"/>
          <w:sz w:val="22"/>
          <w:szCs w:val="22"/>
        </w:rPr>
      </w:pPr>
      <w:r w:rsidRPr="00437C39">
        <w:rPr>
          <w:rFonts w:ascii="Arial" w:hAnsi="Arial" w:cs="Arial"/>
          <w:sz w:val="22"/>
          <w:szCs w:val="22"/>
        </w:rPr>
        <w:t xml:space="preserve">La autorización de las adecuaciones a sus presupuestos sin requerir la aprobación de la Secretaría de Finanzas, observando las disposiciones de dicha Ley; </w:t>
      </w:r>
    </w:p>
    <w:p w14:paraId="672755A0" w14:textId="77777777" w:rsidR="002830A3" w:rsidRPr="00437C39" w:rsidRDefault="002830A3" w:rsidP="002830A3">
      <w:pPr>
        <w:pStyle w:val="Prrafodelista"/>
        <w:numPr>
          <w:ilvl w:val="0"/>
          <w:numId w:val="3"/>
        </w:numPr>
        <w:ind w:left="703" w:hanging="703"/>
        <w:contextualSpacing w:val="0"/>
        <w:rPr>
          <w:rFonts w:ascii="Arial" w:hAnsi="Arial" w:cs="Arial"/>
          <w:sz w:val="22"/>
          <w:szCs w:val="22"/>
        </w:rPr>
      </w:pPr>
      <w:r w:rsidRPr="00437C39">
        <w:rPr>
          <w:rFonts w:ascii="Arial" w:hAnsi="Arial" w:cs="Arial"/>
          <w:sz w:val="22"/>
          <w:szCs w:val="22"/>
        </w:rPr>
        <w:t xml:space="preserve">La realización de sus pagos a través de sus respectivas tesorerías o sus equivalentes; </w:t>
      </w:r>
    </w:p>
    <w:p w14:paraId="6B0CBEDA" w14:textId="77777777" w:rsidR="002830A3" w:rsidRPr="00437C39" w:rsidRDefault="002830A3" w:rsidP="002830A3">
      <w:pPr>
        <w:pStyle w:val="Prrafodelista"/>
        <w:numPr>
          <w:ilvl w:val="0"/>
          <w:numId w:val="3"/>
        </w:numPr>
        <w:ind w:left="703" w:hanging="703"/>
        <w:contextualSpacing w:val="0"/>
        <w:rPr>
          <w:rFonts w:ascii="Arial" w:hAnsi="Arial" w:cs="Arial"/>
          <w:sz w:val="22"/>
          <w:szCs w:val="22"/>
        </w:rPr>
      </w:pPr>
      <w:r w:rsidRPr="00437C39">
        <w:rPr>
          <w:rFonts w:ascii="Arial" w:hAnsi="Arial" w:cs="Arial"/>
          <w:sz w:val="22"/>
          <w:szCs w:val="22"/>
        </w:rPr>
        <w:t>La determinación de los ajustes que correspondan en sus presupuestos en caso de disminución de ingresos, observando, en lo conducente, lo dispuesto en el artículo 18 de la Ley mencionada; y</w:t>
      </w:r>
    </w:p>
    <w:p w14:paraId="6302A854" w14:textId="77777777" w:rsidR="002830A3" w:rsidRPr="00437C39" w:rsidRDefault="002830A3" w:rsidP="002830A3">
      <w:pPr>
        <w:pStyle w:val="Prrafodelista"/>
        <w:numPr>
          <w:ilvl w:val="0"/>
          <w:numId w:val="3"/>
        </w:numPr>
        <w:ind w:left="703" w:hanging="703"/>
        <w:contextualSpacing w:val="0"/>
        <w:rPr>
          <w:rFonts w:ascii="Arial" w:hAnsi="Arial" w:cs="Arial"/>
          <w:sz w:val="22"/>
          <w:szCs w:val="22"/>
        </w:rPr>
      </w:pPr>
      <w:r w:rsidRPr="00437C39">
        <w:rPr>
          <w:rFonts w:ascii="Arial" w:hAnsi="Arial" w:cs="Arial"/>
          <w:sz w:val="22"/>
          <w:szCs w:val="22"/>
        </w:rPr>
        <w:t>Llevar la contabilidad y elaborar sus informes conforme a lo previsto en dicha Ley, así como enviarlos a la Secretaría de Finanzas para su integración a los informes trimestrales y a la cuenta pública.</w:t>
      </w:r>
    </w:p>
    <w:p w14:paraId="78009786"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t>Administración de los recursos financieros y materiales del Instituto</w:t>
      </w:r>
    </w:p>
    <w:p w14:paraId="49C1D6EE" w14:textId="77777777" w:rsidR="002830A3" w:rsidRPr="00437C39" w:rsidRDefault="002830A3" w:rsidP="002830A3">
      <w:pPr>
        <w:rPr>
          <w:rFonts w:ascii="Arial" w:hAnsi="Arial" w:cs="Arial"/>
          <w:sz w:val="22"/>
          <w:szCs w:val="22"/>
        </w:rPr>
      </w:pPr>
      <w:r w:rsidRPr="00437C39">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2C5F4DFE" w14:textId="77777777" w:rsidR="002830A3" w:rsidRPr="00437C39" w:rsidRDefault="002830A3" w:rsidP="002830A3">
      <w:pPr>
        <w:pStyle w:val="Ttulo2"/>
        <w:rPr>
          <w:rFonts w:ascii="Arial" w:hAnsi="Arial" w:cs="Arial"/>
          <w:color w:val="auto"/>
          <w:sz w:val="22"/>
          <w:szCs w:val="22"/>
        </w:rPr>
      </w:pPr>
      <w:r w:rsidRPr="00437C39">
        <w:rPr>
          <w:rFonts w:ascii="Arial" w:hAnsi="Arial" w:cs="Arial"/>
          <w:color w:val="auto"/>
          <w:sz w:val="22"/>
          <w:szCs w:val="22"/>
        </w:rPr>
        <w:lastRenderedPageBreak/>
        <w:t xml:space="preserve">Aumento o creación de gasto </w:t>
      </w:r>
    </w:p>
    <w:p w14:paraId="5F3FC178"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Que, de conformidad con los artículos 15, 55 y 56 de la Ley de Presupuesto y Responsabilidad Hacendaria del Estado de Tabasco y sus municipios, toda propuesta de aumento o creación de gasto del Presupuesto de Egresos, deberá agregarse la correspondiente iniciativa de ingreso o compensarse con reducciones en otras previsiones de gasto.</w:t>
      </w:r>
    </w:p>
    <w:p w14:paraId="2BEDFB47"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A través de las respectivas unidades de administración, se podrá autorizar adecuaciones al presupuesto siempre que permitan un mejor cumplimiento de los objetivos de los programas a su cargo y deberán emitir las normas aplicables. Dichas adecuaciones, incluyendo aquéllas comprendidas en el artículo 17 de la Ley, deberán ser informadas al Ejecutivo, por conducto de la Secretaría, para efectos de la integración de la Cuenta Pública.</w:t>
      </w:r>
    </w:p>
    <w:p w14:paraId="63CD8EBC"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Asimismo, en el ejercicio del presupuesto, debe tomarse las medidas para racionalizar los recursos destinados a las actividades administrativas y de apoyo, sin afectar el cumplimiento de las metas de los programas aprobados en el Presupuesto de Egresos.</w:t>
      </w:r>
    </w:p>
    <w:p w14:paraId="5FE9A81F"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Los ahorros generados como resultado de la aplicación de dichas medidas deberán destinarse, en los términos de las disposiciones generales aplicables, a los programas prioritarios del ejecutor de gasto que los genere.</w:t>
      </w:r>
    </w:p>
    <w:p w14:paraId="21E3A7B2"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Por su parte, el Ejecutivo por conducto de la Secretaría, la Función Pública y Administración, establecerá los criterios generales para promover el uso eficiente de los recursos humanos y materiales de la administración pública, a fin de reorientarlos al logro de objetivos, evitar la duplicidad de funciones, promover la eficiencia y eficacia en la gestión pública, modernizar y mejorar la prestación de los servicios públicos, promover la productividad en el desempeño de las funciones de las dependencias y entidades y reducir gastos de operación. Dichas acciones deberán orientarse a lograr mejoras continuas de mediano plazo que permitan, como mínimo, medir con base anual su progreso.</w:t>
      </w:r>
    </w:p>
    <w:p w14:paraId="35A529DD"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A fin de lograr los objetivos a que se refiere el párrafo anterior, el Ejecutivo, durante su primer año de gobierno, deberá emitir un programa de austeridad, racionalidad y disciplina del gasto, el cual deberá publicarse en el Periódico Oficial del Estado en la misma fecha en que se publique el Plan de Desarrollo, y deberá mantener concordancia con éste.</w:t>
      </w:r>
    </w:p>
    <w:p w14:paraId="1C43C0BB"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lastRenderedPageBreak/>
        <w:t>Las dependencias y entidades deberán cumplir con los compromisos e indicadores del desempeño de las medidas que se establezcan en el programa a que se refiere el párrafo anterior, reportando su cumplimiento en los informes trimestrales.</w:t>
      </w:r>
    </w:p>
    <w:p w14:paraId="6E45774F"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Dicho programa será de observancia obligatoria para las dependencias y entidades, de acuerdo con lo dispuesto en la presente Ley y demás disposiciones aplicables, y deberá considerar al menos los siguientes aspectos:</w:t>
      </w:r>
    </w:p>
    <w:p w14:paraId="79FF066F"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Establecer mecanismos para monitorear anualmente la evolución de los recursos ejercidos por concepto de gasto corriente;</w:t>
      </w:r>
    </w:p>
    <w:p w14:paraId="47A6D087"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Promover el uso intensivo de las tecnologías de la información y comunicaciones a fin de reducir el costo de los recursos materiales y servicios generales del gobierno;</w:t>
      </w:r>
    </w:p>
    <w:p w14:paraId="659A9CCA"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Simplificar los procesos internos y eliminar aquellos que no están relacionados con las actividades sustantivas de los ejecutores de gasto contribuyendo a la transparencia y a la rendición de cuentas;</w:t>
      </w:r>
    </w:p>
    <w:p w14:paraId="777DD1BD"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Establecer los lineamientos para reorientar los recursos de la administración pública, en caso de que se realicen reestructuras a las dependencias y entidades;</w:t>
      </w:r>
    </w:p>
    <w:p w14:paraId="30E43021"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Establecer las medidas para lograr una distribución de los recursos humanos al servicio de la administración pública que permita hacer más eficiente la actuación del gobierno;</w:t>
      </w:r>
    </w:p>
    <w:p w14:paraId="3D172E31"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Estrategias para modernizar la estructura de la administración pública a fin de contar con recursos para ofrecer mejores bienes y servicios públicos, y</w:t>
      </w:r>
    </w:p>
    <w:p w14:paraId="3D53DD3A" w14:textId="77777777" w:rsidR="002830A3" w:rsidRPr="00437C39" w:rsidRDefault="002830A3" w:rsidP="002830A3">
      <w:pPr>
        <w:pStyle w:val="Prrafodelista"/>
        <w:numPr>
          <w:ilvl w:val="0"/>
          <w:numId w:val="4"/>
        </w:numPr>
        <w:ind w:left="703" w:hanging="703"/>
        <w:contextualSpacing w:val="0"/>
        <w:rPr>
          <w:rFonts w:ascii="Arial" w:hAnsi="Arial" w:cs="Arial"/>
          <w:sz w:val="22"/>
          <w:szCs w:val="22"/>
        </w:rPr>
      </w:pPr>
      <w:r w:rsidRPr="00437C39">
        <w:rPr>
          <w:rFonts w:ascii="Arial" w:hAnsi="Arial" w:cs="Arial"/>
          <w:sz w:val="22"/>
          <w:szCs w:val="22"/>
        </w:rPr>
        <w:t>Estrategias para enajenar aquellos bienes improductivos u obsoletos, ociosos o innecesarios.</w:t>
      </w:r>
    </w:p>
    <w:p w14:paraId="555AC23A"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Los ahorros generados como resultado de la aplicación de dichas medidas deberán destinarse, en los términos de las disposiciones generales aplicables, en primer lugar, a corregir desviaciones del Balance presupuestario de recursos disponibles negativo y, en segundo lugar, a los programas prioritarios del ejecutor de gasto que los genere.</w:t>
      </w:r>
    </w:p>
    <w:p w14:paraId="15DA01D7" w14:textId="77777777" w:rsidR="002830A3" w:rsidRPr="00437C39" w:rsidRDefault="002830A3" w:rsidP="002830A3">
      <w:pPr>
        <w:pStyle w:val="Ttulo2"/>
        <w:rPr>
          <w:rFonts w:ascii="Arial" w:hAnsi="Arial" w:cs="Arial"/>
          <w:color w:val="auto"/>
          <w:sz w:val="22"/>
          <w:szCs w:val="22"/>
          <w:lang w:val="es-ES"/>
        </w:rPr>
      </w:pPr>
      <w:r w:rsidRPr="00437C39">
        <w:rPr>
          <w:rFonts w:ascii="Arial" w:hAnsi="Arial" w:cs="Arial"/>
          <w:color w:val="auto"/>
          <w:sz w:val="22"/>
          <w:szCs w:val="22"/>
          <w:lang w:val="es-ES"/>
        </w:rPr>
        <w:lastRenderedPageBreak/>
        <w:t>Movimientos presupuestales</w:t>
      </w:r>
    </w:p>
    <w:p w14:paraId="6785559E" w14:textId="77777777" w:rsidR="002830A3" w:rsidRPr="00437C39" w:rsidRDefault="002830A3" w:rsidP="002830A3">
      <w:pPr>
        <w:rPr>
          <w:rFonts w:ascii="Arial" w:hAnsi="Arial" w:cs="Arial"/>
          <w:sz w:val="22"/>
          <w:szCs w:val="22"/>
          <w:lang w:val="es-ES"/>
        </w:rPr>
      </w:pPr>
      <w:r w:rsidRPr="00437C39">
        <w:rPr>
          <w:rFonts w:ascii="Arial" w:hAnsi="Arial" w:cs="Arial"/>
          <w:sz w:val="22"/>
          <w:szCs w:val="22"/>
          <w:lang w:val="es-ES"/>
        </w:rPr>
        <w:t>Que, de acuerdo con el numeral 2.2 del Manual de normas presupuestarias y administrativas para el control del ejercicio presupuestal, los recursos presupuestarios autorizados no ejercidos, podrán ser sujetos de adecuaciones presupuestales para lograr el cumplimiento de las actividades institucionales a través de la Coordinación de Recursos Financieros y el área de presupuesto con apoyo de la Unidad Técnica de Planeación.</w:t>
      </w:r>
    </w:p>
    <w:p w14:paraId="0132774D" w14:textId="77777777" w:rsidR="002830A3" w:rsidRPr="00437C39" w:rsidRDefault="002830A3" w:rsidP="002830A3">
      <w:pPr>
        <w:rPr>
          <w:rFonts w:ascii="Arial" w:hAnsi="Arial" w:cs="Arial"/>
          <w:sz w:val="22"/>
          <w:szCs w:val="22"/>
        </w:rPr>
      </w:pPr>
      <w:r w:rsidRPr="00437C39">
        <w:rPr>
          <w:rFonts w:ascii="Arial" w:hAnsi="Arial" w:cs="Arial"/>
          <w:sz w:val="22"/>
          <w:szCs w:val="22"/>
        </w:rPr>
        <w:t>Además, de acuerdo con el numeral 2.2.2. del ordenamiento en cita, las adecuaciones entre partidas procederán si son solicitadas por la Dirección de Administración, con el visto bueno de la Unidad Técnica de Planeación y autorizados por el Secretario Ejecutivo, identificándose plenamente el monto, partida de origen y destino de los recursos.</w:t>
      </w:r>
    </w:p>
    <w:p w14:paraId="081783D7" w14:textId="729E1565" w:rsidR="002830A3" w:rsidRPr="00437C39" w:rsidRDefault="00141207" w:rsidP="002830A3">
      <w:pPr>
        <w:pStyle w:val="Ttulo2"/>
        <w:rPr>
          <w:rFonts w:ascii="Arial" w:hAnsi="Arial" w:cs="Arial"/>
          <w:color w:val="auto"/>
          <w:sz w:val="22"/>
          <w:szCs w:val="22"/>
        </w:rPr>
      </w:pPr>
      <w:r w:rsidRPr="00437C39">
        <w:rPr>
          <w:rFonts w:ascii="Arial" w:hAnsi="Arial" w:cs="Arial"/>
          <w:color w:val="auto"/>
          <w:sz w:val="22"/>
          <w:szCs w:val="22"/>
        </w:rPr>
        <w:t>Ejercicio de los recursos</w:t>
      </w:r>
    </w:p>
    <w:p w14:paraId="30DF9FE2" w14:textId="7013ED84" w:rsidR="00141207" w:rsidRPr="00437C39" w:rsidRDefault="002830A3" w:rsidP="00141207">
      <w:pPr>
        <w:rPr>
          <w:rFonts w:ascii="Arial" w:hAnsi="Arial" w:cs="Arial"/>
          <w:sz w:val="22"/>
          <w:szCs w:val="22"/>
        </w:rPr>
      </w:pPr>
      <w:r w:rsidRPr="00437C39">
        <w:rPr>
          <w:rFonts w:ascii="Arial" w:hAnsi="Arial" w:cs="Arial"/>
          <w:sz w:val="22"/>
          <w:szCs w:val="22"/>
        </w:rPr>
        <w:t xml:space="preserve">Que, </w:t>
      </w:r>
      <w:r w:rsidR="00141207" w:rsidRPr="00437C39">
        <w:rPr>
          <w:rFonts w:ascii="Arial" w:hAnsi="Arial" w:cs="Arial"/>
          <w:sz w:val="22"/>
          <w:szCs w:val="22"/>
        </w:rPr>
        <w:t xml:space="preserve">de acuerdo con la información proporcionada por la Unidad Técnica de Planeación y Evaluación, en el Programa Contingente </w:t>
      </w:r>
      <w:proofErr w:type="spellStart"/>
      <w:r w:rsidR="00141207" w:rsidRPr="00437C39">
        <w:rPr>
          <w:rFonts w:ascii="Arial" w:hAnsi="Arial" w:cs="Arial"/>
          <w:sz w:val="22"/>
          <w:szCs w:val="22"/>
        </w:rPr>
        <w:t>IEPC</w:t>
      </w:r>
      <w:proofErr w:type="spellEnd"/>
      <w:r w:rsidR="00141207" w:rsidRPr="00437C39">
        <w:rPr>
          <w:rFonts w:ascii="Arial" w:hAnsi="Arial" w:cs="Arial"/>
          <w:sz w:val="22"/>
          <w:szCs w:val="22"/>
        </w:rPr>
        <w:t xml:space="preserve"> Tabasco, existen recursos disponibles para satisfacer aquellas necesidades y requerimientos extraordinarios que no cuenten con suficiencia presupuestal.</w:t>
      </w:r>
    </w:p>
    <w:p w14:paraId="5AA5E029" w14:textId="2D75D8A3" w:rsidR="00141207" w:rsidRPr="00437C39" w:rsidRDefault="00141207" w:rsidP="00141207">
      <w:pPr>
        <w:rPr>
          <w:rFonts w:ascii="Arial" w:hAnsi="Arial" w:cs="Arial"/>
          <w:sz w:val="22"/>
          <w:szCs w:val="22"/>
        </w:rPr>
      </w:pPr>
      <w:r w:rsidRPr="00437C39">
        <w:rPr>
          <w:rFonts w:ascii="Arial" w:hAnsi="Arial" w:cs="Arial"/>
          <w:sz w:val="22"/>
          <w:szCs w:val="22"/>
        </w:rPr>
        <w:t xml:space="preserve">A partir de lo anterior y considerando que, a la fechan, </w:t>
      </w:r>
      <w:r w:rsidR="002E6360" w:rsidRPr="00437C39">
        <w:rPr>
          <w:rFonts w:ascii="Arial" w:hAnsi="Arial" w:cs="Arial"/>
          <w:sz w:val="22"/>
          <w:szCs w:val="22"/>
        </w:rPr>
        <w:t>existe la obligación de este Instituto de cubrir el pago de las prestaciones establecidas en el manual de remuneraciones para aquellas personas servidoras públicas que concluyeron la relación laboral de este Instituto, se considera viable la disponibilidad de estos recursos para dicho propósito.</w:t>
      </w:r>
    </w:p>
    <w:p w14:paraId="56BB54F1" w14:textId="604C8618" w:rsidR="002E6360" w:rsidRPr="00437C39" w:rsidRDefault="002E6360" w:rsidP="00141207">
      <w:pPr>
        <w:rPr>
          <w:rFonts w:ascii="Arial" w:hAnsi="Arial" w:cs="Arial"/>
          <w:sz w:val="22"/>
          <w:szCs w:val="22"/>
        </w:rPr>
      </w:pPr>
      <w:r w:rsidRPr="00437C39">
        <w:rPr>
          <w:rFonts w:ascii="Arial" w:hAnsi="Arial" w:cs="Arial"/>
          <w:sz w:val="22"/>
          <w:szCs w:val="22"/>
        </w:rPr>
        <w:t xml:space="preserve">Es importante señalar que, tales recursos no se consideraron en el capítulo 1000, toda vez que la terminación de la relación laboral no es una actividad que se pueda prever, dado que, ésta deviene de la voluntad de las y los servidores públicos. </w:t>
      </w:r>
    </w:p>
    <w:p w14:paraId="780D6878" w14:textId="40877066" w:rsidR="002E6360" w:rsidRPr="00437C39" w:rsidRDefault="00E753FB" w:rsidP="00141207">
      <w:pPr>
        <w:rPr>
          <w:rFonts w:ascii="Arial" w:hAnsi="Arial" w:cs="Arial"/>
          <w:sz w:val="22"/>
          <w:szCs w:val="22"/>
        </w:rPr>
      </w:pPr>
      <w:r w:rsidRPr="00437C39">
        <w:rPr>
          <w:rFonts w:ascii="Arial" w:hAnsi="Arial" w:cs="Arial"/>
          <w:sz w:val="22"/>
          <w:szCs w:val="22"/>
        </w:rPr>
        <w:t>C</w:t>
      </w:r>
      <w:r w:rsidR="002E6360" w:rsidRPr="00437C39">
        <w:rPr>
          <w:rFonts w:ascii="Arial" w:hAnsi="Arial" w:cs="Arial"/>
          <w:sz w:val="22"/>
          <w:szCs w:val="22"/>
        </w:rPr>
        <w:t xml:space="preserve">on la aplicación de esta medida, se pretende evitar la presentación de acciones legales en contra del Instituto que, en la mayoría de los casos, únicamente incrementan las obligaciones de pago a cargo del Instituto. </w:t>
      </w:r>
    </w:p>
    <w:p w14:paraId="5630A5C1" w14:textId="1DFEBDDF" w:rsidR="00B222C1" w:rsidRPr="00437C39" w:rsidRDefault="00B222C1" w:rsidP="00141207">
      <w:pPr>
        <w:rPr>
          <w:rFonts w:ascii="Arial" w:hAnsi="Arial" w:cs="Arial"/>
          <w:sz w:val="22"/>
          <w:szCs w:val="22"/>
        </w:rPr>
      </w:pPr>
      <w:r w:rsidRPr="00437C39">
        <w:rPr>
          <w:rFonts w:ascii="Arial" w:hAnsi="Arial" w:cs="Arial"/>
          <w:sz w:val="22"/>
          <w:szCs w:val="22"/>
        </w:rPr>
        <w:t xml:space="preserve">Es por lo que, este órgano electoral aprueba el uso de los recursos disponibles en el Programa Presupuestario </w:t>
      </w:r>
      <w:proofErr w:type="spellStart"/>
      <w:r w:rsidRPr="00437C39">
        <w:rPr>
          <w:rFonts w:ascii="Arial" w:hAnsi="Arial" w:cs="Arial"/>
          <w:sz w:val="22"/>
          <w:szCs w:val="22"/>
        </w:rPr>
        <w:t>R004</w:t>
      </w:r>
      <w:proofErr w:type="spellEnd"/>
      <w:r w:rsidRPr="00437C39">
        <w:rPr>
          <w:rFonts w:ascii="Arial" w:hAnsi="Arial" w:cs="Arial"/>
          <w:sz w:val="22"/>
          <w:szCs w:val="22"/>
        </w:rPr>
        <w:t xml:space="preserve">.- Contingente del </w:t>
      </w:r>
      <w:proofErr w:type="spellStart"/>
      <w:r w:rsidRPr="00437C39">
        <w:rPr>
          <w:rFonts w:ascii="Arial" w:hAnsi="Arial" w:cs="Arial"/>
          <w:sz w:val="22"/>
          <w:szCs w:val="22"/>
        </w:rPr>
        <w:t>IEPC</w:t>
      </w:r>
      <w:proofErr w:type="spellEnd"/>
      <w:r w:rsidRPr="00437C39">
        <w:rPr>
          <w:rFonts w:ascii="Arial" w:hAnsi="Arial" w:cs="Arial"/>
          <w:sz w:val="22"/>
          <w:szCs w:val="22"/>
        </w:rPr>
        <w:t xml:space="preserve"> Tabasco, para el pago del bono por terminación de la relación laboral, para aquellas personas servidoras públicas que se encuentren en este supuesto y que cumplan con los requisitos para su otorgamiento.</w:t>
      </w:r>
    </w:p>
    <w:p w14:paraId="5FAEBC7C" w14:textId="77777777" w:rsidR="002830A3" w:rsidRPr="00437C39" w:rsidRDefault="002830A3" w:rsidP="002830A3">
      <w:pPr>
        <w:rPr>
          <w:rFonts w:ascii="Arial" w:hAnsi="Arial" w:cs="Arial"/>
          <w:sz w:val="22"/>
          <w:szCs w:val="22"/>
        </w:rPr>
      </w:pPr>
      <w:r w:rsidRPr="00437C39">
        <w:rPr>
          <w:rFonts w:ascii="Arial" w:hAnsi="Arial" w:cs="Arial"/>
          <w:sz w:val="22"/>
          <w:szCs w:val="22"/>
        </w:rPr>
        <w:lastRenderedPageBreak/>
        <w:t>Sobre la base de las consideraciones señaladas, esta Junta Estatal emite el siguiente:</w:t>
      </w:r>
    </w:p>
    <w:p w14:paraId="4D81C5E6" w14:textId="77777777" w:rsidR="002830A3" w:rsidRPr="00437C39" w:rsidRDefault="002830A3" w:rsidP="002830A3">
      <w:pPr>
        <w:pStyle w:val="Ttulo1"/>
        <w:rPr>
          <w:rFonts w:ascii="Arial" w:hAnsi="Arial" w:cs="Arial"/>
          <w:sz w:val="24"/>
          <w:szCs w:val="24"/>
        </w:rPr>
      </w:pPr>
      <w:bookmarkStart w:id="1" w:name="_GoBack"/>
      <w:bookmarkEnd w:id="1"/>
      <w:r w:rsidRPr="00437C39">
        <w:rPr>
          <w:rFonts w:ascii="Arial" w:hAnsi="Arial" w:cs="Arial"/>
          <w:sz w:val="24"/>
          <w:szCs w:val="24"/>
        </w:rPr>
        <w:t>Acuerdo</w:t>
      </w:r>
    </w:p>
    <w:p w14:paraId="0691F521" w14:textId="05803E3B" w:rsidR="002830A3" w:rsidRPr="00437C39" w:rsidRDefault="002830A3" w:rsidP="002830A3">
      <w:pPr>
        <w:rPr>
          <w:rFonts w:ascii="Arial" w:hAnsi="Arial" w:cs="Arial"/>
          <w:bCs/>
          <w:sz w:val="22"/>
          <w:szCs w:val="22"/>
        </w:rPr>
      </w:pPr>
      <w:r w:rsidRPr="00437C39">
        <w:rPr>
          <w:rFonts w:ascii="Arial" w:hAnsi="Arial" w:cs="Arial"/>
          <w:b/>
          <w:sz w:val="22"/>
          <w:szCs w:val="22"/>
        </w:rPr>
        <w:t>Primero.</w:t>
      </w:r>
      <w:r w:rsidR="002578A8" w:rsidRPr="00437C39">
        <w:rPr>
          <w:rFonts w:ascii="Arial" w:hAnsi="Arial" w:cs="Arial"/>
          <w:b/>
          <w:sz w:val="22"/>
          <w:szCs w:val="22"/>
        </w:rPr>
        <w:t xml:space="preserve"> </w:t>
      </w:r>
      <w:r w:rsidR="002578A8" w:rsidRPr="00437C39">
        <w:rPr>
          <w:rFonts w:ascii="Arial" w:hAnsi="Arial" w:cs="Arial"/>
          <w:bCs/>
          <w:sz w:val="22"/>
          <w:szCs w:val="22"/>
        </w:rPr>
        <w:t xml:space="preserve">Se autoriza el ejercicio de recursos del Programa Presupuestario </w:t>
      </w:r>
      <w:proofErr w:type="spellStart"/>
      <w:r w:rsidR="002578A8" w:rsidRPr="00437C39">
        <w:rPr>
          <w:rFonts w:ascii="Arial" w:hAnsi="Arial" w:cs="Arial"/>
          <w:bCs/>
          <w:sz w:val="22"/>
          <w:szCs w:val="22"/>
        </w:rPr>
        <w:t>R004</w:t>
      </w:r>
      <w:proofErr w:type="spellEnd"/>
      <w:r w:rsidR="002578A8" w:rsidRPr="00437C39">
        <w:rPr>
          <w:rFonts w:ascii="Arial" w:hAnsi="Arial" w:cs="Arial"/>
          <w:bCs/>
          <w:sz w:val="22"/>
          <w:szCs w:val="22"/>
        </w:rPr>
        <w:t xml:space="preserve">.- Contingente del </w:t>
      </w:r>
      <w:proofErr w:type="spellStart"/>
      <w:r w:rsidR="002578A8" w:rsidRPr="00437C39">
        <w:rPr>
          <w:rFonts w:ascii="Arial" w:hAnsi="Arial" w:cs="Arial"/>
          <w:bCs/>
          <w:sz w:val="22"/>
          <w:szCs w:val="22"/>
        </w:rPr>
        <w:t>IEPC</w:t>
      </w:r>
      <w:proofErr w:type="spellEnd"/>
      <w:r w:rsidR="002578A8" w:rsidRPr="00437C39">
        <w:rPr>
          <w:rFonts w:ascii="Arial" w:hAnsi="Arial" w:cs="Arial"/>
          <w:bCs/>
          <w:sz w:val="22"/>
          <w:szCs w:val="22"/>
        </w:rPr>
        <w:t xml:space="preserve"> Tabasco para el pago de la compensación al personal que terminó la relación laboral con el Instituto Electoral y de Participación Ciudadana de Tabasco.</w:t>
      </w:r>
    </w:p>
    <w:p w14:paraId="2875AE09" w14:textId="77777777" w:rsidR="002830A3" w:rsidRPr="00437C39" w:rsidRDefault="002830A3" w:rsidP="002830A3">
      <w:pPr>
        <w:rPr>
          <w:rFonts w:ascii="Arial" w:hAnsi="Arial" w:cs="Arial"/>
          <w:sz w:val="22"/>
          <w:szCs w:val="22"/>
        </w:rPr>
      </w:pPr>
      <w:r w:rsidRPr="00437C39">
        <w:rPr>
          <w:rFonts w:ascii="Arial" w:hAnsi="Arial" w:cs="Arial"/>
          <w:b/>
          <w:sz w:val="22"/>
          <w:szCs w:val="22"/>
        </w:rPr>
        <w:t>Segundo.</w:t>
      </w:r>
      <w:r w:rsidRPr="00437C39">
        <w:rPr>
          <w:rFonts w:ascii="Arial" w:hAnsi="Arial" w:cs="Arial"/>
          <w:sz w:val="22"/>
          <w:szCs w:val="22"/>
        </w:rPr>
        <w:t xml:space="preserve"> Se instruye a la Dirección de Administración realice los trámites administrativos correspondientes para dar cumplimiento al presente acuerdo.</w:t>
      </w:r>
    </w:p>
    <w:p w14:paraId="45A247D7" w14:textId="77777777" w:rsidR="002830A3" w:rsidRPr="00437C39" w:rsidRDefault="002830A3" w:rsidP="002830A3">
      <w:pPr>
        <w:rPr>
          <w:rFonts w:ascii="Arial" w:hAnsi="Arial" w:cs="Arial"/>
          <w:sz w:val="22"/>
          <w:szCs w:val="22"/>
        </w:rPr>
      </w:pPr>
      <w:r w:rsidRPr="00437C39">
        <w:rPr>
          <w:rFonts w:ascii="Arial" w:hAnsi="Arial" w:cs="Arial"/>
          <w:b/>
          <w:sz w:val="22"/>
          <w:szCs w:val="22"/>
        </w:rPr>
        <w:t>Tercero.</w:t>
      </w:r>
      <w:r w:rsidRPr="00437C39">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DAAE243" w14:textId="7DAC1CEE" w:rsidR="002830A3" w:rsidRPr="00437C39" w:rsidRDefault="002830A3" w:rsidP="002830A3">
      <w:pPr>
        <w:spacing w:line="288" w:lineRule="auto"/>
        <w:rPr>
          <w:rFonts w:ascii="Arial" w:hAnsi="Arial" w:cs="Arial"/>
          <w:sz w:val="22"/>
          <w:szCs w:val="22"/>
        </w:rPr>
      </w:pPr>
      <w:r w:rsidRPr="00437C39">
        <w:rPr>
          <w:rFonts w:ascii="Arial" w:hAnsi="Arial" w:cs="Arial"/>
          <w:sz w:val="22"/>
          <w:szCs w:val="22"/>
        </w:rPr>
        <w:t xml:space="preserve">El presente acuerdo se aprobó en sesión </w:t>
      </w:r>
      <w:r w:rsidR="00437C39">
        <w:rPr>
          <w:rFonts w:ascii="Arial" w:hAnsi="Arial" w:cs="Arial"/>
          <w:sz w:val="22"/>
          <w:szCs w:val="22"/>
        </w:rPr>
        <w:t>extraordinaria</w:t>
      </w:r>
      <w:r w:rsidRPr="00437C39">
        <w:rPr>
          <w:rFonts w:ascii="Arial" w:hAnsi="Arial" w:cs="Arial"/>
          <w:sz w:val="22"/>
          <w:szCs w:val="22"/>
        </w:rPr>
        <w:t xml:space="preserve"> efectuada el</w:t>
      </w:r>
      <w:r w:rsidR="00437C39">
        <w:rPr>
          <w:rFonts w:ascii="Arial" w:hAnsi="Arial" w:cs="Arial"/>
          <w:sz w:val="22"/>
          <w:szCs w:val="22"/>
        </w:rPr>
        <w:t xml:space="preserve"> día treinta</w:t>
      </w:r>
      <w:r w:rsidRPr="00437C39">
        <w:rPr>
          <w:rFonts w:ascii="Arial" w:hAnsi="Arial" w:cs="Arial"/>
          <w:sz w:val="22"/>
          <w:szCs w:val="22"/>
        </w:rPr>
        <w:t xml:space="preserve"> </w:t>
      </w:r>
      <w:r w:rsidR="00437C39">
        <w:rPr>
          <w:rFonts w:ascii="Arial" w:hAnsi="Arial" w:cs="Arial"/>
          <w:sz w:val="22"/>
          <w:szCs w:val="22"/>
        </w:rPr>
        <w:t xml:space="preserve">de junio </w:t>
      </w:r>
      <w:r w:rsidRPr="00437C39">
        <w:rPr>
          <w:rFonts w:ascii="Arial" w:hAnsi="Arial" w:cs="Arial"/>
          <w:sz w:val="22"/>
          <w:szCs w:val="22"/>
        </w:rPr>
        <w:t>del año dos</w:t>
      </w:r>
      <w:r w:rsidR="00437C39">
        <w:rPr>
          <w:rFonts w:ascii="Arial" w:hAnsi="Arial" w:cs="Arial"/>
          <w:sz w:val="22"/>
          <w:szCs w:val="22"/>
        </w:rPr>
        <w:t xml:space="preserve"> mil veinticinco, por votación unánime </w:t>
      </w:r>
      <w:r w:rsidRPr="00437C39">
        <w:rPr>
          <w:rFonts w:ascii="Arial" w:hAnsi="Arial" w:cs="Arial"/>
          <w:sz w:val="22"/>
          <w:szCs w:val="22"/>
        </w:rPr>
        <w:t xml:space="preserve">de la y los integrantes de la Junta Estatal Ejecutiva del Instituto Electoral y de Participación Ciudadana de Tabasco: </w:t>
      </w:r>
      <w:r w:rsidR="00437C39">
        <w:rPr>
          <w:rFonts w:ascii="Arial" w:hAnsi="Arial" w:cs="Arial"/>
          <w:sz w:val="22"/>
          <w:szCs w:val="22"/>
        </w:rPr>
        <w:t>Mtro</w:t>
      </w:r>
      <w:r w:rsidRPr="00437C39">
        <w:rPr>
          <w:rFonts w:ascii="Arial" w:hAnsi="Arial" w:cs="Arial"/>
          <w:sz w:val="22"/>
          <w:szCs w:val="22"/>
        </w:rPr>
        <w:t xml:space="preserve">. Paul Alejandro González </w:t>
      </w:r>
      <w:proofErr w:type="spellStart"/>
      <w:r w:rsidRPr="00437C39">
        <w:rPr>
          <w:rFonts w:ascii="Arial" w:hAnsi="Arial" w:cs="Arial"/>
          <w:sz w:val="22"/>
          <w:szCs w:val="22"/>
        </w:rPr>
        <w:t>Torruco</w:t>
      </w:r>
      <w:proofErr w:type="spellEnd"/>
      <w:r w:rsidRPr="00437C39">
        <w:rPr>
          <w:rFonts w:ascii="Arial" w:hAnsi="Arial" w:cs="Arial"/>
          <w:sz w:val="22"/>
          <w:szCs w:val="22"/>
        </w:rPr>
        <w:t>, Director de Administración; Lic. Ricardo Araiza González, Director de Organización Electoral y Educación Cívica, Lic. Jorge Alberto Zavala Frías, Secretario Ejecutivo y Mtra. Elizabeth Nava Gutiérrez, Presidenta de la Junta Estatal Ejecutiva.</w:t>
      </w:r>
    </w:p>
    <w:p w14:paraId="436D4161" w14:textId="631A6331" w:rsidR="007B5657" w:rsidRDefault="007B5657" w:rsidP="002830A3">
      <w:pPr>
        <w:spacing w:line="288" w:lineRule="auto"/>
        <w:rPr>
          <w:rFonts w:ascii="Arial" w:hAnsi="Arial" w:cs="Arial"/>
          <w:sz w:val="22"/>
          <w:szCs w:val="22"/>
        </w:rPr>
      </w:pPr>
    </w:p>
    <w:p w14:paraId="065C30F6" w14:textId="77777777" w:rsidR="00437C39" w:rsidRPr="00437C39" w:rsidRDefault="00437C39" w:rsidP="002830A3">
      <w:pPr>
        <w:spacing w:line="288" w:lineRule="auto"/>
        <w:rPr>
          <w:rFonts w:ascii="Arial" w:hAnsi="Arial" w:cs="Arial"/>
          <w:sz w:val="22"/>
          <w:szCs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B0493A" w:rsidRPr="00437C39" w14:paraId="10235E38" w14:textId="77777777" w:rsidTr="007A782A">
        <w:tc>
          <w:tcPr>
            <w:tcW w:w="4395" w:type="dxa"/>
          </w:tcPr>
          <w:p w14:paraId="1FB71868" w14:textId="77777777" w:rsidR="002830A3" w:rsidRPr="00437C39" w:rsidRDefault="002830A3" w:rsidP="007A782A">
            <w:pPr>
              <w:spacing w:before="480" w:after="0"/>
              <w:jc w:val="center"/>
              <w:rPr>
                <w:rFonts w:ascii="Arial" w:hAnsi="Arial" w:cs="Arial"/>
                <w:b/>
                <w:bCs/>
                <w:sz w:val="22"/>
                <w:szCs w:val="22"/>
              </w:rPr>
            </w:pPr>
            <w:r w:rsidRPr="00437C39">
              <w:rPr>
                <w:rFonts w:ascii="Arial" w:hAnsi="Arial" w:cs="Arial"/>
                <w:b/>
                <w:bCs/>
                <w:sz w:val="22"/>
                <w:szCs w:val="22"/>
              </w:rPr>
              <w:t>MTRA. ELIZABETH NAVA GUTIÉRREZ</w:t>
            </w:r>
          </w:p>
          <w:p w14:paraId="4E300F31" w14:textId="77777777" w:rsidR="002830A3" w:rsidRPr="00437C39" w:rsidRDefault="002830A3" w:rsidP="007A782A">
            <w:pPr>
              <w:spacing w:before="0" w:after="0"/>
              <w:jc w:val="center"/>
              <w:rPr>
                <w:rFonts w:ascii="Arial" w:hAnsi="Arial" w:cs="Arial"/>
                <w:b/>
                <w:bCs/>
                <w:sz w:val="22"/>
                <w:szCs w:val="22"/>
              </w:rPr>
            </w:pPr>
            <w:r w:rsidRPr="00437C39">
              <w:rPr>
                <w:rFonts w:ascii="Arial" w:hAnsi="Arial" w:cs="Arial"/>
                <w:b/>
                <w:bCs/>
                <w:sz w:val="22"/>
                <w:szCs w:val="22"/>
              </w:rPr>
              <w:t>CONSEJERA PRESIDENTA</w:t>
            </w:r>
          </w:p>
        </w:tc>
        <w:tc>
          <w:tcPr>
            <w:tcW w:w="278" w:type="dxa"/>
          </w:tcPr>
          <w:p w14:paraId="24C3BA99" w14:textId="77777777" w:rsidR="002830A3" w:rsidRPr="00437C39" w:rsidRDefault="002830A3" w:rsidP="007A782A">
            <w:pPr>
              <w:spacing w:before="0" w:after="0"/>
              <w:jc w:val="center"/>
              <w:rPr>
                <w:rFonts w:ascii="Arial" w:hAnsi="Arial" w:cs="Arial"/>
                <w:b/>
                <w:bCs/>
                <w:sz w:val="22"/>
                <w:szCs w:val="22"/>
              </w:rPr>
            </w:pPr>
          </w:p>
        </w:tc>
        <w:tc>
          <w:tcPr>
            <w:tcW w:w="4400" w:type="dxa"/>
          </w:tcPr>
          <w:p w14:paraId="03DA335D" w14:textId="77777777" w:rsidR="002830A3" w:rsidRPr="00437C39" w:rsidRDefault="002830A3" w:rsidP="007A782A">
            <w:pPr>
              <w:spacing w:before="480" w:after="0"/>
              <w:jc w:val="center"/>
              <w:rPr>
                <w:rFonts w:ascii="Arial" w:hAnsi="Arial" w:cs="Arial"/>
                <w:b/>
                <w:bCs/>
                <w:sz w:val="22"/>
                <w:szCs w:val="22"/>
              </w:rPr>
            </w:pPr>
            <w:r w:rsidRPr="00437C39">
              <w:rPr>
                <w:rFonts w:ascii="Arial" w:hAnsi="Arial" w:cs="Arial"/>
                <w:b/>
                <w:bCs/>
                <w:sz w:val="22"/>
                <w:szCs w:val="22"/>
              </w:rPr>
              <w:t>LIC. JORGE ALBERTO ZAVALA FRÍAS</w:t>
            </w:r>
          </w:p>
          <w:p w14:paraId="64F1179A" w14:textId="77777777" w:rsidR="002830A3" w:rsidRPr="00437C39" w:rsidRDefault="002830A3" w:rsidP="007A782A">
            <w:pPr>
              <w:spacing w:before="0" w:after="0"/>
              <w:jc w:val="center"/>
              <w:rPr>
                <w:rFonts w:ascii="Arial" w:hAnsi="Arial" w:cs="Arial"/>
                <w:b/>
                <w:bCs/>
                <w:sz w:val="22"/>
                <w:szCs w:val="22"/>
              </w:rPr>
            </w:pPr>
            <w:r w:rsidRPr="00437C39">
              <w:rPr>
                <w:rFonts w:ascii="Arial" w:hAnsi="Arial" w:cs="Arial"/>
                <w:b/>
                <w:bCs/>
                <w:sz w:val="22"/>
                <w:szCs w:val="22"/>
              </w:rPr>
              <w:t>SECRETARIO EJECUTIVO</w:t>
            </w:r>
          </w:p>
        </w:tc>
      </w:tr>
    </w:tbl>
    <w:p w14:paraId="7014E48B" w14:textId="77777777" w:rsidR="002830A3" w:rsidRPr="00437C39" w:rsidRDefault="002830A3" w:rsidP="002830A3">
      <w:pPr>
        <w:rPr>
          <w:rFonts w:ascii="Arial" w:hAnsi="Arial" w:cs="Arial"/>
          <w:sz w:val="22"/>
          <w:szCs w:val="22"/>
        </w:rPr>
      </w:pPr>
    </w:p>
    <w:sectPr w:rsidR="002830A3" w:rsidRPr="00437C39" w:rsidSect="00437C39">
      <w:headerReference w:type="default" r:id="rId7"/>
      <w:footerReference w:type="default" r:id="rId8"/>
      <w:pgSz w:w="12240" w:h="15840" w:code="1"/>
      <w:pgMar w:top="2977" w:right="2034"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1D9D0" w14:textId="77777777" w:rsidR="00114FE0" w:rsidRDefault="00114FE0" w:rsidP="00F70A6F">
      <w:pPr>
        <w:spacing w:before="0" w:after="0" w:line="240" w:lineRule="auto"/>
      </w:pPr>
      <w:r>
        <w:separator/>
      </w:r>
    </w:p>
  </w:endnote>
  <w:endnote w:type="continuationSeparator" w:id="0">
    <w:p w14:paraId="548451DE" w14:textId="77777777" w:rsidR="00114FE0" w:rsidRDefault="00114FE0" w:rsidP="00F70A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6E182A9-D861-4DD9-9435-58E13BD39AA7}"/>
    <w:embedBold r:id="rId2" w:fontKey="{976A7B74-75B6-469D-8DB1-8476423A0EBE}"/>
    <w:embedItalic r:id="rId3" w:fontKey="{F7CD2B41-021A-46C7-87F3-9876BE567BDC}"/>
  </w:font>
  <w:font w:name="Exo">
    <w:altName w:val="Times New Roman"/>
    <w:charset w:val="00"/>
    <w:family w:val="auto"/>
    <w:pitch w:val="variable"/>
    <w:sig w:usb0="A00000FF" w:usb1="4000204B" w:usb2="00000000" w:usb3="00000000" w:csb0="00000193" w:csb1="00000000"/>
    <w:embedRegular r:id="rId4" w:fontKey="{254871EE-D365-48C9-AF50-D0A447240558}"/>
    <w:embedBold r:id="rId5" w:fontKey="{2457D1DE-6138-4E44-82DA-9FE1E405F9F3}"/>
    <w:embedItalic r:id="rId6" w:fontKey="{B82B8417-214B-4217-A874-B56927F7D43F}"/>
  </w:font>
  <w:font w:name="Aptos Display">
    <w:charset w:val="00"/>
    <w:family w:val="swiss"/>
    <w:pitch w:val="variable"/>
    <w:sig w:usb0="20000287" w:usb1="00000003" w:usb2="00000000" w:usb3="00000000" w:csb0="0000019F" w:csb1="00000000"/>
    <w:embedRegular r:id="rId7" w:fontKey="{7757D1FA-0B3A-4972-AEA7-435B59B2F818}"/>
  </w:font>
  <w:font w:name="Segoe UI">
    <w:panose1 w:val="020B0502040204020203"/>
    <w:charset w:val="00"/>
    <w:family w:val="swiss"/>
    <w:pitch w:val="variable"/>
    <w:sig w:usb0="E4002EFF" w:usb1="C000E47F" w:usb2="00000009" w:usb3="00000000" w:csb0="000001FF" w:csb1="00000000"/>
    <w:embedRegular r:id="rId8" w:fontKey="{678A7B8B-F2C6-43D5-A468-F71D3A4A889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rPr>
      <w:id w:val="-1267611025"/>
      <w:docPartObj>
        <w:docPartGallery w:val="Page Numbers (Top of Page)"/>
        <w:docPartUnique/>
      </w:docPartObj>
    </w:sdtPr>
    <w:sdtEndPr/>
    <w:sdtContent>
      <w:p w14:paraId="696A092E" w14:textId="08A3B0B6" w:rsidR="00F70A6F" w:rsidRPr="00437C39" w:rsidRDefault="00F70A6F" w:rsidP="00F70A6F">
        <w:pPr>
          <w:pStyle w:val="Piedepgina"/>
          <w:jc w:val="right"/>
          <w:rPr>
            <w:rFonts w:ascii="Arial" w:hAnsi="Arial" w:cs="Arial"/>
            <w:color w:val="993366"/>
          </w:rPr>
        </w:pPr>
        <w:r w:rsidRPr="00437C39">
          <w:rPr>
            <w:rFonts w:ascii="Arial" w:hAnsi="Arial" w:cs="Arial"/>
            <w:b/>
            <w:bCs/>
            <w:color w:val="993366"/>
          </w:rPr>
          <w:t xml:space="preserve">Página </w:t>
        </w:r>
        <w:r w:rsidRPr="00437C39">
          <w:rPr>
            <w:rFonts w:ascii="Arial" w:hAnsi="Arial" w:cs="Arial"/>
            <w:b/>
            <w:bCs/>
            <w:color w:val="993366"/>
          </w:rPr>
          <w:fldChar w:fldCharType="begin"/>
        </w:r>
        <w:r w:rsidRPr="00437C39">
          <w:rPr>
            <w:rFonts w:ascii="Arial" w:hAnsi="Arial" w:cs="Arial"/>
            <w:b/>
            <w:bCs/>
            <w:color w:val="993366"/>
          </w:rPr>
          <w:instrText>PAGE</w:instrText>
        </w:r>
        <w:r w:rsidRPr="00437C39">
          <w:rPr>
            <w:rFonts w:ascii="Arial" w:hAnsi="Arial" w:cs="Arial"/>
            <w:b/>
            <w:bCs/>
            <w:color w:val="993366"/>
          </w:rPr>
          <w:fldChar w:fldCharType="separate"/>
        </w:r>
        <w:r w:rsidR="00437C39">
          <w:rPr>
            <w:rFonts w:ascii="Arial" w:hAnsi="Arial" w:cs="Arial"/>
            <w:b/>
            <w:bCs/>
            <w:noProof/>
            <w:color w:val="993366"/>
          </w:rPr>
          <w:t>10</w:t>
        </w:r>
        <w:r w:rsidRPr="00437C39">
          <w:rPr>
            <w:rFonts w:ascii="Arial" w:hAnsi="Arial" w:cs="Arial"/>
            <w:b/>
            <w:bCs/>
            <w:color w:val="993366"/>
          </w:rPr>
          <w:fldChar w:fldCharType="end"/>
        </w:r>
        <w:r w:rsidRPr="00437C39">
          <w:rPr>
            <w:rFonts w:ascii="Arial" w:hAnsi="Arial" w:cs="Arial"/>
            <w:b/>
            <w:bCs/>
            <w:color w:val="993366"/>
          </w:rPr>
          <w:t xml:space="preserve"> | </w:t>
        </w:r>
        <w:r w:rsidRPr="00437C39">
          <w:rPr>
            <w:rFonts w:ascii="Arial" w:hAnsi="Arial" w:cs="Arial"/>
            <w:b/>
            <w:bCs/>
            <w:color w:val="993366"/>
          </w:rPr>
          <w:fldChar w:fldCharType="begin"/>
        </w:r>
        <w:r w:rsidRPr="00437C39">
          <w:rPr>
            <w:rFonts w:ascii="Arial" w:hAnsi="Arial" w:cs="Arial"/>
            <w:b/>
            <w:bCs/>
            <w:color w:val="993366"/>
          </w:rPr>
          <w:instrText>NUMPAGES</w:instrText>
        </w:r>
        <w:r w:rsidRPr="00437C39">
          <w:rPr>
            <w:rFonts w:ascii="Arial" w:hAnsi="Arial" w:cs="Arial"/>
            <w:b/>
            <w:bCs/>
            <w:color w:val="993366"/>
          </w:rPr>
          <w:fldChar w:fldCharType="separate"/>
        </w:r>
        <w:r w:rsidR="00437C39">
          <w:rPr>
            <w:rFonts w:ascii="Arial" w:hAnsi="Arial" w:cs="Arial"/>
            <w:b/>
            <w:bCs/>
            <w:noProof/>
            <w:color w:val="993366"/>
          </w:rPr>
          <w:t>12</w:t>
        </w:r>
        <w:r w:rsidRPr="00437C39">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7F5A6" w14:textId="77777777" w:rsidR="00114FE0" w:rsidRDefault="00114FE0" w:rsidP="00F70A6F">
      <w:pPr>
        <w:spacing w:before="0" w:after="0" w:line="240" w:lineRule="auto"/>
      </w:pPr>
      <w:r>
        <w:separator/>
      </w:r>
    </w:p>
  </w:footnote>
  <w:footnote w:type="continuationSeparator" w:id="0">
    <w:p w14:paraId="2A1FC01B" w14:textId="77777777" w:rsidR="00114FE0" w:rsidRDefault="00114FE0" w:rsidP="00F70A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F70A6F" w14:paraId="21ADA01D" w14:textId="77777777" w:rsidTr="007A782A">
      <w:tc>
        <w:tcPr>
          <w:tcW w:w="1813" w:type="dxa"/>
        </w:tcPr>
        <w:p w14:paraId="7FE096FB" w14:textId="77777777" w:rsidR="00F70A6F" w:rsidRDefault="00F70A6F" w:rsidP="00F70A6F">
          <w:pPr>
            <w:pStyle w:val="Encabezado"/>
          </w:pPr>
          <w:r>
            <w:rPr>
              <w:b/>
              <w:noProof/>
              <w:sz w:val="32"/>
              <w:lang w:eastAsia="es-MX"/>
            </w:rPr>
            <w:drawing>
              <wp:inline distT="0" distB="0" distL="0" distR="0" wp14:anchorId="1CE44890" wp14:editId="7CC06F7C">
                <wp:extent cx="1014331" cy="1199403"/>
                <wp:effectExtent l="0" t="0" r="0" b="1270"/>
                <wp:docPr id="9" name="Imagen 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660D1B4F" w14:textId="77777777" w:rsidR="00F70A6F" w:rsidRPr="00437C39" w:rsidRDefault="00F70A6F" w:rsidP="00F70A6F">
          <w:pPr>
            <w:pStyle w:val="Encabezado"/>
            <w:spacing w:before="720"/>
            <w:jc w:val="center"/>
            <w:rPr>
              <w:rFonts w:ascii="Arial" w:hAnsi="Arial" w:cs="Arial"/>
              <w:b/>
              <w:bCs/>
              <w:spacing w:val="-10"/>
              <w:sz w:val="26"/>
              <w:szCs w:val="26"/>
            </w:rPr>
          </w:pPr>
          <w:r w:rsidRPr="00437C39">
            <w:rPr>
              <w:rFonts w:ascii="Arial" w:hAnsi="Arial" w:cs="Arial"/>
              <w:b/>
              <w:bCs/>
              <w:spacing w:val="-10"/>
              <w:sz w:val="26"/>
              <w:szCs w:val="26"/>
            </w:rPr>
            <w:t>INSTITUTO ELECTORAL Y DE PARTICIPACIÓN CIUDADANA DE TABASCO</w:t>
          </w:r>
        </w:p>
        <w:p w14:paraId="1FDD96EB" w14:textId="77777777" w:rsidR="00F70A6F" w:rsidRDefault="00F70A6F" w:rsidP="00F70A6F">
          <w:pPr>
            <w:pStyle w:val="Encabezado"/>
            <w:spacing w:before="60"/>
            <w:jc w:val="center"/>
          </w:pPr>
          <w:r w:rsidRPr="00437C39">
            <w:rPr>
              <w:rFonts w:ascii="Arial" w:hAnsi="Arial" w:cs="Arial"/>
              <w:b/>
              <w:bCs/>
              <w:sz w:val="28"/>
              <w:szCs w:val="28"/>
            </w:rPr>
            <w:t>JUNTA ESTATAL EJECUTIVA</w:t>
          </w:r>
        </w:p>
      </w:tc>
      <w:tc>
        <w:tcPr>
          <w:tcW w:w="1560" w:type="dxa"/>
        </w:tcPr>
        <w:p w14:paraId="12F37A75" w14:textId="77777777" w:rsidR="00F70A6F" w:rsidRDefault="00F70A6F" w:rsidP="00F70A6F">
          <w:pPr>
            <w:pStyle w:val="Encabezado"/>
            <w:spacing w:before="480"/>
            <w:jc w:val="right"/>
          </w:pPr>
          <w:r>
            <w:rPr>
              <w:noProof/>
              <w:lang w:eastAsia="es-MX"/>
            </w:rPr>
            <w:drawing>
              <wp:inline distT="0" distB="0" distL="0" distR="0" wp14:anchorId="7D81EA92" wp14:editId="7C10CD0F">
                <wp:extent cx="921600" cy="756000"/>
                <wp:effectExtent l="0" t="0" r="0" b="6350"/>
                <wp:docPr id="1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769857D4" w14:textId="1759B2D5" w:rsidR="00F70A6F" w:rsidRPr="00437C39" w:rsidRDefault="00437C39" w:rsidP="00437C39">
    <w:pPr>
      <w:pStyle w:val="Encabezado"/>
      <w:jc w:val="right"/>
      <w:rPr>
        <w:rFonts w:ascii="Arial" w:hAnsi="Arial" w:cs="Arial"/>
        <w:b/>
      </w:rPr>
    </w:pPr>
    <w:proofErr w:type="spellStart"/>
    <w:r w:rsidRPr="00437C39">
      <w:rPr>
        <w:rFonts w:ascii="Arial" w:hAnsi="Arial" w:cs="Arial"/>
        <w:b/>
      </w:rPr>
      <w:t>JEE</w:t>
    </w:r>
    <w:proofErr w:type="spellEnd"/>
    <w:r w:rsidRPr="00437C39">
      <w:rPr>
        <w:rFonts w:ascii="Arial" w:hAnsi="Arial" w:cs="Arial"/>
        <w:b/>
      </w:rPr>
      <w:t>/2025/024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61C17"/>
    <w:multiLevelType w:val="hybridMultilevel"/>
    <w:tmpl w:val="5664BA56"/>
    <w:lvl w:ilvl="0" w:tplc="E3AE375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7802A3"/>
    <w:multiLevelType w:val="hybridMultilevel"/>
    <w:tmpl w:val="94449D4A"/>
    <w:lvl w:ilvl="0" w:tplc="133C4C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CA740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3DD31B66"/>
    <w:multiLevelType w:val="hybridMultilevel"/>
    <w:tmpl w:val="3138B6FC"/>
    <w:lvl w:ilvl="0" w:tplc="C004E948">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87325F6"/>
    <w:multiLevelType w:val="hybridMultilevel"/>
    <w:tmpl w:val="CAE068D8"/>
    <w:lvl w:ilvl="0" w:tplc="1974C3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0A3"/>
    <w:rsid w:val="00114FE0"/>
    <w:rsid w:val="00131F08"/>
    <w:rsid w:val="00141207"/>
    <w:rsid w:val="002578A8"/>
    <w:rsid w:val="002830A3"/>
    <w:rsid w:val="002E6360"/>
    <w:rsid w:val="002F08FC"/>
    <w:rsid w:val="00437C39"/>
    <w:rsid w:val="007B5657"/>
    <w:rsid w:val="009772F9"/>
    <w:rsid w:val="00A62A4D"/>
    <w:rsid w:val="00B00573"/>
    <w:rsid w:val="00B0493A"/>
    <w:rsid w:val="00B222C1"/>
    <w:rsid w:val="00C40158"/>
    <w:rsid w:val="00CA4E7D"/>
    <w:rsid w:val="00E753FB"/>
    <w:rsid w:val="00F01A45"/>
    <w:rsid w:val="00F70A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E2C32"/>
  <w15:chartTrackingRefBased/>
  <w15:docId w15:val="{C6E32B4C-EA58-4BAF-8D5C-80AD800A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0A3"/>
    <w:pPr>
      <w:spacing w:before="240" w:after="240" w:line="276" w:lineRule="auto"/>
      <w:jc w:val="both"/>
    </w:pPr>
    <w:rPr>
      <w:rFonts w:ascii="Exo" w:hAnsi="Exo"/>
    </w:rPr>
  </w:style>
  <w:style w:type="paragraph" w:styleId="Ttulo1">
    <w:name w:val="heading 1"/>
    <w:basedOn w:val="Normal"/>
    <w:next w:val="Normal"/>
    <w:link w:val="Ttulo1Car"/>
    <w:uiPriority w:val="9"/>
    <w:qFormat/>
    <w:rsid w:val="002830A3"/>
    <w:pPr>
      <w:keepNext/>
      <w:keepLines/>
      <w:numPr>
        <w:numId w:val="5"/>
      </w:numPr>
      <w:spacing w:before="600" w:after="36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2830A3"/>
    <w:pPr>
      <w:keepNext/>
      <w:keepLines/>
      <w:numPr>
        <w:ilvl w:val="1"/>
        <w:numId w:val="5"/>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2830A3"/>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830A3"/>
    <w:pPr>
      <w:keepNext/>
      <w:keepLines/>
      <w:numPr>
        <w:ilvl w:val="3"/>
        <w:numId w:val="5"/>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830A3"/>
    <w:pPr>
      <w:keepNext/>
      <w:keepLines/>
      <w:numPr>
        <w:ilvl w:val="4"/>
        <w:numId w:val="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830A3"/>
    <w:pPr>
      <w:keepNext/>
      <w:keepLines/>
      <w:numPr>
        <w:ilvl w:val="5"/>
        <w:numId w:val="5"/>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830A3"/>
    <w:pPr>
      <w:keepNext/>
      <w:keepLines/>
      <w:numPr>
        <w:ilvl w:val="6"/>
        <w:numId w:val="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830A3"/>
    <w:pPr>
      <w:keepNext/>
      <w:keepLines/>
      <w:numPr>
        <w:ilvl w:val="7"/>
        <w:numId w:val="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830A3"/>
    <w:pPr>
      <w:keepNext/>
      <w:keepLines/>
      <w:numPr>
        <w:ilvl w:val="8"/>
        <w:numId w:val="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30A3"/>
    <w:rPr>
      <w:rFonts w:ascii="Exo" w:eastAsiaTheme="majorEastAsia" w:hAnsi="Exo" w:cstheme="majorBidi"/>
      <w:b/>
      <w:bCs/>
      <w:sz w:val="28"/>
      <w:szCs w:val="28"/>
    </w:rPr>
  </w:style>
  <w:style w:type="character" w:customStyle="1" w:styleId="Ttulo2Car">
    <w:name w:val="Título 2 Car"/>
    <w:basedOn w:val="Fuentedeprrafopredeter"/>
    <w:link w:val="Ttulo2"/>
    <w:uiPriority w:val="9"/>
    <w:rsid w:val="002830A3"/>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2830A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830A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830A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830A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830A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830A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830A3"/>
    <w:rPr>
      <w:rFonts w:eastAsiaTheme="majorEastAsia" w:cstheme="majorBidi"/>
      <w:color w:val="272727" w:themeColor="text1" w:themeTint="D8"/>
    </w:rPr>
  </w:style>
  <w:style w:type="paragraph" w:styleId="Ttulo">
    <w:name w:val="Title"/>
    <w:basedOn w:val="Normal"/>
    <w:next w:val="Normal"/>
    <w:link w:val="TtuloCar"/>
    <w:uiPriority w:val="10"/>
    <w:qFormat/>
    <w:rsid w:val="00283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30A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830A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830A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830A3"/>
    <w:pPr>
      <w:spacing w:before="160"/>
      <w:jc w:val="center"/>
    </w:pPr>
    <w:rPr>
      <w:i/>
      <w:iCs/>
      <w:color w:val="404040" w:themeColor="text1" w:themeTint="BF"/>
    </w:rPr>
  </w:style>
  <w:style w:type="character" w:customStyle="1" w:styleId="CitaCar">
    <w:name w:val="Cita Car"/>
    <w:basedOn w:val="Fuentedeprrafopredeter"/>
    <w:link w:val="Cita"/>
    <w:uiPriority w:val="29"/>
    <w:rsid w:val="002830A3"/>
    <w:rPr>
      <w:i/>
      <w:iCs/>
      <w:color w:val="404040" w:themeColor="text1" w:themeTint="BF"/>
    </w:rPr>
  </w:style>
  <w:style w:type="paragraph" w:styleId="Prrafodelista">
    <w:name w:val="List Paragraph"/>
    <w:basedOn w:val="Normal"/>
    <w:uiPriority w:val="34"/>
    <w:qFormat/>
    <w:rsid w:val="002830A3"/>
    <w:pPr>
      <w:ind w:left="720"/>
      <w:contextualSpacing/>
    </w:pPr>
  </w:style>
  <w:style w:type="character" w:styleId="nfasisintenso">
    <w:name w:val="Intense Emphasis"/>
    <w:basedOn w:val="Fuentedeprrafopredeter"/>
    <w:uiPriority w:val="21"/>
    <w:qFormat/>
    <w:rsid w:val="002830A3"/>
    <w:rPr>
      <w:i/>
      <w:iCs/>
      <w:color w:val="0F4761" w:themeColor="accent1" w:themeShade="BF"/>
    </w:rPr>
  </w:style>
  <w:style w:type="paragraph" w:styleId="Citadestacada">
    <w:name w:val="Intense Quote"/>
    <w:basedOn w:val="Normal"/>
    <w:next w:val="Normal"/>
    <w:link w:val="CitadestacadaCar"/>
    <w:uiPriority w:val="30"/>
    <w:qFormat/>
    <w:rsid w:val="002830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830A3"/>
    <w:rPr>
      <w:i/>
      <w:iCs/>
      <w:color w:val="0F4761" w:themeColor="accent1" w:themeShade="BF"/>
    </w:rPr>
  </w:style>
  <w:style w:type="character" w:styleId="Referenciaintensa">
    <w:name w:val="Intense Reference"/>
    <w:basedOn w:val="Fuentedeprrafopredeter"/>
    <w:uiPriority w:val="32"/>
    <w:qFormat/>
    <w:rsid w:val="002830A3"/>
    <w:rPr>
      <w:b/>
      <w:bCs/>
      <w:smallCaps/>
      <w:color w:val="0F4761" w:themeColor="accent1" w:themeShade="BF"/>
      <w:spacing w:val="5"/>
    </w:rPr>
  </w:style>
  <w:style w:type="table" w:styleId="Tablaconcuadrcula">
    <w:name w:val="Table Grid"/>
    <w:basedOn w:val="Tablanormal"/>
    <w:uiPriority w:val="39"/>
    <w:rsid w:val="0028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70A6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70A6F"/>
    <w:rPr>
      <w:rFonts w:ascii="Exo" w:hAnsi="Exo"/>
    </w:rPr>
  </w:style>
  <w:style w:type="paragraph" w:styleId="Piedepgina">
    <w:name w:val="footer"/>
    <w:basedOn w:val="Normal"/>
    <w:link w:val="PiedepginaCar"/>
    <w:uiPriority w:val="99"/>
    <w:unhideWhenUsed/>
    <w:rsid w:val="00F70A6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70A6F"/>
    <w:rPr>
      <w:rFonts w:ascii="Exo" w:hAnsi="Exo"/>
    </w:rPr>
  </w:style>
  <w:style w:type="paragraph" w:styleId="Textodeglobo">
    <w:name w:val="Balloon Text"/>
    <w:basedOn w:val="Normal"/>
    <w:link w:val="TextodegloboCar"/>
    <w:uiPriority w:val="99"/>
    <w:semiHidden/>
    <w:unhideWhenUsed/>
    <w:rsid w:val="00437C3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7C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3492</Words>
  <Characters>19208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15</cp:revision>
  <cp:lastPrinted>2025-07-11T21:49:00Z</cp:lastPrinted>
  <dcterms:created xsi:type="dcterms:W3CDTF">2025-07-11T15:49:00Z</dcterms:created>
  <dcterms:modified xsi:type="dcterms:W3CDTF">2025-07-11T21:49:00Z</dcterms:modified>
</cp:coreProperties>
</file>