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EC04B" w14:textId="42E92DB8" w:rsidR="00947F5B" w:rsidRDefault="00282778" w:rsidP="00167A97">
      <w:pPr>
        <w:spacing w:before="0"/>
        <w:rPr>
          <w:rFonts w:ascii="Arial" w:hAnsi="Arial" w:cs="Arial"/>
          <w:b/>
          <w:bCs/>
        </w:rPr>
      </w:pPr>
      <w:r w:rsidRPr="00167A97">
        <w:rPr>
          <w:rFonts w:ascii="Arial" w:hAnsi="Arial" w:cs="Arial"/>
          <w:b/>
          <w:bCs/>
        </w:rPr>
        <w:t>ACUERDO QUE, A PROPUESTA DE LA SECRETARIA EJECUTIVA, EMITE LA JUNTA ESTATAL EJECUTIVA DEL INSTITUTO ELECTORAL Y DE PARTICIPACIÓN CIUDADANA DE TABASCO MEDIANTE EL CUAL DETERMINA EL PRIMER PERIODO VACACIONAL DEL AÑO 2025 PARA EL PERSONAL DEL PROPIO INSTITUTO</w:t>
      </w:r>
    </w:p>
    <w:p w14:paraId="068BB8E0" w14:textId="77777777" w:rsidR="00B81130" w:rsidRPr="00167A97" w:rsidRDefault="00B81130" w:rsidP="00167A97">
      <w:pPr>
        <w:spacing w:before="0"/>
        <w:rPr>
          <w:rFonts w:ascii="Arial" w:hAnsi="Arial" w:cs="Arial"/>
          <w:b/>
          <w:bCs/>
        </w:rPr>
      </w:pPr>
    </w:p>
    <w:p w14:paraId="4E941DB1" w14:textId="7BE3C5BB" w:rsidR="00947F5B" w:rsidRDefault="00947F5B" w:rsidP="00167A97">
      <w:pPr>
        <w:rPr>
          <w:rFonts w:ascii="Arial" w:hAnsi="Arial" w:cs="Arial"/>
          <w:sz w:val="22"/>
        </w:rPr>
      </w:pPr>
      <w:r w:rsidRPr="00167A97">
        <w:rPr>
          <w:rFonts w:ascii="Arial" w:hAnsi="Arial" w:cs="Arial"/>
          <w:sz w:val="22"/>
        </w:rPr>
        <w:t>Para efectos del presente acuerdo se usarán las abreviaturas y definiciones siguientes:</w:t>
      </w:r>
    </w:p>
    <w:p w14:paraId="6C2585FA" w14:textId="77777777" w:rsidR="00B81130" w:rsidRPr="00167A97" w:rsidRDefault="00B81130" w:rsidP="00167A97">
      <w:pPr>
        <w:rPr>
          <w:rFonts w:ascii="Arial" w:hAnsi="Arial" w:cs="Arial"/>
          <w:sz w:val="22"/>
        </w:rPr>
      </w:pPr>
    </w:p>
    <w:tbl>
      <w:tblPr>
        <w:tblStyle w:val="Tablaconcuadrcula"/>
        <w:tblW w:w="0" w:type="auto"/>
        <w:tblInd w:w="988"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4A3AAA" w:rsidRPr="004F6A20" w14:paraId="399D4007" w14:textId="77777777" w:rsidTr="00422094">
        <w:tc>
          <w:tcPr>
            <w:tcW w:w="2664" w:type="dxa"/>
            <w:vAlign w:val="center"/>
          </w:tcPr>
          <w:p w14:paraId="6396C1DA" w14:textId="77777777" w:rsidR="004A3AAA" w:rsidRPr="004F6A20" w:rsidRDefault="004A3AAA" w:rsidP="00167A97">
            <w:pPr>
              <w:spacing w:before="60" w:after="60"/>
              <w:jc w:val="right"/>
              <w:rPr>
                <w:rFonts w:ascii="Arial" w:hAnsi="Arial" w:cs="Arial"/>
                <w:b/>
                <w:sz w:val="20"/>
              </w:rPr>
            </w:pPr>
            <w:r w:rsidRPr="004F6A20">
              <w:rPr>
                <w:rFonts w:ascii="Arial" w:hAnsi="Arial" w:cs="Arial"/>
                <w:b/>
                <w:sz w:val="20"/>
              </w:rPr>
              <w:t>Consejo Estatal:</w:t>
            </w:r>
          </w:p>
        </w:tc>
        <w:tc>
          <w:tcPr>
            <w:tcW w:w="3998" w:type="dxa"/>
            <w:vAlign w:val="center"/>
          </w:tcPr>
          <w:p w14:paraId="2997A4E2" w14:textId="77777777" w:rsidR="004A3AAA" w:rsidRPr="004F6A20" w:rsidRDefault="004A3AAA" w:rsidP="00167A97">
            <w:pPr>
              <w:spacing w:before="60" w:after="60"/>
              <w:ind w:left="113" w:right="113"/>
              <w:rPr>
                <w:rFonts w:ascii="Arial" w:hAnsi="Arial" w:cs="Arial"/>
                <w:sz w:val="20"/>
              </w:rPr>
            </w:pPr>
            <w:r w:rsidRPr="004F6A20">
              <w:rPr>
                <w:rFonts w:ascii="Arial" w:hAnsi="Arial" w:cs="Arial"/>
                <w:sz w:val="20"/>
              </w:rPr>
              <w:t>Consejo Estatal del Instituto Electoral y de Participación Ciudadana de Tabasco.</w:t>
            </w:r>
          </w:p>
        </w:tc>
      </w:tr>
      <w:tr w:rsidR="004A3AAA" w:rsidRPr="004F6A20" w14:paraId="30D12F12" w14:textId="77777777" w:rsidTr="00422094">
        <w:tc>
          <w:tcPr>
            <w:tcW w:w="2664" w:type="dxa"/>
            <w:vAlign w:val="center"/>
          </w:tcPr>
          <w:p w14:paraId="60AE22C9" w14:textId="77777777" w:rsidR="004A3AAA" w:rsidRPr="004F6A20" w:rsidRDefault="004A3AAA" w:rsidP="00167A97">
            <w:pPr>
              <w:spacing w:before="60" w:after="60"/>
              <w:jc w:val="right"/>
              <w:rPr>
                <w:rFonts w:ascii="Arial" w:hAnsi="Arial" w:cs="Arial"/>
                <w:b/>
                <w:sz w:val="20"/>
              </w:rPr>
            </w:pPr>
            <w:r w:rsidRPr="004F6A20">
              <w:rPr>
                <w:rFonts w:ascii="Arial" w:hAnsi="Arial" w:cs="Arial"/>
                <w:b/>
                <w:sz w:val="20"/>
              </w:rPr>
              <w:t>Constitución Federal:</w:t>
            </w:r>
          </w:p>
        </w:tc>
        <w:tc>
          <w:tcPr>
            <w:tcW w:w="3998" w:type="dxa"/>
            <w:vAlign w:val="center"/>
          </w:tcPr>
          <w:p w14:paraId="1379557C" w14:textId="77777777" w:rsidR="004A3AAA" w:rsidRPr="004F6A20" w:rsidRDefault="004A3AAA" w:rsidP="00167A97">
            <w:pPr>
              <w:spacing w:before="60" w:after="60"/>
              <w:ind w:left="113" w:right="113"/>
              <w:rPr>
                <w:rFonts w:ascii="Arial" w:hAnsi="Arial" w:cs="Arial"/>
                <w:sz w:val="20"/>
              </w:rPr>
            </w:pPr>
            <w:r w:rsidRPr="004F6A20">
              <w:rPr>
                <w:rFonts w:ascii="Arial" w:hAnsi="Arial" w:cs="Arial"/>
                <w:sz w:val="20"/>
              </w:rPr>
              <w:t>Constitución Política de los Estados Unidos Mexicanos.</w:t>
            </w:r>
          </w:p>
        </w:tc>
      </w:tr>
      <w:tr w:rsidR="004A3AAA" w:rsidRPr="004F6A20" w14:paraId="2834EA39" w14:textId="77777777" w:rsidTr="00422094">
        <w:tc>
          <w:tcPr>
            <w:tcW w:w="2664" w:type="dxa"/>
            <w:vAlign w:val="center"/>
          </w:tcPr>
          <w:p w14:paraId="640781C8" w14:textId="77777777" w:rsidR="004A3AAA" w:rsidRPr="004F6A20" w:rsidRDefault="004A3AAA" w:rsidP="00167A97">
            <w:pPr>
              <w:spacing w:before="60" w:after="60"/>
              <w:jc w:val="right"/>
              <w:rPr>
                <w:rFonts w:ascii="Arial" w:hAnsi="Arial" w:cs="Arial"/>
                <w:b/>
                <w:sz w:val="20"/>
              </w:rPr>
            </w:pPr>
            <w:r w:rsidRPr="004F6A20">
              <w:rPr>
                <w:rFonts w:ascii="Arial" w:hAnsi="Arial" w:cs="Arial"/>
                <w:b/>
                <w:sz w:val="20"/>
              </w:rPr>
              <w:t>Constitución Local:</w:t>
            </w:r>
          </w:p>
        </w:tc>
        <w:tc>
          <w:tcPr>
            <w:tcW w:w="3998" w:type="dxa"/>
            <w:vAlign w:val="center"/>
          </w:tcPr>
          <w:p w14:paraId="0F0AB0FF" w14:textId="77777777" w:rsidR="004A3AAA" w:rsidRPr="004F6A20" w:rsidRDefault="004A3AAA" w:rsidP="00167A97">
            <w:pPr>
              <w:spacing w:before="60" w:after="60"/>
              <w:ind w:left="113" w:right="113"/>
              <w:rPr>
                <w:rFonts w:ascii="Arial" w:hAnsi="Arial" w:cs="Arial"/>
                <w:sz w:val="20"/>
              </w:rPr>
            </w:pPr>
            <w:r w:rsidRPr="004F6A20">
              <w:rPr>
                <w:rFonts w:ascii="Arial" w:hAnsi="Arial" w:cs="Arial"/>
                <w:sz w:val="20"/>
              </w:rPr>
              <w:t>Constitución Política del Estado Libre y Soberano de Tabasco.</w:t>
            </w:r>
          </w:p>
        </w:tc>
      </w:tr>
      <w:tr w:rsidR="004A3AAA" w:rsidRPr="004F6A20" w14:paraId="509A81C3" w14:textId="77777777" w:rsidTr="00422094">
        <w:tc>
          <w:tcPr>
            <w:tcW w:w="2664" w:type="dxa"/>
            <w:vAlign w:val="center"/>
          </w:tcPr>
          <w:p w14:paraId="110A6068" w14:textId="77777777" w:rsidR="004A3AAA" w:rsidRPr="004F6A20" w:rsidRDefault="004A3AAA" w:rsidP="00167A97">
            <w:pPr>
              <w:spacing w:before="60" w:after="60"/>
              <w:jc w:val="right"/>
              <w:rPr>
                <w:rFonts w:ascii="Arial" w:hAnsi="Arial" w:cs="Arial"/>
                <w:b/>
                <w:sz w:val="20"/>
              </w:rPr>
            </w:pPr>
            <w:r w:rsidRPr="004F6A20">
              <w:rPr>
                <w:rFonts w:ascii="Arial" w:hAnsi="Arial" w:cs="Arial"/>
                <w:b/>
                <w:sz w:val="20"/>
              </w:rPr>
              <w:t>Estatuto:</w:t>
            </w:r>
          </w:p>
        </w:tc>
        <w:tc>
          <w:tcPr>
            <w:tcW w:w="3998" w:type="dxa"/>
            <w:vAlign w:val="center"/>
          </w:tcPr>
          <w:p w14:paraId="56212523" w14:textId="77777777" w:rsidR="004A3AAA" w:rsidRPr="004F6A20" w:rsidRDefault="004A3AAA" w:rsidP="00167A97">
            <w:pPr>
              <w:spacing w:before="60" w:after="60"/>
              <w:ind w:left="113" w:right="113"/>
              <w:rPr>
                <w:rFonts w:ascii="Arial" w:hAnsi="Arial" w:cs="Arial"/>
                <w:sz w:val="20"/>
              </w:rPr>
            </w:pPr>
            <w:r w:rsidRPr="004F6A20">
              <w:rPr>
                <w:rFonts w:ascii="Arial" w:hAnsi="Arial" w:cs="Arial"/>
                <w:sz w:val="20"/>
              </w:rPr>
              <w:t>Estatuto del Servicio Profesional del Instituto Electoral y de Participación Ciudadana de Tabasco.</w:t>
            </w:r>
          </w:p>
        </w:tc>
      </w:tr>
      <w:tr w:rsidR="004A3AAA" w:rsidRPr="004F6A20" w14:paraId="55B24649" w14:textId="77777777" w:rsidTr="00422094">
        <w:tc>
          <w:tcPr>
            <w:tcW w:w="2664" w:type="dxa"/>
            <w:vAlign w:val="center"/>
          </w:tcPr>
          <w:p w14:paraId="5270EBB5" w14:textId="77777777" w:rsidR="004A3AAA" w:rsidRPr="004F6A20" w:rsidRDefault="004A3AAA" w:rsidP="00167A97">
            <w:pPr>
              <w:spacing w:before="60" w:after="60"/>
              <w:jc w:val="right"/>
              <w:rPr>
                <w:rFonts w:ascii="Arial" w:hAnsi="Arial" w:cs="Arial"/>
                <w:b/>
                <w:sz w:val="20"/>
              </w:rPr>
            </w:pPr>
            <w:r w:rsidRPr="004F6A20">
              <w:rPr>
                <w:rFonts w:ascii="Arial" w:hAnsi="Arial" w:cs="Arial"/>
                <w:b/>
                <w:sz w:val="20"/>
              </w:rPr>
              <w:t>Instituto:</w:t>
            </w:r>
          </w:p>
        </w:tc>
        <w:tc>
          <w:tcPr>
            <w:tcW w:w="3998" w:type="dxa"/>
            <w:vAlign w:val="center"/>
          </w:tcPr>
          <w:p w14:paraId="510F5EBD" w14:textId="77777777" w:rsidR="004A3AAA" w:rsidRPr="004F6A20" w:rsidRDefault="004A3AAA" w:rsidP="00167A97">
            <w:pPr>
              <w:spacing w:before="60" w:after="60"/>
              <w:ind w:left="113" w:right="113"/>
              <w:rPr>
                <w:rFonts w:ascii="Arial" w:hAnsi="Arial" w:cs="Arial"/>
                <w:sz w:val="20"/>
              </w:rPr>
            </w:pPr>
            <w:r w:rsidRPr="004F6A20">
              <w:rPr>
                <w:rFonts w:ascii="Arial" w:hAnsi="Arial" w:cs="Arial"/>
                <w:sz w:val="20"/>
              </w:rPr>
              <w:t>Instituto Electoral y de Participación Ciudadana de Tabasco.</w:t>
            </w:r>
          </w:p>
        </w:tc>
      </w:tr>
      <w:tr w:rsidR="004A3AAA" w:rsidRPr="004F6A20" w14:paraId="3905C70D" w14:textId="77777777" w:rsidTr="00422094">
        <w:tc>
          <w:tcPr>
            <w:tcW w:w="2664" w:type="dxa"/>
            <w:vAlign w:val="center"/>
          </w:tcPr>
          <w:p w14:paraId="333F3F41" w14:textId="77777777" w:rsidR="004A3AAA" w:rsidRPr="004F6A20" w:rsidRDefault="004A3AAA" w:rsidP="00167A97">
            <w:pPr>
              <w:spacing w:before="60" w:after="60"/>
              <w:jc w:val="right"/>
              <w:rPr>
                <w:rFonts w:ascii="Arial" w:hAnsi="Arial" w:cs="Arial"/>
                <w:b/>
                <w:sz w:val="20"/>
              </w:rPr>
            </w:pPr>
            <w:r w:rsidRPr="004F6A20">
              <w:rPr>
                <w:rFonts w:ascii="Arial" w:hAnsi="Arial" w:cs="Arial"/>
                <w:b/>
                <w:sz w:val="20"/>
              </w:rPr>
              <w:t>Junta Ejecutiva:</w:t>
            </w:r>
          </w:p>
        </w:tc>
        <w:tc>
          <w:tcPr>
            <w:tcW w:w="3998" w:type="dxa"/>
            <w:vAlign w:val="center"/>
          </w:tcPr>
          <w:p w14:paraId="1C6A6733" w14:textId="77777777" w:rsidR="004A3AAA" w:rsidRPr="004F6A20" w:rsidRDefault="004A3AAA" w:rsidP="00167A97">
            <w:pPr>
              <w:spacing w:before="60" w:after="60"/>
              <w:ind w:left="113" w:right="113"/>
              <w:rPr>
                <w:rFonts w:ascii="Arial" w:hAnsi="Arial" w:cs="Arial"/>
                <w:sz w:val="20"/>
              </w:rPr>
            </w:pPr>
            <w:r w:rsidRPr="004F6A20">
              <w:rPr>
                <w:rFonts w:ascii="Arial" w:hAnsi="Arial" w:cs="Arial"/>
                <w:sz w:val="20"/>
              </w:rPr>
              <w:t>Junta Estatal Ejecutiva del Instituto Electoral y de Participación Ciudadana de Tabasco.</w:t>
            </w:r>
          </w:p>
        </w:tc>
      </w:tr>
      <w:tr w:rsidR="004A3AAA" w:rsidRPr="004F6A20" w14:paraId="6B8EBD91" w14:textId="77777777" w:rsidTr="00422094">
        <w:tc>
          <w:tcPr>
            <w:tcW w:w="2664" w:type="dxa"/>
            <w:vAlign w:val="center"/>
          </w:tcPr>
          <w:p w14:paraId="2DB2080E" w14:textId="77777777" w:rsidR="004A3AAA" w:rsidRPr="004F6A20" w:rsidRDefault="004A3AAA" w:rsidP="00167A97">
            <w:pPr>
              <w:spacing w:before="60" w:after="60"/>
              <w:jc w:val="right"/>
              <w:rPr>
                <w:rFonts w:ascii="Arial" w:hAnsi="Arial" w:cs="Arial"/>
                <w:b/>
                <w:sz w:val="20"/>
              </w:rPr>
            </w:pPr>
            <w:r w:rsidRPr="004F6A20">
              <w:rPr>
                <w:rFonts w:ascii="Arial" w:hAnsi="Arial" w:cs="Arial"/>
                <w:b/>
                <w:sz w:val="20"/>
              </w:rPr>
              <w:t>Junta Ejecutiva:</w:t>
            </w:r>
          </w:p>
        </w:tc>
        <w:tc>
          <w:tcPr>
            <w:tcW w:w="3998" w:type="dxa"/>
            <w:vAlign w:val="center"/>
          </w:tcPr>
          <w:p w14:paraId="21EBBBC2" w14:textId="77777777" w:rsidR="004A3AAA" w:rsidRPr="004F6A20" w:rsidRDefault="004A3AAA" w:rsidP="00167A97">
            <w:pPr>
              <w:spacing w:before="60" w:after="60"/>
              <w:ind w:left="113" w:right="113"/>
              <w:rPr>
                <w:rFonts w:ascii="Arial" w:hAnsi="Arial" w:cs="Arial"/>
                <w:sz w:val="20"/>
              </w:rPr>
            </w:pPr>
            <w:r w:rsidRPr="004F6A20">
              <w:rPr>
                <w:rFonts w:ascii="Arial" w:hAnsi="Arial" w:cs="Arial"/>
                <w:sz w:val="20"/>
              </w:rPr>
              <w:t>Junta Estatal Ejecutiva del Instituto Electoral y de Participación Ciudadana de Tabasco.</w:t>
            </w:r>
          </w:p>
        </w:tc>
      </w:tr>
      <w:tr w:rsidR="004A3AAA" w:rsidRPr="004F6A20" w14:paraId="7DBC4B8D" w14:textId="77777777" w:rsidTr="00422094">
        <w:tc>
          <w:tcPr>
            <w:tcW w:w="2664" w:type="dxa"/>
            <w:vAlign w:val="center"/>
          </w:tcPr>
          <w:p w14:paraId="5E0B5770" w14:textId="77777777" w:rsidR="004A3AAA" w:rsidRPr="004F6A20" w:rsidRDefault="004A3AAA" w:rsidP="00167A97">
            <w:pPr>
              <w:spacing w:before="60" w:after="60"/>
              <w:jc w:val="right"/>
              <w:rPr>
                <w:rFonts w:ascii="Arial" w:hAnsi="Arial" w:cs="Arial"/>
                <w:b/>
                <w:sz w:val="20"/>
              </w:rPr>
            </w:pPr>
            <w:r w:rsidRPr="004F6A20">
              <w:rPr>
                <w:rFonts w:ascii="Arial" w:hAnsi="Arial" w:cs="Arial"/>
                <w:b/>
                <w:sz w:val="20"/>
              </w:rPr>
              <w:t>Ley Electoral:</w:t>
            </w:r>
          </w:p>
        </w:tc>
        <w:tc>
          <w:tcPr>
            <w:tcW w:w="3998" w:type="dxa"/>
            <w:vAlign w:val="center"/>
          </w:tcPr>
          <w:p w14:paraId="742655F3" w14:textId="77777777" w:rsidR="004A3AAA" w:rsidRPr="004F6A20" w:rsidRDefault="004A3AAA" w:rsidP="00167A97">
            <w:pPr>
              <w:spacing w:before="60" w:after="60"/>
              <w:ind w:left="113" w:right="113"/>
              <w:rPr>
                <w:rFonts w:ascii="Arial" w:hAnsi="Arial" w:cs="Arial"/>
                <w:sz w:val="20"/>
              </w:rPr>
            </w:pPr>
            <w:r w:rsidRPr="004F6A20">
              <w:rPr>
                <w:rFonts w:ascii="Arial" w:hAnsi="Arial" w:cs="Arial"/>
                <w:sz w:val="20"/>
              </w:rPr>
              <w:t>Ley Electoral y de Partidos Políticos del Estado de Tabasco.</w:t>
            </w:r>
          </w:p>
        </w:tc>
      </w:tr>
      <w:tr w:rsidR="004A3AAA" w:rsidRPr="004F6A20" w14:paraId="6382FD13" w14:textId="77777777" w:rsidTr="00422094">
        <w:tc>
          <w:tcPr>
            <w:tcW w:w="2664" w:type="dxa"/>
            <w:vAlign w:val="center"/>
          </w:tcPr>
          <w:p w14:paraId="3BAB5F3A" w14:textId="77777777" w:rsidR="004A3AAA" w:rsidRPr="004F6A20" w:rsidRDefault="004A3AAA" w:rsidP="00167A97">
            <w:pPr>
              <w:spacing w:before="60" w:after="60"/>
              <w:jc w:val="right"/>
              <w:rPr>
                <w:rFonts w:ascii="Arial" w:hAnsi="Arial" w:cs="Arial"/>
                <w:b/>
                <w:sz w:val="20"/>
              </w:rPr>
            </w:pPr>
            <w:r w:rsidRPr="004F6A20">
              <w:rPr>
                <w:rFonts w:ascii="Arial" w:hAnsi="Arial" w:cs="Arial"/>
                <w:b/>
                <w:sz w:val="20"/>
              </w:rPr>
              <w:t>Ley General:</w:t>
            </w:r>
          </w:p>
        </w:tc>
        <w:tc>
          <w:tcPr>
            <w:tcW w:w="3998" w:type="dxa"/>
            <w:vAlign w:val="center"/>
          </w:tcPr>
          <w:p w14:paraId="3871096A" w14:textId="77777777" w:rsidR="004A3AAA" w:rsidRPr="004F6A20" w:rsidRDefault="004A3AAA" w:rsidP="00167A97">
            <w:pPr>
              <w:spacing w:before="60" w:after="60"/>
              <w:ind w:left="113" w:right="113"/>
              <w:rPr>
                <w:rFonts w:ascii="Arial" w:hAnsi="Arial" w:cs="Arial"/>
                <w:sz w:val="20"/>
              </w:rPr>
            </w:pPr>
            <w:r w:rsidRPr="004F6A20">
              <w:rPr>
                <w:rFonts w:ascii="Arial" w:hAnsi="Arial" w:cs="Arial"/>
                <w:sz w:val="20"/>
              </w:rPr>
              <w:t>Ley General de Instituciones y Procedimientos Electorales.</w:t>
            </w:r>
          </w:p>
        </w:tc>
      </w:tr>
    </w:tbl>
    <w:p w14:paraId="1D785D31" w14:textId="38759BE9" w:rsidR="00B81130" w:rsidRDefault="00B81130" w:rsidP="00B81130">
      <w:pPr>
        <w:pStyle w:val="Ttulo1"/>
        <w:numPr>
          <w:ilvl w:val="0"/>
          <w:numId w:val="0"/>
        </w:numPr>
        <w:spacing w:before="360"/>
        <w:ind w:left="431"/>
        <w:jc w:val="both"/>
        <w:rPr>
          <w:rFonts w:ascii="Arial" w:hAnsi="Arial" w:cs="Arial"/>
          <w:sz w:val="24"/>
        </w:rPr>
      </w:pPr>
    </w:p>
    <w:p w14:paraId="12EB1549" w14:textId="77777777" w:rsidR="00B81130" w:rsidRPr="00B81130" w:rsidRDefault="00B81130" w:rsidP="00B81130"/>
    <w:p w14:paraId="5A22FA8F" w14:textId="4B552BA6" w:rsidR="00947F5B" w:rsidRPr="004F6A20" w:rsidRDefault="00947F5B" w:rsidP="004F6A20">
      <w:pPr>
        <w:pStyle w:val="Ttulo1"/>
        <w:spacing w:before="360"/>
        <w:ind w:left="431" w:hanging="431"/>
        <w:rPr>
          <w:rFonts w:ascii="Arial" w:hAnsi="Arial" w:cs="Arial"/>
          <w:sz w:val="24"/>
        </w:rPr>
      </w:pPr>
      <w:r w:rsidRPr="004F6A20">
        <w:rPr>
          <w:rFonts w:ascii="Arial" w:hAnsi="Arial" w:cs="Arial"/>
          <w:sz w:val="24"/>
        </w:rPr>
        <w:t>Antecedentes</w:t>
      </w:r>
    </w:p>
    <w:p w14:paraId="0AF31A3E" w14:textId="3F58E84C" w:rsidR="00947F5B" w:rsidRPr="004F6A20" w:rsidRDefault="00947F5B" w:rsidP="004F6A20">
      <w:pPr>
        <w:pStyle w:val="Ttulo2"/>
        <w:spacing w:before="240"/>
        <w:rPr>
          <w:rFonts w:ascii="Arial" w:hAnsi="Arial" w:cs="Arial"/>
          <w:sz w:val="22"/>
        </w:rPr>
      </w:pPr>
      <w:r w:rsidRPr="004F6A20">
        <w:rPr>
          <w:rFonts w:ascii="Arial" w:hAnsi="Arial" w:cs="Arial"/>
          <w:sz w:val="22"/>
        </w:rPr>
        <w:t>Fines del Instituto</w:t>
      </w:r>
    </w:p>
    <w:p w14:paraId="2B426B48" w14:textId="77777777" w:rsidR="00947F5B" w:rsidRPr="004F6A20" w:rsidRDefault="00947F5B" w:rsidP="004F6A20">
      <w:pPr>
        <w:rPr>
          <w:rFonts w:ascii="Arial" w:hAnsi="Arial" w:cs="Arial"/>
          <w:sz w:val="22"/>
        </w:rPr>
      </w:pPr>
      <w:r w:rsidRPr="004F6A20">
        <w:rPr>
          <w:rFonts w:ascii="Arial" w:hAnsi="Arial" w:cs="Arial"/>
          <w:sz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E1A69D2" w14:textId="77777777" w:rsidR="00947F5B" w:rsidRPr="004F6A20" w:rsidRDefault="00947F5B" w:rsidP="004F6A20">
      <w:pPr>
        <w:rPr>
          <w:rFonts w:ascii="Arial" w:hAnsi="Arial" w:cs="Arial"/>
          <w:sz w:val="22"/>
        </w:rPr>
      </w:pPr>
      <w:r w:rsidRPr="004F6A20">
        <w:rPr>
          <w:rFonts w:ascii="Arial" w:hAnsi="Arial" w:cs="Arial"/>
          <w:sz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465A6DC3" w14:textId="77777777" w:rsidR="00947F5B" w:rsidRPr="004F6A20" w:rsidRDefault="00947F5B" w:rsidP="004F6A20">
      <w:pPr>
        <w:rPr>
          <w:rFonts w:ascii="Arial" w:hAnsi="Arial" w:cs="Arial"/>
          <w:sz w:val="22"/>
        </w:rPr>
      </w:pPr>
      <w:r w:rsidRPr="004F6A20">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1631AED4" w14:textId="1EDC675C" w:rsidR="00947F5B" w:rsidRPr="004F6A20" w:rsidRDefault="00947F5B" w:rsidP="004F6A20">
      <w:pPr>
        <w:pStyle w:val="Ttulo2"/>
        <w:spacing w:before="240"/>
        <w:rPr>
          <w:rFonts w:ascii="Arial" w:hAnsi="Arial" w:cs="Arial"/>
          <w:sz w:val="22"/>
        </w:rPr>
      </w:pPr>
      <w:r w:rsidRPr="004F6A20">
        <w:rPr>
          <w:rFonts w:ascii="Arial" w:hAnsi="Arial" w:cs="Arial"/>
          <w:sz w:val="22"/>
        </w:rPr>
        <w:t>Integración del órgano superior de dirección</w:t>
      </w:r>
    </w:p>
    <w:p w14:paraId="0B0CBE74" w14:textId="77777777" w:rsidR="00947F5B" w:rsidRPr="004F6A20" w:rsidRDefault="00947F5B" w:rsidP="004F6A20">
      <w:pPr>
        <w:rPr>
          <w:rFonts w:ascii="Arial" w:hAnsi="Arial" w:cs="Arial"/>
          <w:sz w:val="22"/>
        </w:rPr>
      </w:pPr>
      <w:r w:rsidRPr="004F6A20">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2F32DE7" w14:textId="77777777" w:rsidR="00947F5B" w:rsidRPr="004F6A20" w:rsidRDefault="00947F5B" w:rsidP="004F6A20">
      <w:pPr>
        <w:rPr>
          <w:rFonts w:ascii="Arial" w:hAnsi="Arial" w:cs="Arial"/>
          <w:sz w:val="22"/>
        </w:rPr>
      </w:pPr>
      <w:r w:rsidRPr="004F6A20">
        <w:rPr>
          <w:rFonts w:ascii="Arial" w:hAnsi="Arial" w:cs="Arial"/>
          <w:sz w:val="22"/>
        </w:rPr>
        <w:lastRenderedPageBreak/>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4634AE84" w14:textId="0F6CB752" w:rsidR="00947F5B" w:rsidRDefault="00947F5B" w:rsidP="004F6A20">
      <w:pPr>
        <w:rPr>
          <w:rFonts w:ascii="Arial" w:hAnsi="Arial" w:cs="Arial"/>
          <w:sz w:val="22"/>
        </w:rPr>
      </w:pPr>
      <w:r w:rsidRPr="004F6A20">
        <w:rPr>
          <w:rFonts w:ascii="Arial" w:hAnsi="Arial" w:cs="Arial"/>
          <w:sz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6E17CF40" w14:textId="15969229" w:rsidR="00947F5B" w:rsidRPr="004F6A20" w:rsidRDefault="00947F5B" w:rsidP="004F6A20">
      <w:pPr>
        <w:pStyle w:val="Ttulo2"/>
        <w:spacing w:before="240"/>
        <w:rPr>
          <w:rFonts w:ascii="Arial" w:hAnsi="Arial" w:cs="Arial"/>
          <w:sz w:val="22"/>
        </w:rPr>
      </w:pPr>
      <w:r w:rsidRPr="004F6A20">
        <w:rPr>
          <w:rFonts w:ascii="Arial" w:hAnsi="Arial" w:cs="Arial"/>
          <w:sz w:val="22"/>
        </w:rPr>
        <w:t>Órganos centrales del Instituto</w:t>
      </w:r>
    </w:p>
    <w:p w14:paraId="2276BE2B" w14:textId="77777777" w:rsidR="00947F5B" w:rsidRPr="004F6A20" w:rsidRDefault="00947F5B" w:rsidP="004F6A20">
      <w:pPr>
        <w:rPr>
          <w:rFonts w:ascii="Arial" w:hAnsi="Arial" w:cs="Arial"/>
          <w:sz w:val="22"/>
        </w:rPr>
      </w:pPr>
      <w:r w:rsidRPr="004F6A20">
        <w:rPr>
          <w:rFonts w:ascii="Arial" w:hAnsi="Arial" w:cs="Arial"/>
          <w:sz w:val="22"/>
        </w:rPr>
        <w:t>De acuerdo con el artículo 105 numeral 1 de la Ley Electoral los órganos centrales del Instituto son los siguientes:</w:t>
      </w:r>
    </w:p>
    <w:p w14:paraId="406A2B19" w14:textId="0CE01F90" w:rsidR="00947F5B" w:rsidRPr="004F6A20" w:rsidRDefault="00947F5B" w:rsidP="004F6A20">
      <w:pPr>
        <w:pStyle w:val="Prrafodelista"/>
        <w:numPr>
          <w:ilvl w:val="0"/>
          <w:numId w:val="2"/>
        </w:numPr>
        <w:spacing w:before="120" w:after="120"/>
        <w:ind w:left="851" w:hanging="567"/>
        <w:contextualSpacing w:val="0"/>
        <w:rPr>
          <w:rFonts w:ascii="Arial" w:hAnsi="Arial" w:cs="Arial"/>
          <w:sz w:val="22"/>
        </w:rPr>
      </w:pPr>
      <w:r w:rsidRPr="004F6A20">
        <w:rPr>
          <w:rFonts w:ascii="Arial" w:hAnsi="Arial" w:cs="Arial"/>
          <w:sz w:val="22"/>
        </w:rPr>
        <w:t>Consejo Estatal;</w:t>
      </w:r>
    </w:p>
    <w:p w14:paraId="44042FC1" w14:textId="021DE6D1" w:rsidR="00947F5B" w:rsidRPr="004F6A20" w:rsidRDefault="00947F5B" w:rsidP="004F6A20">
      <w:pPr>
        <w:pStyle w:val="Prrafodelista"/>
        <w:numPr>
          <w:ilvl w:val="0"/>
          <w:numId w:val="2"/>
        </w:numPr>
        <w:spacing w:before="120" w:after="120"/>
        <w:ind w:left="851" w:hanging="567"/>
        <w:contextualSpacing w:val="0"/>
        <w:rPr>
          <w:rFonts w:ascii="Arial" w:hAnsi="Arial" w:cs="Arial"/>
          <w:sz w:val="22"/>
        </w:rPr>
      </w:pPr>
      <w:r w:rsidRPr="004F6A20">
        <w:rPr>
          <w:rFonts w:ascii="Arial" w:hAnsi="Arial" w:cs="Arial"/>
          <w:sz w:val="22"/>
        </w:rPr>
        <w:t>Presidencia del Consejo Estatal;</w:t>
      </w:r>
    </w:p>
    <w:p w14:paraId="6FA8D880" w14:textId="265EA5E0" w:rsidR="00947F5B" w:rsidRPr="004F6A20" w:rsidRDefault="00947F5B" w:rsidP="004F6A20">
      <w:pPr>
        <w:pStyle w:val="Prrafodelista"/>
        <w:numPr>
          <w:ilvl w:val="0"/>
          <w:numId w:val="2"/>
        </w:numPr>
        <w:spacing w:before="120" w:after="120"/>
        <w:ind w:left="851" w:hanging="567"/>
        <w:contextualSpacing w:val="0"/>
        <w:rPr>
          <w:rFonts w:ascii="Arial" w:hAnsi="Arial" w:cs="Arial"/>
          <w:sz w:val="22"/>
        </w:rPr>
      </w:pPr>
      <w:r w:rsidRPr="004F6A20">
        <w:rPr>
          <w:rFonts w:ascii="Arial" w:hAnsi="Arial" w:cs="Arial"/>
          <w:sz w:val="22"/>
        </w:rPr>
        <w:t>Junta Estatal Ejecutiva;</w:t>
      </w:r>
    </w:p>
    <w:p w14:paraId="3B869B17" w14:textId="1C39BEE2" w:rsidR="00947F5B" w:rsidRPr="004F6A20" w:rsidRDefault="00947F5B" w:rsidP="004F6A20">
      <w:pPr>
        <w:pStyle w:val="Prrafodelista"/>
        <w:numPr>
          <w:ilvl w:val="0"/>
          <w:numId w:val="2"/>
        </w:numPr>
        <w:spacing w:before="120" w:after="120"/>
        <w:ind w:left="851" w:hanging="567"/>
        <w:contextualSpacing w:val="0"/>
        <w:rPr>
          <w:rFonts w:ascii="Arial" w:hAnsi="Arial" w:cs="Arial"/>
          <w:sz w:val="22"/>
        </w:rPr>
      </w:pPr>
      <w:r w:rsidRPr="004F6A20">
        <w:rPr>
          <w:rFonts w:ascii="Arial" w:hAnsi="Arial" w:cs="Arial"/>
          <w:sz w:val="22"/>
        </w:rPr>
        <w:t>Secretaría Ejecutiva, y</w:t>
      </w:r>
    </w:p>
    <w:p w14:paraId="35F88D1C" w14:textId="051A7666" w:rsidR="00947F5B" w:rsidRPr="004F6A20" w:rsidRDefault="00947F5B" w:rsidP="004F6A20">
      <w:pPr>
        <w:pStyle w:val="Prrafodelista"/>
        <w:numPr>
          <w:ilvl w:val="0"/>
          <w:numId w:val="2"/>
        </w:numPr>
        <w:spacing w:before="120" w:after="120"/>
        <w:ind w:left="851" w:hanging="567"/>
        <w:contextualSpacing w:val="0"/>
        <w:rPr>
          <w:rFonts w:ascii="Arial" w:hAnsi="Arial" w:cs="Arial"/>
          <w:sz w:val="22"/>
        </w:rPr>
      </w:pPr>
      <w:r w:rsidRPr="004F6A20">
        <w:rPr>
          <w:rFonts w:ascii="Arial" w:hAnsi="Arial" w:cs="Arial"/>
          <w:sz w:val="22"/>
        </w:rPr>
        <w:t>Órgano Técnico de Fiscalización.</w:t>
      </w:r>
    </w:p>
    <w:p w14:paraId="666DBE75" w14:textId="19A20F75" w:rsidR="00947F5B" w:rsidRPr="004F6A20" w:rsidRDefault="00947F5B" w:rsidP="004F6A20">
      <w:pPr>
        <w:pStyle w:val="Ttulo2"/>
        <w:spacing w:before="240"/>
        <w:rPr>
          <w:rFonts w:ascii="Arial" w:hAnsi="Arial" w:cs="Arial"/>
          <w:sz w:val="22"/>
        </w:rPr>
      </w:pPr>
      <w:r w:rsidRPr="004F6A20">
        <w:rPr>
          <w:rFonts w:ascii="Arial" w:hAnsi="Arial" w:cs="Arial"/>
          <w:sz w:val="22"/>
        </w:rPr>
        <w:t>Inicio del Proceso Electoral Extraordinario</w:t>
      </w:r>
    </w:p>
    <w:p w14:paraId="1B3075C2" w14:textId="77777777" w:rsidR="00947F5B" w:rsidRPr="004F6A20" w:rsidRDefault="00947F5B" w:rsidP="004F6A20">
      <w:pPr>
        <w:rPr>
          <w:rFonts w:ascii="Arial" w:hAnsi="Arial" w:cs="Arial"/>
          <w:sz w:val="22"/>
        </w:rPr>
      </w:pPr>
      <w:r w:rsidRPr="004F6A20">
        <w:rPr>
          <w:rFonts w:ascii="Arial" w:hAnsi="Arial" w:cs="Arial"/>
          <w:sz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2D225DF5" w14:textId="620D588B" w:rsidR="00947F5B" w:rsidRPr="004F6A20" w:rsidRDefault="00947F5B" w:rsidP="004F6A20">
      <w:pPr>
        <w:pStyle w:val="Ttulo2"/>
        <w:spacing w:before="240"/>
        <w:rPr>
          <w:rFonts w:ascii="Arial" w:hAnsi="Arial" w:cs="Arial"/>
          <w:sz w:val="22"/>
        </w:rPr>
      </w:pPr>
      <w:r w:rsidRPr="004F6A20">
        <w:rPr>
          <w:rFonts w:ascii="Arial" w:hAnsi="Arial" w:cs="Arial"/>
          <w:sz w:val="22"/>
        </w:rPr>
        <w:t>Reforma a la Ley Electoral</w:t>
      </w:r>
    </w:p>
    <w:p w14:paraId="1A7B489D" w14:textId="77777777" w:rsidR="00947F5B" w:rsidRPr="004F6A20" w:rsidRDefault="00947F5B" w:rsidP="004F6A20">
      <w:pPr>
        <w:rPr>
          <w:rFonts w:ascii="Arial" w:hAnsi="Arial" w:cs="Arial"/>
          <w:sz w:val="22"/>
        </w:rPr>
      </w:pPr>
      <w:r w:rsidRPr="004F6A20">
        <w:rPr>
          <w:rFonts w:ascii="Arial" w:hAnsi="Arial" w:cs="Arial"/>
          <w:sz w:val="22"/>
        </w:rPr>
        <w:t xml:space="preserve">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w:t>
      </w:r>
      <w:r w:rsidRPr="004F6A20">
        <w:rPr>
          <w:rFonts w:ascii="Arial" w:hAnsi="Arial" w:cs="Arial"/>
          <w:sz w:val="22"/>
        </w:rPr>
        <w:lastRenderedPageBreak/>
        <w:t>al numeral 1 del artículo 127, el libro noveno que comprenden los artículos 384 al 419, todos de la Ley Electoral.</w:t>
      </w:r>
    </w:p>
    <w:p w14:paraId="544772EB" w14:textId="18D4C6F6" w:rsidR="00B22220" w:rsidRPr="004F6A20" w:rsidRDefault="00B22220" w:rsidP="004F6A20">
      <w:pPr>
        <w:pStyle w:val="Ttulo2"/>
        <w:spacing w:before="240"/>
        <w:rPr>
          <w:rFonts w:ascii="Arial" w:hAnsi="Arial" w:cs="Arial"/>
          <w:sz w:val="22"/>
        </w:rPr>
      </w:pPr>
      <w:r w:rsidRPr="004F6A20">
        <w:rPr>
          <w:rFonts w:ascii="Arial" w:hAnsi="Arial" w:cs="Arial"/>
          <w:sz w:val="22"/>
        </w:rPr>
        <w:t>Período para notificar el aviso de intención</w:t>
      </w:r>
    </w:p>
    <w:p w14:paraId="6B2B25E1" w14:textId="1C96146E" w:rsidR="002E40AF" w:rsidRDefault="00B22220" w:rsidP="004F6A20">
      <w:pPr>
        <w:rPr>
          <w:rFonts w:ascii="Arial" w:hAnsi="Arial" w:cs="Arial"/>
          <w:sz w:val="22"/>
        </w:rPr>
      </w:pPr>
      <w:r w:rsidRPr="004F6A20">
        <w:rPr>
          <w:rFonts w:ascii="Arial" w:hAnsi="Arial" w:cs="Arial"/>
          <w:sz w:val="22"/>
        </w:rPr>
        <w:t xml:space="preserve">De conformidad con el artículo 43 de la Ley Electoral, durante el mes de enero diversas organizaciones ciudadanas notificaron </w:t>
      </w:r>
      <w:r w:rsidR="002E40AF" w:rsidRPr="004F6A20">
        <w:rPr>
          <w:rFonts w:ascii="Arial" w:hAnsi="Arial" w:cs="Arial"/>
          <w:sz w:val="22"/>
        </w:rPr>
        <w:t xml:space="preserve">su </w:t>
      </w:r>
      <w:r w:rsidRPr="004F6A20">
        <w:rPr>
          <w:rFonts w:ascii="Arial" w:hAnsi="Arial" w:cs="Arial"/>
          <w:sz w:val="22"/>
        </w:rPr>
        <w:t>intención</w:t>
      </w:r>
      <w:r w:rsidR="002E40AF" w:rsidRPr="004F6A20">
        <w:rPr>
          <w:rFonts w:ascii="Arial" w:hAnsi="Arial" w:cs="Arial"/>
          <w:sz w:val="22"/>
        </w:rPr>
        <w:t xml:space="preserve"> </w:t>
      </w:r>
      <w:r w:rsidRPr="004F6A20">
        <w:rPr>
          <w:rFonts w:ascii="Arial" w:hAnsi="Arial" w:cs="Arial"/>
          <w:sz w:val="22"/>
        </w:rPr>
        <w:t>para constituir un partido político local</w:t>
      </w:r>
      <w:r w:rsidR="002E40AF" w:rsidRPr="004F6A20">
        <w:rPr>
          <w:rFonts w:ascii="Arial" w:hAnsi="Arial" w:cs="Arial"/>
          <w:sz w:val="22"/>
        </w:rPr>
        <w:t>, lo que implica la realización de asambleas para obtener el porcentaje de afiliados que exige el artículo 11 de la Ley General de Partidos Políticos.</w:t>
      </w:r>
    </w:p>
    <w:p w14:paraId="069D62E4" w14:textId="3CAFC2C5" w:rsidR="00947F5B" w:rsidRPr="004F6A20" w:rsidRDefault="00947F5B" w:rsidP="004F6A20">
      <w:pPr>
        <w:pStyle w:val="Ttulo2"/>
        <w:spacing w:before="240"/>
        <w:rPr>
          <w:rFonts w:ascii="Arial" w:hAnsi="Arial" w:cs="Arial"/>
          <w:sz w:val="22"/>
        </w:rPr>
      </w:pPr>
      <w:r w:rsidRPr="004F6A20">
        <w:rPr>
          <w:rFonts w:ascii="Arial" w:hAnsi="Arial" w:cs="Arial"/>
          <w:sz w:val="22"/>
        </w:rPr>
        <w:t>Jornada electoral</w:t>
      </w:r>
    </w:p>
    <w:p w14:paraId="5EE76C9D" w14:textId="343C94F6" w:rsidR="00947F5B" w:rsidRDefault="00947F5B" w:rsidP="004F6A20">
      <w:pPr>
        <w:rPr>
          <w:rFonts w:ascii="Arial" w:hAnsi="Arial" w:cs="Arial"/>
          <w:sz w:val="22"/>
        </w:rPr>
      </w:pPr>
      <w:r w:rsidRPr="004F6A20">
        <w:rPr>
          <w:rFonts w:ascii="Arial" w:hAnsi="Arial" w:cs="Arial"/>
          <w:sz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132B7630" w14:textId="77777777" w:rsidR="00282778" w:rsidRPr="004F6A20" w:rsidRDefault="00282778" w:rsidP="004F6A20">
      <w:pPr>
        <w:rPr>
          <w:rFonts w:ascii="Arial" w:hAnsi="Arial" w:cs="Arial"/>
          <w:sz w:val="22"/>
        </w:rPr>
      </w:pPr>
    </w:p>
    <w:p w14:paraId="6F3EAE2E" w14:textId="6DD752A5" w:rsidR="00947F5B" w:rsidRDefault="00947F5B" w:rsidP="004F6A20">
      <w:pPr>
        <w:pStyle w:val="Ttulo1"/>
        <w:spacing w:before="360"/>
        <w:ind w:left="431" w:hanging="431"/>
        <w:rPr>
          <w:rFonts w:ascii="Arial" w:hAnsi="Arial" w:cs="Arial"/>
          <w:sz w:val="24"/>
        </w:rPr>
      </w:pPr>
      <w:r w:rsidRPr="004F6A20">
        <w:rPr>
          <w:rFonts w:ascii="Arial" w:hAnsi="Arial" w:cs="Arial"/>
          <w:sz w:val="24"/>
        </w:rPr>
        <w:t>Considerando</w:t>
      </w:r>
    </w:p>
    <w:p w14:paraId="52AD112C" w14:textId="749C9D5E" w:rsidR="00947F5B" w:rsidRPr="004F6A20" w:rsidRDefault="00947F5B" w:rsidP="004F6A20">
      <w:pPr>
        <w:pStyle w:val="Ttulo2"/>
        <w:spacing w:before="240"/>
        <w:rPr>
          <w:rFonts w:ascii="Arial" w:hAnsi="Arial" w:cs="Arial"/>
          <w:sz w:val="22"/>
          <w:szCs w:val="22"/>
        </w:rPr>
      </w:pPr>
      <w:r w:rsidRPr="004F6A20">
        <w:rPr>
          <w:rFonts w:ascii="Arial" w:hAnsi="Arial" w:cs="Arial"/>
          <w:sz w:val="22"/>
          <w:szCs w:val="22"/>
        </w:rPr>
        <w:t>Competencia de la Junta Ejecutiva</w:t>
      </w:r>
    </w:p>
    <w:p w14:paraId="5478A591" w14:textId="77777777" w:rsidR="00947F5B" w:rsidRPr="004F6A20" w:rsidRDefault="00947F5B" w:rsidP="004F6A20">
      <w:pPr>
        <w:rPr>
          <w:rFonts w:ascii="Arial" w:hAnsi="Arial" w:cs="Arial"/>
          <w:sz w:val="22"/>
          <w:szCs w:val="22"/>
        </w:rPr>
      </w:pPr>
      <w:r w:rsidRPr="004F6A20">
        <w:rPr>
          <w:rFonts w:ascii="Arial" w:hAnsi="Arial" w:cs="Arial"/>
          <w:sz w:val="22"/>
          <w:szCs w:val="22"/>
        </w:rPr>
        <w:t>Que, el artículo 119 numeral 1, fracción II de la Ley Electoral establece que, corresponde a la Junta Ejecutiva, fijar los procedimientos administrativos, conforme a las políticas y programas generales del Instituto.</w:t>
      </w:r>
    </w:p>
    <w:p w14:paraId="33748AB0" w14:textId="7E2F2CE0" w:rsidR="00947F5B" w:rsidRDefault="00947F5B" w:rsidP="004F6A20">
      <w:pPr>
        <w:rPr>
          <w:rFonts w:ascii="Arial" w:hAnsi="Arial" w:cs="Arial"/>
          <w:sz w:val="22"/>
          <w:szCs w:val="22"/>
        </w:rPr>
      </w:pPr>
      <w:r w:rsidRPr="004F6A20">
        <w:rPr>
          <w:rFonts w:ascii="Arial" w:hAnsi="Arial" w:cs="Arial"/>
          <w:sz w:val="22"/>
          <w:szCs w:val="22"/>
        </w:rPr>
        <w:t>Acorde a lo anterior, el artículo 115 numeral 2 de la Ley Electoral establece que, para el debido ejercicio de las facultades y atribuciones del Instituto, derivados de caso fortuito o causa de fuerza mayor; o en situaciones de falta o insuficiencia de previsión normativa o reglamentaria, el Consejo Estatal podrá dictar los acuerdos necesarios, o celebrar los convenios que resulten pertinentes para garantizar el oportuno y adecuado cumplimiento de las funciones que corresponda; siempre en apego a sus facultades y a los principios rectores de la función electoral.</w:t>
      </w:r>
    </w:p>
    <w:p w14:paraId="72D98A34" w14:textId="77777777" w:rsidR="00B81130" w:rsidRDefault="00B81130" w:rsidP="004F6A20">
      <w:pPr>
        <w:rPr>
          <w:rFonts w:ascii="Arial" w:hAnsi="Arial" w:cs="Arial"/>
          <w:sz w:val="22"/>
          <w:szCs w:val="22"/>
        </w:rPr>
      </w:pPr>
    </w:p>
    <w:p w14:paraId="6D0105BE" w14:textId="77777777" w:rsidR="00B81130" w:rsidRPr="004F6A20" w:rsidRDefault="00B81130" w:rsidP="004F6A20">
      <w:pPr>
        <w:rPr>
          <w:rFonts w:ascii="Arial" w:hAnsi="Arial" w:cs="Arial"/>
          <w:sz w:val="22"/>
          <w:szCs w:val="22"/>
        </w:rPr>
      </w:pPr>
    </w:p>
    <w:p w14:paraId="18F941B4" w14:textId="4BE257B4" w:rsidR="00947F5B" w:rsidRPr="004F6A20" w:rsidRDefault="00947F5B" w:rsidP="004F6A20">
      <w:pPr>
        <w:pStyle w:val="Ttulo2"/>
        <w:spacing w:before="240"/>
        <w:rPr>
          <w:rFonts w:ascii="Arial" w:hAnsi="Arial" w:cs="Arial"/>
          <w:sz w:val="22"/>
          <w:szCs w:val="22"/>
        </w:rPr>
      </w:pPr>
      <w:r w:rsidRPr="004F6A20">
        <w:rPr>
          <w:rFonts w:ascii="Arial" w:hAnsi="Arial" w:cs="Arial"/>
          <w:sz w:val="22"/>
          <w:szCs w:val="22"/>
        </w:rPr>
        <w:lastRenderedPageBreak/>
        <w:t xml:space="preserve">Administración del Instituto </w:t>
      </w:r>
    </w:p>
    <w:p w14:paraId="2D5A5FF9" w14:textId="77777777" w:rsidR="00947F5B" w:rsidRPr="004F6A20" w:rsidRDefault="00947F5B" w:rsidP="004F6A20">
      <w:pPr>
        <w:rPr>
          <w:rFonts w:ascii="Arial" w:hAnsi="Arial" w:cs="Arial"/>
          <w:sz w:val="22"/>
          <w:szCs w:val="22"/>
        </w:rPr>
      </w:pPr>
      <w:r w:rsidRPr="004F6A20">
        <w:rPr>
          <w:rFonts w:ascii="Arial" w:hAnsi="Arial" w:cs="Arial"/>
          <w:sz w:val="22"/>
          <w:szCs w:val="22"/>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14:paraId="7F20952A" w14:textId="7C7B0E81" w:rsidR="00947F5B" w:rsidRDefault="00947F5B" w:rsidP="004F6A20">
      <w:pPr>
        <w:rPr>
          <w:rFonts w:ascii="Arial" w:hAnsi="Arial" w:cs="Arial"/>
          <w:sz w:val="22"/>
          <w:szCs w:val="22"/>
        </w:rPr>
      </w:pPr>
      <w:r w:rsidRPr="004F6A20">
        <w:rPr>
          <w:rFonts w:ascii="Arial" w:hAnsi="Arial" w:cs="Arial"/>
          <w:sz w:val="22"/>
          <w:szCs w:val="22"/>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200777ED" w14:textId="26CE2B9D" w:rsidR="00947F5B" w:rsidRPr="004F6A20" w:rsidRDefault="00947F5B" w:rsidP="004F6A20">
      <w:pPr>
        <w:pStyle w:val="Ttulo2"/>
        <w:spacing w:before="240"/>
        <w:rPr>
          <w:rFonts w:ascii="Arial" w:hAnsi="Arial" w:cs="Arial"/>
          <w:sz w:val="22"/>
          <w:szCs w:val="22"/>
        </w:rPr>
      </w:pPr>
      <w:r w:rsidRPr="004F6A20">
        <w:rPr>
          <w:rFonts w:ascii="Arial" w:hAnsi="Arial" w:cs="Arial"/>
          <w:sz w:val="22"/>
          <w:szCs w:val="22"/>
        </w:rPr>
        <w:t>Integración de la Junta Ejecutiva</w:t>
      </w:r>
    </w:p>
    <w:p w14:paraId="599088C0" w14:textId="77777777" w:rsidR="00947F5B" w:rsidRPr="004F6A20" w:rsidRDefault="00947F5B" w:rsidP="004F6A20">
      <w:pPr>
        <w:rPr>
          <w:rFonts w:ascii="Arial" w:hAnsi="Arial" w:cs="Arial"/>
          <w:sz w:val="22"/>
          <w:szCs w:val="22"/>
        </w:rPr>
      </w:pPr>
      <w:r w:rsidRPr="004F6A20">
        <w:rPr>
          <w:rFonts w:ascii="Arial" w:hAnsi="Arial" w:cs="Arial"/>
          <w:sz w:val="22"/>
          <w:szCs w:val="22"/>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18DB1CCC" w14:textId="77777777" w:rsidR="00947F5B" w:rsidRPr="004F6A20" w:rsidRDefault="00947F5B" w:rsidP="004F6A20">
      <w:pPr>
        <w:rPr>
          <w:rFonts w:ascii="Arial" w:hAnsi="Arial" w:cs="Arial"/>
          <w:sz w:val="22"/>
          <w:szCs w:val="22"/>
        </w:rPr>
      </w:pPr>
      <w:r w:rsidRPr="004F6A20">
        <w:rPr>
          <w:rFonts w:ascii="Arial" w:hAnsi="Arial" w:cs="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28EC78EE" w14:textId="508A6B07" w:rsidR="00947F5B" w:rsidRPr="004F6A20" w:rsidRDefault="00947F5B" w:rsidP="004F6A20">
      <w:pPr>
        <w:pStyle w:val="Ttulo2"/>
        <w:spacing w:before="240"/>
        <w:rPr>
          <w:rFonts w:ascii="Arial" w:hAnsi="Arial" w:cs="Arial"/>
          <w:sz w:val="22"/>
          <w:szCs w:val="22"/>
        </w:rPr>
      </w:pPr>
      <w:r w:rsidRPr="004F6A20">
        <w:rPr>
          <w:rFonts w:ascii="Arial" w:hAnsi="Arial" w:cs="Arial"/>
          <w:sz w:val="22"/>
          <w:szCs w:val="22"/>
        </w:rPr>
        <w:t>Atribuciones de la Junta Ejecutiva</w:t>
      </w:r>
    </w:p>
    <w:p w14:paraId="12E80C7E" w14:textId="77777777" w:rsidR="00947F5B" w:rsidRPr="004F6A20" w:rsidRDefault="00947F5B" w:rsidP="004F6A20">
      <w:pPr>
        <w:rPr>
          <w:rFonts w:ascii="Arial" w:hAnsi="Arial" w:cs="Arial"/>
          <w:sz w:val="22"/>
          <w:szCs w:val="22"/>
        </w:rPr>
      </w:pPr>
      <w:r w:rsidRPr="004F6A20">
        <w:rPr>
          <w:rFonts w:ascii="Arial" w:hAnsi="Arial" w:cs="Arial"/>
          <w:sz w:val="22"/>
          <w:szCs w:val="22"/>
        </w:rPr>
        <w:t>Que, el numeral 1, del artículo 119, de la Ley Electoral, señala que, la Junta Ejecutiva se reunirá por lo menos una vez al mes y ejercerá las atribuciones siguientes:</w:t>
      </w:r>
    </w:p>
    <w:p w14:paraId="6B3402EE" w14:textId="65FD6C7A"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Proponer al Consejo Estatal las políticas generales y los programas del Instituto Estatal;</w:t>
      </w:r>
    </w:p>
    <w:p w14:paraId="45615767" w14:textId="7FBE8AA2"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Fijar los procedimientos administrativos, conforme a las políticas y programas generales del Instituto;</w:t>
      </w:r>
    </w:p>
    <w:p w14:paraId="4262D678" w14:textId="1052F44A"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Revisar el cumplimiento de los trabajos relativos a los productos electorales que habrá de aportar el Registro Federal de Electores para el Proceso Local, conforme al convenio y documentos técnicos celebrados con el Instituto Nacional Electoral;</w:t>
      </w:r>
    </w:p>
    <w:p w14:paraId="64CAA171" w14:textId="6B459863"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Vigilar el cumplimiento de las normas aplicables a los Partidos Políticos, las agrupaciones políticas y candidatos;</w:t>
      </w:r>
    </w:p>
    <w:p w14:paraId="4CA062D0" w14:textId="00DC3898"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Supervisar el cumplimiento de los programas y actividades de las Direcciones del Instituto;</w:t>
      </w:r>
    </w:p>
    <w:p w14:paraId="3FFB9B95" w14:textId="053B78E9"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lastRenderedPageBreak/>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14:paraId="328C6AB0" w14:textId="2BCCE662"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Nombrar, en su caso, a la o el funcionario que acudirá a las sesiones de la Comisión Local de Vigilancia del Registro Federal de Electores, con facultades de enlace con el Instituto Nacional Electoral, de conformidad con el convenio respectivo que se suscriba;</w:t>
      </w:r>
    </w:p>
    <w:p w14:paraId="4FE5A752" w14:textId="0973EEA8"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Conocer de los informes de la Contraloría General respecto de los expedientes relativos a las faltas administrativas y, en su caso, sobre imposición de sanciones a las personas servidoras públicas del Instituto Estatal;</w:t>
      </w:r>
    </w:p>
    <w:p w14:paraId="3850D646" w14:textId="373BF39C"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Formular los estudios y, en su caso, los proyectos de convenio que deban suscribirse entre el Instituto con el INE;</w:t>
      </w:r>
    </w:p>
    <w:p w14:paraId="1038FAF9" w14:textId="0CDF4362"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Presentar a consideración del Consejo Estatal el proyecto de dictamen de pérdida de registro de algún partido político local o agrupación política local, que se encuentren en cualquiera de los supuestos establecidos en esta Ley;</w:t>
      </w:r>
    </w:p>
    <w:p w14:paraId="7500D721" w14:textId="53D9C579"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Resolver, en el ámbito de su competencia, los medios de impugnación en contra de los actos o resoluciones de la Secretaría Ejecutiva y de las Juntas Distritales del Instituto, en los términos establecidos en la ley de la materia;</w:t>
      </w:r>
    </w:p>
    <w:p w14:paraId="3C4A016D" w14:textId="254BCEC1"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Integrar los expedientes relativos a las faltas administrativas en materia electoral y, en su caso, proponer las sanciones, en los términos que establece esta Ley, y</w:t>
      </w:r>
    </w:p>
    <w:p w14:paraId="7E2596EC" w14:textId="4C66AF89" w:rsidR="00947F5B" w:rsidRPr="004F6A20" w:rsidRDefault="00947F5B" w:rsidP="004F6A20">
      <w:pPr>
        <w:pStyle w:val="Prrafodelista"/>
        <w:numPr>
          <w:ilvl w:val="0"/>
          <w:numId w:val="4"/>
        </w:numPr>
        <w:spacing w:before="120" w:after="120"/>
        <w:ind w:left="851" w:hanging="567"/>
        <w:contextualSpacing w:val="0"/>
        <w:rPr>
          <w:rFonts w:ascii="Arial" w:hAnsi="Arial" w:cs="Arial"/>
          <w:sz w:val="22"/>
          <w:szCs w:val="22"/>
        </w:rPr>
      </w:pPr>
      <w:r w:rsidRPr="004F6A20">
        <w:rPr>
          <w:rFonts w:ascii="Arial" w:hAnsi="Arial" w:cs="Arial"/>
          <w:sz w:val="22"/>
          <w:szCs w:val="22"/>
        </w:rPr>
        <w:t>Las demás que le encomiende dicha Ley, el Consejo Estatal y el Consejero Presidente.</w:t>
      </w:r>
    </w:p>
    <w:p w14:paraId="031BE442" w14:textId="77777777" w:rsidR="00947F5B" w:rsidRPr="004F6A20" w:rsidRDefault="00947F5B" w:rsidP="004F6A20">
      <w:pPr>
        <w:rPr>
          <w:rFonts w:ascii="Arial" w:hAnsi="Arial" w:cs="Arial"/>
          <w:sz w:val="22"/>
          <w:szCs w:val="22"/>
        </w:rPr>
      </w:pPr>
      <w:r w:rsidRPr="004F6A20">
        <w:rPr>
          <w:rFonts w:ascii="Arial" w:hAnsi="Arial" w:cs="Arial"/>
          <w:sz w:val="22"/>
          <w:szCs w:val="22"/>
        </w:rPr>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14:paraId="601069A7" w14:textId="48011065" w:rsidR="00947F5B" w:rsidRPr="004F6A20" w:rsidRDefault="00947F5B" w:rsidP="004F6A20">
      <w:pPr>
        <w:pStyle w:val="Ttulo2"/>
        <w:spacing w:before="240"/>
        <w:rPr>
          <w:rFonts w:ascii="Arial" w:hAnsi="Arial" w:cs="Arial"/>
          <w:sz w:val="22"/>
          <w:szCs w:val="22"/>
        </w:rPr>
      </w:pPr>
      <w:r w:rsidRPr="004F6A20">
        <w:rPr>
          <w:rFonts w:ascii="Arial" w:hAnsi="Arial" w:cs="Arial"/>
          <w:sz w:val="22"/>
          <w:szCs w:val="22"/>
        </w:rPr>
        <w:t>Administración de los recursos financieros y materiales del Instituto</w:t>
      </w:r>
    </w:p>
    <w:p w14:paraId="418BA661" w14:textId="70B215EA" w:rsidR="00947F5B" w:rsidRPr="004F6A20" w:rsidRDefault="00947F5B" w:rsidP="004F6A20">
      <w:pPr>
        <w:rPr>
          <w:rFonts w:ascii="Arial" w:hAnsi="Arial" w:cs="Arial"/>
          <w:sz w:val="22"/>
          <w:szCs w:val="22"/>
        </w:rPr>
      </w:pPr>
      <w:r w:rsidRPr="004F6A20">
        <w:rPr>
          <w:rFonts w:ascii="Arial" w:hAnsi="Arial" w:cs="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1061FBBE" w14:textId="77777777" w:rsidR="00BD429A" w:rsidRPr="004F6A20" w:rsidRDefault="00BD429A" w:rsidP="004F6A20">
      <w:pPr>
        <w:pStyle w:val="Ttulo2"/>
        <w:widowControl w:val="0"/>
        <w:spacing w:before="240"/>
        <w:rPr>
          <w:rFonts w:ascii="Arial" w:hAnsi="Arial" w:cs="Arial"/>
          <w:sz w:val="22"/>
          <w:szCs w:val="22"/>
        </w:rPr>
      </w:pPr>
      <w:r w:rsidRPr="004F6A20">
        <w:rPr>
          <w:rFonts w:ascii="Arial" w:hAnsi="Arial" w:cs="Arial"/>
          <w:sz w:val="22"/>
          <w:szCs w:val="22"/>
        </w:rPr>
        <w:lastRenderedPageBreak/>
        <w:t>Etapas del proceso electoral de las personas juzgadoras</w:t>
      </w:r>
    </w:p>
    <w:p w14:paraId="1A0353DC" w14:textId="77777777" w:rsidR="00BD429A" w:rsidRPr="004F6A20" w:rsidRDefault="00BD429A" w:rsidP="004F6A20">
      <w:pPr>
        <w:widowControl w:val="0"/>
        <w:rPr>
          <w:rFonts w:ascii="Arial" w:hAnsi="Arial" w:cs="Arial"/>
          <w:sz w:val="22"/>
          <w:szCs w:val="22"/>
        </w:rPr>
      </w:pPr>
      <w:r w:rsidRPr="004F6A20">
        <w:rPr>
          <w:rFonts w:ascii="Arial" w:hAnsi="Arial" w:cs="Arial"/>
          <w:sz w:val="22"/>
          <w:szCs w:val="22"/>
        </w:rPr>
        <w:t>Que, el artículo 387 numeral 1 de la Ley Electoral establece que, el proceso de elección de las personas juzgadoras del Poder Judicial comprende las siguientes etapas:</w:t>
      </w:r>
    </w:p>
    <w:p w14:paraId="0CB4DC5E" w14:textId="77777777" w:rsidR="00BD429A" w:rsidRPr="004F6A20" w:rsidRDefault="00BD429A" w:rsidP="004F6A20">
      <w:pPr>
        <w:pStyle w:val="Prrafodelista"/>
        <w:widowControl w:val="0"/>
        <w:numPr>
          <w:ilvl w:val="0"/>
          <w:numId w:val="7"/>
        </w:numPr>
        <w:spacing w:before="120" w:after="120"/>
        <w:ind w:left="851" w:hanging="567"/>
        <w:contextualSpacing w:val="0"/>
        <w:rPr>
          <w:rFonts w:ascii="Arial" w:hAnsi="Arial" w:cs="Arial"/>
          <w:sz w:val="22"/>
          <w:szCs w:val="22"/>
        </w:rPr>
      </w:pPr>
      <w:r w:rsidRPr="004F6A20">
        <w:rPr>
          <w:rFonts w:ascii="Arial" w:hAnsi="Arial" w:cs="Arial"/>
          <w:sz w:val="22"/>
          <w:szCs w:val="22"/>
        </w:rPr>
        <w:t>Preparación de la elección;</w:t>
      </w:r>
    </w:p>
    <w:p w14:paraId="1176B388" w14:textId="77777777" w:rsidR="00BD429A" w:rsidRPr="004F6A20" w:rsidRDefault="00BD429A" w:rsidP="004F6A20">
      <w:pPr>
        <w:pStyle w:val="Prrafodelista"/>
        <w:widowControl w:val="0"/>
        <w:numPr>
          <w:ilvl w:val="0"/>
          <w:numId w:val="7"/>
        </w:numPr>
        <w:spacing w:before="120" w:after="120"/>
        <w:ind w:left="851" w:hanging="567"/>
        <w:contextualSpacing w:val="0"/>
        <w:rPr>
          <w:rFonts w:ascii="Arial" w:hAnsi="Arial" w:cs="Arial"/>
          <w:sz w:val="22"/>
          <w:szCs w:val="22"/>
        </w:rPr>
      </w:pPr>
      <w:r w:rsidRPr="004F6A20">
        <w:rPr>
          <w:rFonts w:ascii="Arial" w:hAnsi="Arial" w:cs="Arial"/>
          <w:sz w:val="22"/>
          <w:szCs w:val="22"/>
        </w:rPr>
        <w:t>Convocatoria y postulación de candidaturas;</w:t>
      </w:r>
    </w:p>
    <w:p w14:paraId="11D2106C" w14:textId="77777777" w:rsidR="00BD429A" w:rsidRPr="004F6A20" w:rsidRDefault="00BD429A" w:rsidP="004F6A20">
      <w:pPr>
        <w:pStyle w:val="Prrafodelista"/>
        <w:widowControl w:val="0"/>
        <w:numPr>
          <w:ilvl w:val="0"/>
          <w:numId w:val="7"/>
        </w:numPr>
        <w:spacing w:before="120" w:after="120"/>
        <w:ind w:left="851" w:hanging="567"/>
        <w:contextualSpacing w:val="0"/>
        <w:rPr>
          <w:rFonts w:ascii="Arial" w:hAnsi="Arial" w:cs="Arial"/>
          <w:sz w:val="22"/>
          <w:szCs w:val="22"/>
        </w:rPr>
      </w:pPr>
      <w:r w:rsidRPr="004F6A20">
        <w:rPr>
          <w:rFonts w:ascii="Arial" w:hAnsi="Arial" w:cs="Arial"/>
          <w:sz w:val="22"/>
          <w:szCs w:val="22"/>
        </w:rPr>
        <w:t>Jornada electoral;</w:t>
      </w:r>
    </w:p>
    <w:p w14:paraId="42CCB28F" w14:textId="77777777" w:rsidR="00BD429A" w:rsidRPr="004F6A20" w:rsidRDefault="00BD429A" w:rsidP="004F6A20">
      <w:pPr>
        <w:pStyle w:val="Prrafodelista"/>
        <w:widowControl w:val="0"/>
        <w:numPr>
          <w:ilvl w:val="0"/>
          <w:numId w:val="7"/>
        </w:numPr>
        <w:spacing w:before="120" w:after="120"/>
        <w:ind w:left="851" w:hanging="567"/>
        <w:contextualSpacing w:val="0"/>
        <w:rPr>
          <w:rFonts w:ascii="Arial" w:hAnsi="Arial" w:cs="Arial"/>
          <w:sz w:val="22"/>
          <w:szCs w:val="22"/>
        </w:rPr>
      </w:pPr>
      <w:r w:rsidRPr="004F6A20">
        <w:rPr>
          <w:rFonts w:ascii="Arial" w:hAnsi="Arial" w:cs="Arial"/>
          <w:sz w:val="22"/>
          <w:szCs w:val="22"/>
        </w:rPr>
        <w:t>Cómputos y sumatoria;</w:t>
      </w:r>
    </w:p>
    <w:p w14:paraId="41EB020C" w14:textId="77777777" w:rsidR="00BD429A" w:rsidRPr="004F6A20" w:rsidRDefault="00BD429A" w:rsidP="004F6A20">
      <w:pPr>
        <w:pStyle w:val="Prrafodelista"/>
        <w:widowControl w:val="0"/>
        <w:numPr>
          <w:ilvl w:val="0"/>
          <w:numId w:val="7"/>
        </w:numPr>
        <w:spacing w:before="120" w:after="120"/>
        <w:ind w:left="851" w:hanging="567"/>
        <w:contextualSpacing w:val="0"/>
        <w:rPr>
          <w:rFonts w:ascii="Arial" w:hAnsi="Arial" w:cs="Arial"/>
          <w:sz w:val="22"/>
          <w:szCs w:val="22"/>
        </w:rPr>
      </w:pPr>
      <w:r w:rsidRPr="004F6A20">
        <w:rPr>
          <w:rFonts w:ascii="Arial" w:hAnsi="Arial" w:cs="Arial"/>
          <w:sz w:val="22"/>
          <w:szCs w:val="22"/>
        </w:rPr>
        <w:t>Asignación de cargos, y</w:t>
      </w:r>
    </w:p>
    <w:p w14:paraId="6FBA67FD" w14:textId="77777777" w:rsidR="00BD429A" w:rsidRPr="004F6A20" w:rsidRDefault="00BD429A" w:rsidP="004F6A20">
      <w:pPr>
        <w:pStyle w:val="Prrafodelista"/>
        <w:widowControl w:val="0"/>
        <w:numPr>
          <w:ilvl w:val="0"/>
          <w:numId w:val="7"/>
        </w:numPr>
        <w:spacing w:before="120" w:after="120"/>
        <w:ind w:left="851" w:hanging="567"/>
        <w:contextualSpacing w:val="0"/>
        <w:rPr>
          <w:rFonts w:ascii="Arial" w:hAnsi="Arial" w:cs="Arial"/>
          <w:sz w:val="22"/>
          <w:szCs w:val="22"/>
        </w:rPr>
      </w:pPr>
      <w:r w:rsidRPr="004F6A20">
        <w:rPr>
          <w:rFonts w:ascii="Arial" w:hAnsi="Arial" w:cs="Arial"/>
          <w:sz w:val="22"/>
          <w:szCs w:val="22"/>
        </w:rPr>
        <w:t>La entrega de constancias de mayoría y declaración de validez de la elección.</w:t>
      </w:r>
    </w:p>
    <w:p w14:paraId="5D3448BF" w14:textId="3B1A2ADF" w:rsidR="00BD429A" w:rsidRDefault="00BD429A" w:rsidP="004F6A20">
      <w:pPr>
        <w:widowControl w:val="0"/>
        <w:rPr>
          <w:rFonts w:ascii="Arial" w:hAnsi="Arial" w:cs="Arial"/>
          <w:sz w:val="22"/>
          <w:szCs w:val="22"/>
        </w:rPr>
      </w:pPr>
      <w:r w:rsidRPr="004F6A20">
        <w:rPr>
          <w:rFonts w:ascii="Arial" w:hAnsi="Arial" w:cs="Arial"/>
          <w:sz w:val="22"/>
          <w:szCs w:val="22"/>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39D7C0B2" w14:textId="77777777" w:rsidR="00BD429A" w:rsidRPr="004F6A20" w:rsidRDefault="00BD429A" w:rsidP="004F6A20">
      <w:pPr>
        <w:widowControl w:val="0"/>
        <w:rPr>
          <w:rFonts w:ascii="Arial" w:hAnsi="Arial" w:cs="Arial"/>
          <w:sz w:val="22"/>
          <w:szCs w:val="22"/>
        </w:rPr>
      </w:pPr>
      <w:r w:rsidRPr="004F6A20">
        <w:rPr>
          <w:rFonts w:ascii="Arial" w:hAnsi="Arial" w:cs="Arial"/>
          <w:sz w:val="22"/>
          <w:szCs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2508496D" w14:textId="77777777" w:rsidR="00BD429A" w:rsidRPr="004F6A20" w:rsidRDefault="00BD429A" w:rsidP="004F6A20">
      <w:pPr>
        <w:widowControl w:val="0"/>
        <w:rPr>
          <w:rFonts w:ascii="Arial" w:hAnsi="Arial" w:cs="Arial"/>
          <w:sz w:val="22"/>
          <w:szCs w:val="22"/>
        </w:rPr>
      </w:pPr>
      <w:r w:rsidRPr="004F6A20">
        <w:rPr>
          <w:rFonts w:ascii="Arial" w:hAnsi="Arial" w:cs="Arial"/>
          <w:sz w:val="22"/>
          <w:szCs w:val="22"/>
        </w:rPr>
        <w:t>En el caso de la jornada electoral, ésta inicia a las 8:00 horas del primer domingo de junio del año que corresponda y concluye con el cómputo de los votos en casilla, de conformidad con el numeral 4 del artículo 387 de la Ley Electoral.</w:t>
      </w:r>
    </w:p>
    <w:p w14:paraId="49F5AF7E" w14:textId="77777777" w:rsidR="00BD429A" w:rsidRPr="004F6A20" w:rsidRDefault="00BD429A" w:rsidP="004F6A20">
      <w:pPr>
        <w:widowControl w:val="0"/>
        <w:rPr>
          <w:rFonts w:ascii="Arial" w:hAnsi="Arial" w:cs="Arial"/>
          <w:sz w:val="22"/>
          <w:szCs w:val="22"/>
        </w:rPr>
      </w:pPr>
      <w:r w:rsidRPr="004F6A20">
        <w:rPr>
          <w:rFonts w:ascii="Arial" w:hAnsi="Arial" w:cs="Arial"/>
          <w:sz w:val="22"/>
          <w:szCs w:val="22"/>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715A46E4" w14:textId="77777777" w:rsidR="00BD429A" w:rsidRPr="004F6A20" w:rsidRDefault="00BD429A" w:rsidP="004F6A20">
      <w:pPr>
        <w:widowControl w:val="0"/>
        <w:rPr>
          <w:rFonts w:ascii="Arial" w:hAnsi="Arial" w:cs="Arial"/>
          <w:sz w:val="22"/>
          <w:szCs w:val="22"/>
        </w:rPr>
      </w:pPr>
      <w:r w:rsidRPr="004F6A20">
        <w:rPr>
          <w:rFonts w:ascii="Arial" w:hAnsi="Arial" w:cs="Arial"/>
          <w:sz w:val="22"/>
          <w:szCs w:val="22"/>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2F5E9C07" w14:textId="093FCE4F" w:rsidR="00BD429A" w:rsidRDefault="00BD429A" w:rsidP="004F6A20">
      <w:pPr>
        <w:widowControl w:val="0"/>
        <w:rPr>
          <w:rFonts w:ascii="Arial" w:hAnsi="Arial" w:cs="Arial"/>
          <w:sz w:val="22"/>
          <w:szCs w:val="22"/>
        </w:rPr>
      </w:pPr>
      <w:r w:rsidRPr="004F6A20">
        <w:rPr>
          <w:rFonts w:ascii="Arial" w:hAnsi="Arial" w:cs="Arial"/>
          <w:sz w:val="22"/>
          <w:szCs w:val="22"/>
        </w:rPr>
        <w:t xml:space="preserve">Finalmente, en términos del numeral 7 del artículo citado, la etapa de calificación y declaración de validez inicia al resolverse el último de los medios de impugnación que se </w:t>
      </w:r>
      <w:r w:rsidRPr="004F6A20">
        <w:rPr>
          <w:rFonts w:ascii="Arial" w:hAnsi="Arial" w:cs="Arial"/>
          <w:sz w:val="22"/>
          <w:szCs w:val="22"/>
        </w:rPr>
        <w:lastRenderedPageBreak/>
        <w:t>hubiesen interpuesto en contra de las elecciones respectivas o cuando se tenga constancia de que no se presentó ninguno, y concluye al aprobar el Tribunal Electoral el dictamen que contenga el cómputo final de la elección.</w:t>
      </w:r>
    </w:p>
    <w:p w14:paraId="312B1B09" w14:textId="6677812C" w:rsidR="00947F5B" w:rsidRPr="004F6A20" w:rsidRDefault="00947F5B" w:rsidP="004F6A20">
      <w:pPr>
        <w:pStyle w:val="Ttulo2"/>
        <w:spacing w:before="240"/>
        <w:rPr>
          <w:rFonts w:ascii="Arial" w:hAnsi="Arial" w:cs="Arial"/>
          <w:sz w:val="22"/>
          <w:szCs w:val="22"/>
        </w:rPr>
      </w:pPr>
      <w:r w:rsidRPr="004F6A20">
        <w:rPr>
          <w:rFonts w:ascii="Arial" w:hAnsi="Arial" w:cs="Arial"/>
          <w:sz w:val="22"/>
          <w:szCs w:val="22"/>
        </w:rPr>
        <w:t>Regulación de las relaciones de trabajo</w:t>
      </w:r>
    </w:p>
    <w:p w14:paraId="5DB8E4A9" w14:textId="77777777" w:rsidR="00947F5B" w:rsidRPr="004F6A20" w:rsidRDefault="00947F5B" w:rsidP="004F6A20">
      <w:pPr>
        <w:rPr>
          <w:rFonts w:ascii="Arial" w:hAnsi="Arial" w:cs="Arial"/>
          <w:sz w:val="22"/>
          <w:szCs w:val="22"/>
        </w:rPr>
      </w:pPr>
      <w:r w:rsidRPr="004F6A20">
        <w:rPr>
          <w:rFonts w:ascii="Arial" w:hAnsi="Arial" w:cs="Arial"/>
          <w:sz w:val="22"/>
          <w:szCs w:val="22"/>
        </w:rPr>
        <w:t>Que, de conformidad con los artículos 206 numeral 1 de la Ley General y 163 de la Ley Electoral, todo el personal del Instituto será considerado de confianza y quedará sujeto al régimen establecido en la fracción XIV del apartado "B" del artículo 123 de la Constitución.</w:t>
      </w:r>
    </w:p>
    <w:p w14:paraId="192910AC" w14:textId="77777777" w:rsidR="00947F5B" w:rsidRPr="004F6A20" w:rsidRDefault="00947F5B" w:rsidP="004F6A20">
      <w:pPr>
        <w:rPr>
          <w:rFonts w:ascii="Arial" w:hAnsi="Arial" w:cs="Arial"/>
          <w:sz w:val="22"/>
          <w:szCs w:val="22"/>
        </w:rPr>
      </w:pPr>
      <w:r w:rsidRPr="004F6A20">
        <w:rPr>
          <w:rFonts w:ascii="Arial" w:hAnsi="Arial" w:cs="Arial"/>
          <w:sz w:val="22"/>
          <w:szCs w:val="22"/>
        </w:rPr>
        <w:t>Asimismo, en términos del numeral 4 del artículo señalado, las relaciones de trabajo entre los órganos públicos locales y sus trabajadores se regirán por las leyes locales, de conformidad con lo dispuesto por el artículo 123 de la Constitución.</w:t>
      </w:r>
    </w:p>
    <w:p w14:paraId="577151D4" w14:textId="1F1E26D1" w:rsidR="00947F5B" w:rsidRPr="004F6A20" w:rsidRDefault="00947F5B" w:rsidP="004F6A20">
      <w:pPr>
        <w:pStyle w:val="Ttulo2"/>
        <w:spacing w:before="240"/>
        <w:rPr>
          <w:rFonts w:ascii="Arial" w:hAnsi="Arial" w:cs="Arial"/>
          <w:sz w:val="22"/>
          <w:szCs w:val="22"/>
        </w:rPr>
      </w:pPr>
      <w:r w:rsidRPr="004F6A20">
        <w:rPr>
          <w:rFonts w:ascii="Arial" w:hAnsi="Arial" w:cs="Arial"/>
          <w:sz w:val="22"/>
          <w:szCs w:val="22"/>
        </w:rPr>
        <w:t>Derecho a vacaciones</w:t>
      </w:r>
    </w:p>
    <w:p w14:paraId="315D0676" w14:textId="77777777" w:rsidR="00947F5B" w:rsidRPr="004F6A20" w:rsidRDefault="00947F5B" w:rsidP="004F6A20">
      <w:pPr>
        <w:rPr>
          <w:rFonts w:ascii="Arial" w:hAnsi="Arial" w:cs="Arial"/>
          <w:sz w:val="22"/>
          <w:szCs w:val="22"/>
        </w:rPr>
      </w:pPr>
      <w:r w:rsidRPr="004F6A20">
        <w:rPr>
          <w:rFonts w:ascii="Arial" w:hAnsi="Arial" w:cs="Arial"/>
          <w:sz w:val="22"/>
          <w:szCs w:val="22"/>
        </w:rPr>
        <w:t>Que, el artículo 34 de la Ley de los Trabajadores al Servicio del Estado dispone que, la o el trabajador con más de seis meses consecutivos de servicios, disfrutará de dos períodos anuales de vacaciones de 10 días hábiles cada uno, en las fechas que fijen las entidades públicas. Se dejarán guardias para la tramitación de los asuntos urgentes, utilizando de preferencia los servicios de quienes no tuvieran derecho a vacaciones. La o el trabajador que, por razones de servicio, no goce de vacaciones en las fechas señaladas, las tomará en los 10 días siguientes del período normal. El trabajador que labore en período de vacaciones no tendrá derecho a doble paga de sueldo, ni las vacaciones podrán compensarse con remuneración. Si la duración del trabajo termina antes de que se cumpla un año de servicio, el trabajador tendrá derecho a una remuneración proporcional por los servicios prestados.</w:t>
      </w:r>
    </w:p>
    <w:p w14:paraId="58CDAB8A" w14:textId="77777777" w:rsidR="00947F5B" w:rsidRPr="004F6A20" w:rsidRDefault="00947F5B" w:rsidP="004F6A20">
      <w:pPr>
        <w:rPr>
          <w:rFonts w:ascii="Arial" w:hAnsi="Arial" w:cs="Arial"/>
          <w:sz w:val="22"/>
          <w:szCs w:val="22"/>
        </w:rPr>
      </w:pPr>
      <w:r w:rsidRPr="004F6A20">
        <w:rPr>
          <w:rFonts w:ascii="Arial" w:hAnsi="Arial" w:cs="Arial"/>
          <w:sz w:val="22"/>
          <w:szCs w:val="22"/>
        </w:rPr>
        <w:t>Acorde a lo anterior, el artículo 190 del Estatuto establece que, por cada seis meses de servicio consecutivo el personal administrativo gozará de diez días hábiles de vacaciones, y durante los Procesos Electorales se pospondrá el disfrute de vacaciones, descansos y permisos, restaurándose el goce de esos derechos una vez concluido el Proceso Electoral respectivo.</w:t>
      </w:r>
    </w:p>
    <w:p w14:paraId="653AC2B1" w14:textId="79B72553" w:rsidR="00947F5B" w:rsidRPr="004F6A20" w:rsidRDefault="00947F5B" w:rsidP="004F6A20">
      <w:pPr>
        <w:pStyle w:val="Ttulo2"/>
        <w:spacing w:before="240"/>
        <w:rPr>
          <w:rFonts w:ascii="Arial" w:hAnsi="Arial" w:cs="Arial"/>
          <w:sz w:val="22"/>
          <w:szCs w:val="22"/>
        </w:rPr>
      </w:pPr>
      <w:r w:rsidRPr="004F6A20">
        <w:rPr>
          <w:rFonts w:ascii="Arial" w:hAnsi="Arial" w:cs="Arial"/>
          <w:sz w:val="22"/>
          <w:szCs w:val="22"/>
        </w:rPr>
        <w:t>Determinación de los períodos vacacionales</w:t>
      </w:r>
    </w:p>
    <w:p w14:paraId="6189F4BF" w14:textId="4E5F1156" w:rsidR="00BF63B9" w:rsidRPr="004F6A20" w:rsidRDefault="00947F5B" w:rsidP="004F6A20">
      <w:pPr>
        <w:rPr>
          <w:rFonts w:ascii="Arial" w:hAnsi="Arial" w:cs="Arial"/>
          <w:sz w:val="22"/>
          <w:szCs w:val="22"/>
        </w:rPr>
      </w:pPr>
      <w:r w:rsidRPr="004F6A20">
        <w:rPr>
          <w:rFonts w:ascii="Arial" w:hAnsi="Arial" w:cs="Arial"/>
          <w:sz w:val="22"/>
          <w:szCs w:val="22"/>
        </w:rPr>
        <w:t xml:space="preserve">Que, </w:t>
      </w:r>
      <w:r w:rsidR="00BF63B9" w:rsidRPr="004F6A20">
        <w:rPr>
          <w:rFonts w:ascii="Arial" w:hAnsi="Arial" w:cs="Arial"/>
          <w:sz w:val="22"/>
          <w:szCs w:val="22"/>
        </w:rPr>
        <w:t xml:space="preserve">como se mencionó en los antecedentes del presente acuerdo, en el año en curso de llevará a cabo la jornada electoral relacionada con el Proceso Electoral Extraordinario. No obstante, de acuerdo con el artículo 387 numeral 7 de la Ley Electoral, la etapa de calificación y declaración de validez inicia al resolverse el último de los medios de impugnación que se hubiesen interpuesto en contra de las elecciones respectivas o cuando </w:t>
      </w:r>
      <w:r w:rsidR="00BF63B9" w:rsidRPr="004F6A20">
        <w:rPr>
          <w:rFonts w:ascii="Arial" w:hAnsi="Arial" w:cs="Arial"/>
          <w:sz w:val="22"/>
          <w:szCs w:val="22"/>
        </w:rPr>
        <w:lastRenderedPageBreak/>
        <w:t>se tenga constancia de que no se presentó ninguno, y concluye al aprobar el Tribunal Electoral el dictamen que contenga el cómputo final de la elección.</w:t>
      </w:r>
    </w:p>
    <w:p w14:paraId="2F049E25" w14:textId="491D0C53" w:rsidR="00BF63B9" w:rsidRPr="004F6A20" w:rsidRDefault="00BF63B9" w:rsidP="004F6A20">
      <w:pPr>
        <w:rPr>
          <w:rFonts w:ascii="Arial" w:hAnsi="Arial" w:cs="Arial"/>
          <w:sz w:val="22"/>
          <w:szCs w:val="22"/>
        </w:rPr>
      </w:pPr>
      <w:r w:rsidRPr="004F6A20">
        <w:rPr>
          <w:rFonts w:ascii="Arial" w:hAnsi="Arial" w:cs="Arial"/>
          <w:sz w:val="22"/>
          <w:szCs w:val="22"/>
        </w:rPr>
        <w:t>En ese sentido, conforme al calendario electoral aprobado por el Consejo Estatal, el 15 de agosto del año en curso, es la fecha límite para que el Tribunal Electoral de Tabasco resuelva las impugnaciones que, en su caso, se lleguen a presentar en contra de los resultados de la elección.</w:t>
      </w:r>
    </w:p>
    <w:p w14:paraId="09EAF292" w14:textId="26B97C12" w:rsidR="000E0C23" w:rsidRPr="004F6A20" w:rsidRDefault="000E0C23" w:rsidP="004F6A20">
      <w:pPr>
        <w:rPr>
          <w:rFonts w:ascii="Arial" w:hAnsi="Arial" w:cs="Arial"/>
          <w:sz w:val="22"/>
          <w:szCs w:val="22"/>
        </w:rPr>
      </w:pPr>
      <w:r w:rsidRPr="004F6A20">
        <w:rPr>
          <w:rFonts w:ascii="Arial" w:hAnsi="Arial" w:cs="Arial"/>
          <w:sz w:val="22"/>
          <w:szCs w:val="22"/>
        </w:rPr>
        <w:t>Lo anterior implica que, finales del mes de julio y principios de agosto, las actividades sustanciales para el desarrollo y organización del Proceso Electoral Extraordinario habrán concluido, quedando pendiente, únicamente, la resolución que emita el órgano jurisdiccional, para el caso de que se presenten medios de impugnación en contra de los resultados.</w:t>
      </w:r>
    </w:p>
    <w:p w14:paraId="3FC5871C" w14:textId="210570F6" w:rsidR="00C53B90" w:rsidRPr="004F6A20" w:rsidRDefault="0006514F" w:rsidP="004F6A20">
      <w:pPr>
        <w:rPr>
          <w:rFonts w:ascii="Arial" w:hAnsi="Arial" w:cs="Arial"/>
          <w:sz w:val="22"/>
          <w:szCs w:val="22"/>
        </w:rPr>
      </w:pPr>
      <w:r w:rsidRPr="004F6A20">
        <w:rPr>
          <w:rFonts w:ascii="Arial" w:hAnsi="Arial" w:cs="Arial"/>
          <w:sz w:val="22"/>
          <w:szCs w:val="22"/>
        </w:rPr>
        <w:t>Cabe señalar que, la brevedad de los plazos y la dinámica de la organización, el personal del Instituto ha realizado sus actividades cubriendo una jornada laboral que implica tiempo extraordinario y en ocasiones, la ausencia de días de descanso. Si bien, tratándose de procesos electorales, de conformidad con el artículo 154 numeral 1 de la Ley Electoral, todos los días y horas son hábiles, ello no implica que, el personal no cuente con sus días de descanso; siempre y cuando, no exista actividad urgente que requiera una atención específica.</w:t>
      </w:r>
    </w:p>
    <w:p w14:paraId="46CF1958" w14:textId="77777777" w:rsidR="00DA3E08" w:rsidRPr="004F6A20" w:rsidRDefault="00DA3E08" w:rsidP="004F6A20">
      <w:pPr>
        <w:rPr>
          <w:rFonts w:ascii="Arial" w:hAnsi="Arial" w:cs="Arial"/>
          <w:sz w:val="22"/>
          <w:szCs w:val="22"/>
        </w:rPr>
      </w:pPr>
      <w:r w:rsidRPr="004F6A20">
        <w:rPr>
          <w:rFonts w:ascii="Arial" w:hAnsi="Arial" w:cs="Arial"/>
          <w:sz w:val="22"/>
          <w:szCs w:val="22"/>
        </w:rPr>
        <w:t xml:space="preserve">Como consecuencia de lo anterior y considerando </w:t>
      </w:r>
      <w:r w:rsidR="00947F5B" w:rsidRPr="004F6A20">
        <w:rPr>
          <w:rFonts w:ascii="Arial" w:hAnsi="Arial" w:cs="Arial"/>
          <w:sz w:val="22"/>
          <w:szCs w:val="22"/>
        </w:rPr>
        <w:t xml:space="preserve">que las </w:t>
      </w:r>
      <w:r w:rsidRPr="004F6A20">
        <w:rPr>
          <w:rFonts w:ascii="Arial" w:hAnsi="Arial" w:cs="Arial"/>
          <w:sz w:val="22"/>
          <w:szCs w:val="22"/>
        </w:rPr>
        <w:t>etapas sustanciales del Proceso Electoral Extraordinario que corresponden a este Instituto concluyen una vez realizado los cómputos de la elección, lo cual sucederá a más tardar el 30 de junio del año en curso, este órgano electoral, en mérito del trabajo realizado por el personal del Instituto, considera viable determinar el primer período vacacional</w:t>
      </w:r>
      <w:r w:rsidR="00947F5B" w:rsidRPr="004F6A20">
        <w:rPr>
          <w:rFonts w:ascii="Arial" w:hAnsi="Arial" w:cs="Arial"/>
          <w:sz w:val="22"/>
          <w:szCs w:val="22"/>
        </w:rPr>
        <w:t xml:space="preserve">. </w:t>
      </w:r>
    </w:p>
    <w:p w14:paraId="0945CF78" w14:textId="77777777" w:rsidR="00DA3E08" w:rsidRPr="004F6A20" w:rsidRDefault="00DA3E08" w:rsidP="004F6A20">
      <w:pPr>
        <w:rPr>
          <w:rFonts w:ascii="Arial" w:hAnsi="Arial" w:cs="Arial"/>
          <w:sz w:val="22"/>
          <w:szCs w:val="22"/>
        </w:rPr>
      </w:pPr>
      <w:r w:rsidRPr="004F6A20">
        <w:rPr>
          <w:rFonts w:ascii="Arial" w:hAnsi="Arial" w:cs="Arial"/>
          <w:sz w:val="22"/>
          <w:szCs w:val="22"/>
        </w:rPr>
        <w:t>Además, la medida contribuye a la certidumbre para aquellas organizaciones ciudadanas que se encuentren en proceso de constitución de un partido político local, tenga la información disponible, respecto a los días en los que el personal disfrutará del derecho a vacaciones; y, con ello, planifique las asambleas que exigen las disposiciones legales para tal propósito.</w:t>
      </w:r>
    </w:p>
    <w:p w14:paraId="324BF17D" w14:textId="120C22B5" w:rsidR="00947F5B" w:rsidRPr="004F6A20" w:rsidRDefault="00947F5B" w:rsidP="004F6A20">
      <w:pPr>
        <w:rPr>
          <w:rFonts w:ascii="Arial" w:hAnsi="Arial" w:cs="Arial"/>
          <w:sz w:val="22"/>
          <w:szCs w:val="22"/>
        </w:rPr>
      </w:pPr>
      <w:r w:rsidRPr="004F6A20">
        <w:rPr>
          <w:rFonts w:ascii="Arial" w:hAnsi="Arial" w:cs="Arial"/>
          <w:sz w:val="22"/>
          <w:szCs w:val="22"/>
        </w:rPr>
        <w:t xml:space="preserve">A partir de lo anterior, </w:t>
      </w:r>
      <w:r w:rsidR="0057668E" w:rsidRPr="004F6A20">
        <w:rPr>
          <w:rFonts w:ascii="Arial" w:hAnsi="Arial" w:cs="Arial"/>
          <w:sz w:val="22"/>
          <w:szCs w:val="22"/>
        </w:rPr>
        <w:t>el primer</w:t>
      </w:r>
      <w:r w:rsidRPr="004F6A20">
        <w:rPr>
          <w:rFonts w:ascii="Arial" w:hAnsi="Arial" w:cs="Arial"/>
          <w:sz w:val="22"/>
          <w:szCs w:val="22"/>
        </w:rPr>
        <w:t xml:space="preserve"> período vacacion</w:t>
      </w:r>
      <w:r w:rsidR="0057668E" w:rsidRPr="004F6A20">
        <w:rPr>
          <w:rFonts w:ascii="Arial" w:hAnsi="Arial" w:cs="Arial"/>
          <w:sz w:val="22"/>
          <w:szCs w:val="22"/>
        </w:rPr>
        <w:t>al</w:t>
      </w:r>
      <w:r w:rsidRPr="004F6A20">
        <w:rPr>
          <w:rFonts w:ascii="Arial" w:hAnsi="Arial" w:cs="Arial"/>
          <w:sz w:val="22"/>
          <w:szCs w:val="22"/>
        </w:rPr>
        <w:t xml:space="preserve"> </w:t>
      </w:r>
      <w:r w:rsidR="0057668E" w:rsidRPr="004F6A20">
        <w:rPr>
          <w:rFonts w:ascii="Arial" w:hAnsi="Arial" w:cs="Arial"/>
          <w:b/>
          <w:bCs/>
          <w:sz w:val="22"/>
          <w:szCs w:val="22"/>
        </w:rPr>
        <w:t xml:space="preserve">será del </w:t>
      </w:r>
      <w:r w:rsidRPr="004F6A20">
        <w:rPr>
          <w:rFonts w:ascii="Arial" w:hAnsi="Arial" w:cs="Arial"/>
          <w:b/>
          <w:bCs/>
          <w:sz w:val="22"/>
          <w:szCs w:val="22"/>
        </w:rPr>
        <w:t>2</w:t>
      </w:r>
      <w:r w:rsidR="0057668E" w:rsidRPr="004F6A20">
        <w:rPr>
          <w:rFonts w:ascii="Arial" w:hAnsi="Arial" w:cs="Arial"/>
          <w:b/>
          <w:bCs/>
          <w:sz w:val="22"/>
          <w:szCs w:val="22"/>
        </w:rPr>
        <w:t>8</w:t>
      </w:r>
      <w:r w:rsidRPr="004F6A20">
        <w:rPr>
          <w:rFonts w:ascii="Arial" w:hAnsi="Arial" w:cs="Arial"/>
          <w:b/>
          <w:bCs/>
          <w:sz w:val="22"/>
          <w:szCs w:val="22"/>
        </w:rPr>
        <w:t xml:space="preserve"> de </w:t>
      </w:r>
      <w:r w:rsidR="0057668E" w:rsidRPr="004F6A20">
        <w:rPr>
          <w:rFonts w:ascii="Arial" w:hAnsi="Arial" w:cs="Arial"/>
          <w:b/>
          <w:bCs/>
          <w:sz w:val="22"/>
          <w:szCs w:val="22"/>
        </w:rPr>
        <w:t xml:space="preserve">julio al 8 de </w:t>
      </w:r>
      <w:r w:rsidRPr="004F6A20">
        <w:rPr>
          <w:rFonts w:ascii="Arial" w:hAnsi="Arial" w:cs="Arial"/>
          <w:b/>
          <w:bCs/>
          <w:sz w:val="22"/>
          <w:szCs w:val="22"/>
        </w:rPr>
        <w:t xml:space="preserve">agosto, debiendo reanudar labores el </w:t>
      </w:r>
      <w:r w:rsidR="0057668E" w:rsidRPr="004F6A20">
        <w:rPr>
          <w:rFonts w:ascii="Arial" w:hAnsi="Arial" w:cs="Arial"/>
          <w:b/>
          <w:bCs/>
          <w:sz w:val="22"/>
          <w:szCs w:val="22"/>
        </w:rPr>
        <w:t>11</w:t>
      </w:r>
      <w:r w:rsidRPr="004F6A20">
        <w:rPr>
          <w:rFonts w:ascii="Arial" w:hAnsi="Arial" w:cs="Arial"/>
          <w:b/>
          <w:bCs/>
          <w:sz w:val="22"/>
          <w:szCs w:val="22"/>
        </w:rPr>
        <w:t xml:space="preserve"> de </w:t>
      </w:r>
      <w:r w:rsidR="0057668E" w:rsidRPr="004F6A20">
        <w:rPr>
          <w:rFonts w:ascii="Arial" w:hAnsi="Arial" w:cs="Arial"/>
          <w:b/>
          <w:bCs/>
          <w:sz w:val="22"/>
          <w:szCs w:val="22"/>
        </w:rPr>
        <w:t xml:space="preserve">agosto </w:t>
      </w:r>
      <w:r w:rsidRPr="004F6A20">
        <w:rPr>
          <w:rFonts w:ascii="Arial" w:hAnsi="Arial" w:cs="Arial"/>
          <w:b/>
          <w:bCs/>
          <w:sz w:val="22"/>
          <w:szCs w:val="22"/>
        </w:rPr>
        <w:t>de 202</w:t>
      </w:r>
      <w:r w:rsidR="0057668E" w:rsidRPr="004F6A20">
        <w:rPr>
          <w:rFonts w:ascii="Arial" w:hAnsi="Arial" w:cs="Arial"/>
          <w:b/>
          <w:bCs/>
          <w:sz w:val="22"/>
          <w:szCs w:val="22"/>
        </w:rPr>
        <w:t>5.</w:t>
      </w:r>
    </w:p>
    <w:p w14:paraId="0157D8A7" w14:textId="77777777" w:rsidR="00947F5B" w:rsidRPr="004F6A20" w:rsidRDefault="00947F5B" w:rsidP="004F6A20">
      <w:pPr>
        <w:rPr>
          <w:rFonts w:ascii="Arial" w:hAnsi="Arial" w:cs="Arial"/>
          <w:sz w:val="22"/>
          <w:szCs w:val="22"/>
        </w:rPr>
      </w:pPr>
      <w:r w:rsidRPr="004F6A20">
        <w:rPr>
          <w:rFonts w:ascii="Arial" w:hAnsi="Arial" w:cs="Arial"/>
          <w:sz w:val="22"/>
          <w:szCs w:val="22"/>
        </w:rPr>
        <w:t xml:space="preserve">Para efectos de lo anterior, las y los titulares de área deberán informar a la Secretaría Ejecutiva los nombres del personal a su cargo que cuenten con derecho a goce de vacaciones, así como el periodo por el que cada uno optará. </w:t>
      </w:r>
    </w:p>
    <w:p w14:paraId="221F337F" w14:textId="71738B9B" w:rsidR="00947F5B" w:rsidRPr="004F6A20" w:rsidRDefault="00947F5B" w:rsidP="004F6A20">
      <w:pPr>
        <w:rPr>
          <w:rFonts w:ascii="Arial" w:hAnsi="Arial" w:cs="Arial"/>
          <w:sz w:val="22"/>
          <w:szCs w:val="22"/>
        </w:rPr>
      </w:pPr>
      <w:r w:rsidRPr="004F6A20">
        <w:rPr>
          <w:rFonts w:ascii="Arial" w:hAnsi="Arial" w:cs="Arial"/>
          <w:sz w:val="22"/>
          <w:szCs w:val="22"/>
        </w:rPr>
        <w:lastRenderedPageBreak/>
        <w:t xml:space="preserve">En todo caso, </w:t>
      </w:r>
      <w:r w:rsidR="00DA3E08" w:rsidRPr="004F6A20">
        <w:rPr>
          <w:rFonts w:ascii="Arial" w:hAnsi="Arial" w:cs="Arial"/>
          <w:sz w:val="22"/>
          <w:szCs w:val="22"/>
        </w:rPr>
        <w:t xml:space="preserve">en aquellas </w:t>
      </w:r>
      <w:r w:rsidRPr="004F6A20">
        <w:rPr>
          <w:rFonts w:ascii="Arial" w:hAnsi="Arial" w:cs="Arial"/>
          <w:sz w:val="22"/>
          <w:szCs w:val="22"/>
        </w:rPr>
        <w:t>actividades relacionadas con el proceso electoral</w:t>
      </w:r>
      <w:r w:rsidR="00DA3E08" w:rsidRPr="004F6A20">
        <w:rPr>
          <w:rFonts w:ascii="Arial" w:hAnsi="Arial" w:cs="Arial"/>
          <w:sz w:val="22"/>
          <w:szCs w:val="22"/>
        </w:rPr>
        <w:t xml:space="preserve"> que así lo exijan</w:t>
      </w:r>
      <w:r w:rsidRPr="004F6A20">
        <w:rPr>
          <w:rFonts w:ascii="Arial" w:hAnsi="Arial" w:cs="Arial"/>
          <w:sz w:val="22"/>
          <w:szCs w:val="22"/>
        </w:rPr>
        <w:t xml:space="preserve">, se implementarán guardias, utilizando de preferencia los servicios de quienes no tuvieran derecho a vacaciones. De requerirse urgentemente el servicio de trabajadoras o trabajadores que tengan derecho a vacaciones durante los periodos antes señalados, le serán proporcionadas dentro de los 10 días siguientes a la conclusión de las actividades encomendadas. </w:t>
      </w:r>
    </w:p>
    <w:p w14:paraId="220744CA" w14:textId="77777777" w:rsidR="00947F5B" w:rsidRPr="004F6A20" w:rsidRDefault="00947F5B" w:rsidP="004F6A20">
      <w:pPr>
        <w:rPr>
          <w:rFonts w:ascii="Arial" w:hAnsi="Arial" w:cs="Arial"/>
          <w:sz w:val="22"/>
          <w:szCs w:val="22"/>
        </w:rPr>
      </w:pPr>
      <w:r w:rsidRPr="004F6A20">
        <w:rPr>
          <w:rFonts w:ascii="Arial" w:hAnsi="Arial" w:cs="Arial"/>
          <w:sz w:val="22"/>
          <w:szCs w:val="22"/>
        </w:rPr>
        <w:t>Sobre la base de las consideraciones señaladas, esta Junta Ejecutiva emite el siguiente:</w:t>
      </w:r>
    </w:p>
    <w:p w14:paraId="0BE6BA76" w14:textId="7806838D" w:rsidR="00947F5B" w:rsidRPr="004F6A20" w:rsidRDefault="00947F5B" w:rsidP="004F6A20">
      <w:pPr>
        <w:pStyle w:val="Ttulo1"/>
        <w:spacing w:before="360"/>
        <w:ind w:left="431" w:hanging="431"/>
        <w:rPr>
          <w:rFonts w:ascii="Arial" w:hAnsi="Arial" w:cs="Arial"/>
          <w:sz w:val="24"/>
        </w:rPr>
      </w:pPr>
      <w:r w:rsidRPr="004F6A20">
        <w:rPr>
          <w:rFonts w:ascii="Arial" w:hAnsi="Arial" w:cs="Arial"/>
          <w:sz w:val="24"/>
        </w:rPr>
        <w:t>Acuerdo</w:t>
      </w:r>
    </w:p>
    <w:p w14:paraId="37572F6D" w14:textId="2A434699" w:rsidR="00DA3E08" w:rsidRPr="00B81130" w:rsidRDefault="00947F5B" w:rsidP="00167A97">
      <w:pPr>
        <w:rPr>
          <w:rFonts w:ascii="Arial" w:hAnsi="Arial" w:cs="Arial"/>
          <w:sz w:val="22"/>
          <w:szCs w:val="22"/>
        </w:rPr>
      </w:pPr>
      <w:r w:rsidRPr="00B81130">
        <w:rPr>
          <w:rFonts w:ascii="Arial" w:hAnsi="Arial" w:cs="Arial"/>
          <w:b/>
          <w:bCs/>
          <w:sz w:val="22"/>
          <w:szCs w:val="22"/>
        </w:rPr>
        <w:t>Primero.</w:t>
      </w:r>
      <w:r w:rsidRPr="00B81130">
        <w:rPr>
          <w:rFonts w:ascii="Arial" w:hAnsi="Arial" w:cs="Arial"/>
          <w:sz w:val="22"/>
          <w:szCs w:val="22"/>
        </w:rPr>
        <w:t xml:space="preserve"> Se determina el primer periodo vacacional del año 202</w:t>
      </w:r>
      <w:r w:rsidR="00DA3E08" w:rsidRPr="00B81130">
        <w:rPr>
          <w:rFonts w:ascii="Arial" w:hAnsi="Arial" w:cs="Arial"/>
          <w:sz w:val="22"/>
          <w:szCs w:val="22"/>
        </w:rPr>
        <w:t>5</w:t>
      </w:r>
      <w:r w:rsidRPr="00B81130">
        <w:rPr>
          <w:rFonts w:ascii="Arial" w:hAnsi="Arial" w:cs="Arial"/>
          <w:sz w:val="22"/>
          <w:szCs w:val="22"/>
        </w:rPr>
        <w:t xml:space="preserve"> para el personal con derecho a ello, del Instituto Electoral y de Participación Ciudadana de Tabasco</w:t>
      </w:r>
      <w:r w:rsidR="00DA3E08" w:rsidRPr="00B81130">
        <w:rPr>
          <w:rFonts w:ascii="Arial" w:hAnsi="Arial" w:cs="Arial"/>
          <w:sz w:val="22"/>
          <w:szCs w:val="22"/>
        </w:rPr>
        <w:t xml:space="preserve"> que comprenderá </w:t>
      </w:r>
      <w:r w:rsidR="00DA3E08" w:rsidRPr="00B81130">
        <w:rPr>
          <w:rFonts w:ascii="Arial" w:hAnsi="Arial" w:cs="Arial"/>
          <w:b/>
          <w:bCs/>
          <w:sz w:val="22"/>
          <w:szCs w:val="22"/>
        </w:rPr>
        <w:t>del 28 de julio al 8 de agosto, debiendo reanudar labores el 11 de agosto de 2025.</w:t>
      </w:r>
    </w:p>
    <w:p w14:paraId="03BCA3D2" w14:textId="2DA99AE4" w:rsidR="00947F5B" w:rsidRPr="00B81130" w:rsidRDefault="00B81130" w:rsidP="00167A97">
      <w:pPr>
        <w:rPr>
          <w:rFonts w:ascii="Arial" w:hAnsi="Arial" w:cs="Arial"/>
          <w:sz w:val="22"/>
          <w:szCs w:val="22"/>
        </w:rPr>
      </w:pPr>
      <w:r>
        <w:rPr>
          <w:rFonts w:ascii="Arial" w:hAnsi="Arial" w:cs="Arial"/>
          <w:b/>
          <w:bCs/>
          <w:sz w:val="22"/>
          <w:szCs w:val="22"/>
        </w:rPr>
        <w:t>S</w:t>
      </w:r>
      <w:r w:rsidR="00947F5B" w:rsidRPr="00B81130">
        <w:rPr>
          <w:rFonts w:ascii="Arial" w:hAnsi="Arial" w:cs="Arial"/>
          <w:b/>
          <w:bCs/>
          <w:sz w:val="22"/>
          <w:szCs w:val="22"/>
        </w:rPr>
        <w:t>egundo.</w:t>
      </w:r>
      <w:r w:rsidR="00947F5B" w:rsidRPr="00B81130">
        <w:rPr>
          <w:rFonts w:ascii="Arial" w:hAnsi="Arial" w:cs="Arial"/>
          <w:sz w:val="22"/>
          <w:szCs w:val="22"/>
        </w:rPr>
        <w:t xml:space="preserve"> </w:t>
      </w:r>
      <w:r w:rsidR="00DA3E08" w:rsidRPr="00B81130">
        <w:rPr>
          <w:rFonts w:ascii="Arial" w:hAnsi="Arial" w:cs="Arial"/>
          <w:sz w:val="22"/>
          <w:szCs w:val="22"/>
        </w:rPr>
        <w:t>Se instruye al Secretario Ejecutivo ha</w:t>
      </w:r>
      <w:r w:rsidR="00947F5B" w:rsidRPr="00B81130">
        <w:rPr>
          <w:rFonts w:ascii="Arial" w:hAnsi="Arial" w:cs="Arial"/>
          <w:sz w:val="22"/>
          <w:szCs w:val="22"/>
        </w:rPr>
        <w:t>ga del conocimiento de los órganos centrales y direcciones del Instituto el contenido del presente acuerdo, para los efectos conducentes</w:t>
      </w:r>
      <w:r w:rsidR="00DA3E08" w:rsidRPr="00B81130">
        <w:rPr>
          <w:rFonts w:ascii="Arial" w:hAnsi="Arial" w:cs="Arial"/>
          <w:sz w:val="22"/>
          <w:szCs w:val="22"/>
        </w:rPr>
        <w:t>; así como de las personas representantes de las organizaciones que pretenden constituir un partido político, cuya manifestación de intención resultaron procedentes.</w:t>
      </w:r>
    </w:p>
    <w:p w14:paraId="2509CCC5" w14:textId="031C1FA1" w:rsidR="00E46110" w:rsidRPr="00B81130" w:rsidRDefault="00E46110" w:rsidP="00167A97">
      <w:pPr>
        <w:rPr>
          <w:rFonts w:ascii="Arial" w:hAnsi="Arial" w:cs="Arial"/>
          <w:sz w:val="22"/>
          <w:szCs w:val="22"/>
        </w:rPr>
      </w:pPr>
      <w:r w:rsidRPr="00B81130">
        <w:rPr>
          <w:rFonts w:ascii="Arial" w:hAnsi="Arial" w:cs="Arial"/>
          <w:sz w:val="22"/>
          <w:szCs w:val="22"/>
        </w:rPr>
        <w:t xml:space="preserve">El presente acuerdo se aprobó en sesión </w:t>
      </w:r>
      <w:r w:rsidR="00282778" w:rsidRPr="00B81130">
        <w:rPr>
          <w:rFonts w:ascii="Arial" w:hAnsi="Arial" w:cs="Arial"/>
          <w:sz w:val="22"/>
          <w:szCs w:val="22"/>
        </w:rPr>
        <w:t>extraordinaria</w:t>
      </w:r>
      <w:r w:rsidRPr="00B81130">
        <w:rPr>
          <w:rFonts w:ascii="Arial" w:hAnsi="Arial" w:cs="Arial"/>
          <w:sz w:val="22"/>
          <w:szCs w:val="22"/>
        </w:rPr>
        <w:t xml:space="preserve"> efectuada el</w:t>
      </w:r>
      <w:r w:rsidR="00282778" w:rsidRPr="00B81130">
        <w:rPr>
          <w:rFonts w:ascii="Arial" w:hAnsi="Arial" w:cs="Arial"/>
          <w:sz w:val="22"/>
          <w:szCs w:val="22"/>
        </w:rPr>
        <w:t xml:space="preserve"> quince</w:t>
      </w:r>
      <w:r w:rsidRPr="00B81130">
        <w:rPr>
          <w:rFonts w:ascii="Arial" w:hAnsi="Arial" w:cs="Arial"/>
          <w:sz w:val="22"/>
          <w:szCs w:val="22"/>
        </w:rPr>
        <w:t xml:space="preserve"> de </w:t>
      </w:r>
      <w:r w:rsidR="00282778" w:rsidRPr="00B81130">
        <w:rPr>
          <w:rFonts w:ascii="Arial" w:hAnsi="Arial" w:cs="Arial"/>
          <w:sz w:val="22"/>
          <w:szCs w:val="22"/>
        </w:rPr>
        <w:t>mayo</w:t>
      </w:r>
      <w:r w:rsidRPr="00B81130">
        <w:rPr>
          <w:rFonts w:ascii="Arial" w:hAnsi="Arial" w:cs="Arial"/>
          <w:sz w:val="22"/>
          <w:szCs w:val="22"/>
        </w:rPr>
        <w:t xml:space="preserve">  del año dos mil veinticinco, por votación</w:t>
      </w:r>
      <w:r w:rsidR="00282778" w:rsidRPr="00B81130">
        <w:rPr>
          <w:rFonts w:ascii="Arial" w:hAnsi="Arial" w:cs="Arial"/>
          <w:sz w:val="22"/>
          <w:szCs w:val="22"/>
        </w:rPr>
        <w:t xml:space="preserve"> unánime</w:t>
      </w:r>
      <w:r w:rsidRPr="00B81130">
        <w:rPr>
          <w:rFonts w:ascii="Arial" w:hAnsi="Arial" w:cs="Arial"/>
          <w:sz w:val="22"/>
          <w:szCs w:val="22"/>
        </w:rPr>
        <w:t xml:space="preserve"> de la y los integrantes de la Junta Estatal Ejecutiva del Instituto Electoral y de Participación Ciudadana de Tabasco: Lic. Paul Alejandro González Torruco, Director de Administración; Lic. Ricardo Araiza González, Director de Organización Electoral y Educación Cívica, Lic. Jorge Alberto Zavala Frías, Secretario Ejecutivo y Mtra. Elizabeth Nava Gutiérrez, Presidenta de la Junta Estatal Ejecutiva.</w:t>
      </w:r>
    </w:p>
    <w:p w14:paraId="5173E8DD" w14:textId="395908F7" w:rsidR="004F6A20" w:rsidRDefault="004F6A20" w:rsidP="00167A97">
      <w:pPr>
        <w:rPr>
          <w:rFonts w:ascii="Arial" w:hAnsi="Arial" w:cs="Arial"/>
          <w:sz w:val="22"/>
        </w:rPr>
      </w:pPr>
    </w:p>
    <w:p w14:paraId="27B9CE7D" w14:textId="70C62645" w:rsidR="004F6A20" w:rsidRDefault="004F6A20" w:rsidP="00167A97">
      <w:pPr>
        <w:rPr>
          <w:rFonts w:ascii="Arial" w:hAnsi="Arial" w:cs="Arial"/>
          <w:sz w:val="22"/>
        </w:rPr>
      </w:pPr>
    </w:p>
    <w:p w14:paraId="3B18358C" w14:textId="77777777" w:rsidR="004F6A20" w:rsidRPr="004F6A20" w:rsidRDefault="004F6A20" w:rsidP="00167A97">
      <w:pPr>
        <w:rPr>
          <w:rFonts w:ascii="Arial" w:hAnsi="Arial" w:cs="Arial"/>
          <w:sz w:val="22"/>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21"/>
      </w:tblGrid>
      <w:tr w:rsidR="004F6A20" w:rsidRPr="004F6A20" w14:paraId="1CDFD43F" w14:textId="77777777" w:rsidTr="004F6A20">
        <w:trPr>
          <w:jc w:val="center"/>
        </w:trPr>
        <w:tc>
          <w:tcPr>
            <w:tcW w:w="2499" w:type="pct"/>
          </w:tcPr>
          <w:p w14:paraId="040178F0" w14:textId="77777777" w:rsidR="004F6A20" w:rsidRPr="004F6A20" w:rsidRDefault="004F6A20" w:rsidP="004F6A20">
            <w:pPr>
              <w:widowControl w:val="0"/>
              <w:spacing w:before="0" w:after="0" w:line="240" w:lineRule="auto"/>
              <w:jc w:val="center"/>
              <w:rPr>
                <w:rFonts w:ascii="Arial" w:hAnsi="Arial" w:cs="Arial"/>
                <w:b/>
                <w:spacing w:val="-10"/>
                <w:szCs w:val="24"/>
              </w:rPr>
            </w:pPr>
            <w:r w:rsidRPr="004F6A20">
              <w:rPr>
                <w:rFonts w:ascii="Arial" w:hAnsi="Arial" w:cs="Arial"/>
                <w:b/>
                <w:spacing w:val="-10"/>
                <w:szCs w:val="24"/>
              </w:rPr>
              <w:t>MTRA. ELIZABETH NAVA GUTIÉRREZ</w:t>
            </w:r>
          </w:p>
          <w:p w14:paraId="47893AB9" w14:textId="77777777" w:rsidR="004F6A20" w:rsidRPr="004F6A20" w:rsidRDefault="004F6A20" w:rsidP="004F6A20">
            <w:pPr>
              <w:widowControl w:val="0"/>
              <w:spacing w:before="0" w:after="0" w:line="240" w:lineRule="auto"/>
              <w:jc w:val="center"/>
              <w:rPr>
                <w:rFonts w:ascii="Arial" w:hAnsi="Arial" w:cs="Arial"/>
                <w:b/>
                <w:szCs w:val="24"/>
              </w:rPr>
            </w:pPr>
            <w:r w:rsidRPr="004F6A20">
              <w:rPr>
                <w:rFonts w:ascii="Arial" w:hAnsi="Arial" w:cs="Arial"/>
                <w:b/>
                <w:spacing w:val="-10"/>
                <w:szCs w:val="24"/>
              </w:rPr>
              <w:t>CONSEJERA PRESIDENTA</w:t>
            </w:r>
          </w:p>
        </w:tc>
        <w:tc>
          <w:tcPr>
            <w:tcW w:w="2501" w:type="pct"/>
          </w:tcPr>
          <w:p w14:paraId="3C7F8DF1" w14:textId="77777777" w:rsidR="004F6A20" w:rsidRPr="004F6A20" w:rsidRDefault="004F6A20" w:rsidP="004F6A20">
            <w:pPr>
              <w:widowControl w:val="0"/>
              <w:spacing w:before="0" w:after="0" w:line="240" w:lineRule="auto"/>
              <w:jc w:val="center"/>
              <w:rPr>
                <w:rFonts w:ascii="Arial" w:hAnsi="Arial" w:cs="Arial"/>
                <w:b/>
                <w:spacing w:val="-10"/>
                <w:szCs w:val="24"/>
              </w:rPr>
            </w:pPr>
            <w:r w:rsidRPr="004F6A20">
              <w:rPr>
                <w:rFonts w:ascii="Arial" w:hAnsi="Arial" w:cs="Arial"/>
                <w:b/>
                <w:spacing w:val="-10"/>
                <w:szCs w:val="24"/>
              </w:rPr>
              <w:t>LIC. JORGE ALBERTO ZAVALA FRÍAS</w:t>
            </w:r>
          </w:p>
          <w:p w14:paraId="04752382" w14:textId="77777777" w:rsidR="004F6A20" w:rsidRPr="004F6A20" w:rsidRDefault="004F6A20" w:rsidP="004F6A20">
            <w:pPr>
              <w:widowControl w:val="0"/>
              <w:spacing w:before="0" w:after="0" w:line="240" w:lineRule="auto"/>
              <w:jc w:val="center"/>
              <w:rPr>
                <w:rFonts w:ascii="Arial" w:hAnsi="Arial" w:cs="Arial"/>
                <w:b/>
                <w:szCs w:val="24"/>
              </w:rPr>
            </w:pPr>
            <w:r w:rsidRPr="004F6A20">
              <w:rPr>
                <w:rFonts w:ascii="Arial" w:hAnsi="Arial" w:cs="Arial"/>
                <w:b/>
                <w:spacing w:val="-10"/>
                <w:szCs w:val="24"/>
              </w:rPr>
              <w:t>SECRETARIO EJECUTIVO</w:t>
            </w:r>
          </w:p>
        </w:tc>
      </w:tr>
    </w:tbl>
    <w:p w14:paraId="310D9750" w14:textId="77777777" w:rsidR="00E46110" w:rsidRPr="00167A97" w:rsidRDefault="00E46110" w:rsidP="004F6A20">
      <w:pPr>
        <w:spacing w:before="0" w:after="0" w:line="240" w:lineRule="auto"/>
        <w:rPr>
          <w:rFonts w:ascii="Arial" w:hAnsi="Arial" w:cs="Arial"/>
        </w:rPr>
      </w:pPr>
    </w:p>
    <w:sectPr w:rsidR="00E46110" w:rsidRPr="00167A97" w:rsidSect="00B81130">
      <w:headerReference w:type="even" r:id="rId7"/>
      <w:headerReference w:type="default" r:id="rId8"/>
      <w:footerReference w:type="even" r:id="rId9"/>
      <w:footerReference w:type="default" r:id="rId10"/>
      <w:headerReference w:type="first" r:id="rId11"/>
      <w:footerReference w:type="first" r:id="rId12"/>
      <w:pgSz w:w="12240" w:h="15840" w:code="1"/>
      <w:pgMar w:top="1418"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9F008" w14:textId="77777777" w:rsidR="00BB32D5" w:rsidRDefault="00BB32D5" w:rsidP="00A3625B">
      <w:pPr>
        <w:spacing w:before="0" w:after="0" w:line="240" w:lineRule="auto"/>
      </w:pPr>
      <w:r>
        <w:separator/>
      </w:r>
    </w:p>
  </w:endnote>
  <w:endnote w:type="continuationSeparator" w:id="0">
    <w:p w14:paraId="67E59431" w14:textId="77777777" w:rsidR="00BB32D5" w:rsidRDefault="00BB32D5" w:rsidP="00A362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08EB5C46-D82B-4642-A791-634F24056C27}"/>
    <w:embedBold r:id="rId2" w:fontKey="{30B06C65-482A-48DC-B82B-D1E9C50B9C69}"/>
    <w:embedItalic r:id="rId3" w:fontKey="{42EC4F3C-3689-4997-82A2-5406A9DF8708}"/>
  </w:font>
  <w:font w:name="Exo">
    <w:altName w:val="Times New Roman"/>
    <w:charset w:val="00"/>
    <w:family w:val="auto"/>
    <w:pitch w:val="variable"/>
    <w:sig w:usb0="A00000FF" w:usb1="4000204B" w:usb2="00000000" w:usb3="00000000" w:csb0="00000193" w:csb1="00000000"/>
    <w:embedRegular r:id="rId4" w:fontKey="{2C4C38E0-7A0C-46E4-9F4D-D371826A3DDA}"/>
    <w:embedBold r:id="rId5" w:fontKey="{59227097-43F0-48B1-9315-D15A219BE107}"/>
    <w:embedItalic r:id="rId6" w:fontKey="{F8704B1D-760F-4F0F-8730-AB73455B561E}"/>
  </w:font>
  <w:font w:name="Aptos Display">
    <w:altName w:val="Arial"/>
    <w:charset w:val="00"/>
    <w:family w:val="swiss"/>
    <w:pitch w:val="variable"/>
    <w:sig w:usb0="00000001" w:usb1="00000003" w:usb2="00000000" w:usb3="00000000" w:csb0="0000019F" w:csb1="00000000"/>
    <w:embedRegular r:id="rId7" w:fontKey="{B02CD2A4-9B98-468C-8538-B058F7710075}"/>
  </w:font>
  <w:font w:name="Segoe UI">
    <w:panose1 w:val="020B0502040204020203"/>
    <w:charset w:val="00"/>
    <w:family w:val="swiss"/>
    <w:pitch w:val="variable"/>
    <w:sig w:usb0="E4002EFF" w:usb1="C000E47F" w:usb2="00000009" w:usb3="00000000" w:csb0="000001FF" w:csb1="00000000"/>
    <w:embedRegular r:id="rId8" w:fontKey="{92230363-ADC8-4789-AE1B-EFE786BEEA4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EB2FF" w14:textId="77777777" w:rsidR="00C71F4F" w:rsidRDefault="00C71F4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color w:val="BF4E14" w:themeColor="accent2" w:themeShade="BF"/>
      </w:rPr>
      <w:id w:val="-1041367757"/>
      <w:docPartObj>
        <w:docPartGallery w:val="Page Numbers (Top of Page)"/>
        <w:docPartUnique/>
      </w:docPartObj>
    </w:sdtPr>
    <w:sdtEndPr>
      <w:rPr>
        <w:color w:val="993366"/>
      </w:rPr>
    </w:sdtEndPr>
    <w:sdtContent>
      <w:p w14:paraId="525EB43C" w14:textId="2633C328" w:rsidR="00A3625B" w:rsidRPr="004F6A20" w:rsidRDefault="00A3625B" w:rsidP="00A3625B">
        <w:pPr>
          <w:pStyle w:val="Piedepgina"/>
          <w:jc w:val="right"/>
          <w:rPr>
            <w:rFonts w:ascii="Arial" w:hAnsi="Arial" w:cs="Arial"/>
            <w:b/>
            <w:color w:val="993366"/>
          </w:rPr>
        </w:pPr>
        <w:r w:rsidRPr="004F6A20">
          <w:rPr>
            <w:rFonts w:ascii="Arial" w:hAnsi="Arial" w:cs="Arial"/>
            <w:b/>
            <w:color w:val="993366"/>
          </w:rPr>
          <w:t xml:space="preserve">Página </w:t>
        </w:r>
        <w:r w:rsidRPr="004F6A20">
          <w:rPr>
            <w:rFonts w:ascii="Arial" w:hAnsi="Arial" w:cs="Arial"/>
            <w:b/>
            <w:bCs/>
            <w:color w:val="993366"/>
          </w:rPr>
          <w:fldChar w:fldCharType="begin"/>
        </w:r>
        <w:r w:rsidRPr="004F6A20">
          <w:rPr>
            <w:rFonts w:ascii="Arial" w:hAnsi="Arial" w:cs="Arial"/>
            <w:b/>
            <w:bCs/>
            <w:color w:val="993366"/>
          </w:rPr>
          <w:instrText>PAGE</w:instrText>
        </w:r>
        <w:r w:rsidRPr="004F6A20">
          <w:rPr>
            <w:rFonts w:ascii="Arial" w:hAnsi="Arial" w:cs="Arial"/>
            <w:b/>
            <w:bCs/>
            <w:color w:val="993366"/>
          </w:rPr>
          <w:fldChar w:fldCharType="separate"/>
        </w:r>
        <w:r w:rsidR="00C71F4F">
          <w:rPr>
            <w:rFonts w:ascii="Arial" w:hAnsi="Arial" w:cs="Arial"/>
            <w:b/>
            <w:bCs/>
            <w:noProof/>
            <w:color w:val="993366"/>
          </w:rPr>
          <w:t>2</w:t>
        </w:r>
        <w:r w:rsidRPr="004F6A20">
          <w:rPr>
            <w:rFonts w:ascii="Arial" w:hAnsi="Arial" w:cs="Arial"/>
            <w:b/>
            <w:bCs/>
            <w:color w:val="993366"/>
          </w:rPr>
          <w:fldChar w:fldCharType="end"/>
        </w:r>
        <w:r w:rsidRPr="004F6A20">
          <w:rPr>
            <w:rFonts w:ascii="Arial" w:hAnsi="Arial" w:cs="Arial"/>
            <w:b/>
            <w:color w:val="993366"/>
          </w:rPr>
          <w:t xml:space="preserve"> de </w:t>
        </w:r>
        <w:r w:rsidRPr="004F6A20">
          <w:rPr>
            <w:rFonts w:ascii="Arial" w:hAnsi="Arial" w:cs="Arial"/>
            <w:b/>
            <w:bCs/>
            <w:color w:val="993366"/>
          </w:rPr>
          <w:fldChar w:fldCharType="begin"/>
        </w:r>
        <w:r w:rsidRPr="004F6A20">
          <w:rPr>
            <w:rFonts w:ascii="Arial" w:hAnsi="Arial" w:cs="Arial"/>
            <w:b/>
            <w:bCs/>
            <w:color w:val="993366"/>
          </w:rPr>
          <w:instrText>NUMPAGES</w:instrText>
        </w:r>
        <w:r w:rsidRPr="004F6A20">
          <w:rPr>
            <w:rFonts w:ascii="Arial" w:hAnsi="Arial" w:cs="Arial"/>
            <w:b/>
            <w:bCs/>
            <w:color w:val="993366"/>
          </w:rPr>
          <w:fldChar w:fldCharType="separate"/>
        </w:r>
        <w:r w:rsidR="00C71F4F">
          <w:rPr>
            <w:rFonts w:ascii="Arial" w:hAnsi="Arial" w:cs="Arial"/>
            <w:b/>
            <w:bCs/>
            <w:noProof/>
            <w:color w:val="993366"/>
          </w:rPr>
          <w:t>10</w:t>
        </w:r>
        <w:r w:rsidRPr="004F6A20">
          <w:rPr>
            <w:rFonts w:ascii="Arial" w:hAnsi="Arial" w:cs="Arial"/>
            <w:b/>
            <w:bCs/>
            <w:color w:val="993366"/>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6228" w14:textId="77777777" w:rsidR="00C71F4F" w:rsidRDefault="00C71F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C8537" w14:textId="77777777" w:rsidR="00BB32D5" w:rsidRDefault="00BB32D5" w:rsidP="00A3625B">
      <w:pPr>
        <w:spacing w:before="0" w:after="0" w:line="240" w:lineRule="auto"/>
      </w:pPr>
      <w:r>
        <w:separator/>
      </w:r>
    </w:p>
  </w:footnote>
  <w:footnote w:type="continuationSeparator" w:id="0">
    <w:p w14:paraId="342E0271" w14:textId="77777777" w:rsidR="00BB32D5" w:rsidRDefault="00BB32D5" w:rsidP="00A362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6CF66" w14:textId="77777777" w:rsidR="00C71F4F" w:rsidRDefault="00C71F4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A3625B" w:rsidRPr="005E43CB" w14:paraId="57E148BB" w14:textId="77777777" w:rsidTr="00422094">
      <w:tc>
        <w:tcPr>
          <w:tcW w:w="1418" w:type="dxa"/>
        </w:tcPr>
        <w:p w14:paraId="5CD09342" w14:textId="77777777" w:rsidR="00A3625B" w:rsidRPr="005E43CB" w:rsidRDefault="00A3625B" w:rsidP="00A3625B">
          <w:pPr>
            <w:pStyle w:val="Encabezado"/>
            <w:ind w:left="-170"/>
            <w:jc w:val="left"/>
          </w:pPr>
          <w:r w:rsidRPr="005E43CB">
            <w:rPr>
              <w:b/>
              <w:noProof/>
              <w:sz w:val="32"/>
              <w:lang w:eastAsia="es-MX"/>
            </w:rPr>
            <w:drawing>
              <wp:inline distT="0" distB="0" distL="0" distR="0" wp14:anchorId="78B0248B" wp14:editId="1B3DFB9F">
                <wp:extent cx="1014331" cy="1199403"/>
                <wp:effectExtent l="0" t="0" r="0" b="1270"/>
                <wp:docPr id="3" name="Imagen 3"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48AE414A" w14:textId="77777777" w:rsidR="00A3625B" w:rsidRPr="00282778" w:rsidRDefault="00A3625B" w:rsidP="00A3625B">
          <w:pPr>
            <w:pStyle w:val="Encabezado"/>
            <w:spacing w:before="720"/>
            <w:jc w:val="center"/>
            <w:rPr>
              <w:rFonts w:ascii="Arial" w:hAnsi="Arial" w:cs="Arial"/>
              <w:b/>
              <w:bCs/>
              <w:sz w:val="25"/>
              <w:szCs w:val="25"/>
            </w:rPr>
          </w:pPr>
          <w:r w:rsidRPr="00282778">
            <w:rPr>
              <w:rFonts w:ascii="Arial" w:hAnsi="Arial" w:cs="Arial"/>
              <w:b/>
              <w:bCs/>
              <w:sz w:val="25"/>
              <w:szCs w:val="25"/>
            </w:rPr>
            <w:t>INSTITUTO ELECTORAL Y DE PARTICIPACIÓN CIUDADANA DE TABASCO</w:t>
          </w:r>
        </w:p>
        <w:p w14:paraId="600B8674" w14:textId="77777777" w:rsidR="00A3625B" w:rsidRPr="005E43CB" w:rsidRDefault="00A3625B" w:rsidP="00A3625B">
          <w:pPr>
            <w:pStyle w:val="Encabezado"/>
            <w:jc w:val="center"/>
            <w:rPr>
              <w:sz w:val="25"/>
              <w:szCs w:val="25"/>
            </w:rPr>
          </w:pPr>
          <w:r w:rsidRPr="00282778">
            <w:rPr>
              <w:rFonts w:ascii="Arial" w:hAnsi="Arial" w:cs="Arial"/>
              <w:sz w:val="25"/>
              <w:szCs w:val="25"/>
            </w:rPr>
            <w:t>JUNTA ESTATAL EJECUTIVA</w:t>
          </w:r>
        </w:p>
      </w:tc>
      <w:tc>
        <w:tcPr>
          <w:tcW w:w="1843" w:type="dxa"/>
        </w:tcPr>
        <w:p w14:paraId="3531F06D" w14:textId="77777777" w:rsidR="00A3625B" w:rsidRPr="005E43CB" w:rsidRDefault="00A3625B" w:rsidP="00A3625B">
          <w:pPr>
            <w:pStyle w:val="Encabezado"/>
            <w:spacing w:before="480"/>
          </w:pPr>
          <w:r>
            <w:rPr>
              <w:noProof/>
              <w:lang w:eastAsia="es-MX"/>
            </w:rPr>
            <w:drawing>
              <wp:inline distT="0" distB="0" distL="0" distR="0" wp14:anchorId="2220AB80" wp14:editId="33EAC41A">
                <wp:extent cx="942975" cy="774065"/>
                <wp:effectExtent l="0" t="0" r="9525" b="6985"/>
                <wp:docPr id="4" name="Imagen 4"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0B73C114" w14:textId="368E8FFA" w:rsidR="00A3625B" w:rsidRPr="00282778" w:rsidRDefault="00C71F4F" w:rsidP="00282778">
    <w:pPr>
      <w:pStyle w:val="Encabezado"/>
      <w:jc w:val="right"/>
      <w:rPr>
        <w:rFonts w:ascii="Arial" w:hAnsi="Arial" w:cs="Arial"/>
        <w:b/>
      </w:rPr>
    </w:pPr>
    <w:r>
      <w:rPr>
        <w:rFonts w:ascii="Arial" w:hAnsi="Arial" w:cs="Arial"/>
        <w:b/>
      </w:rPr>
      <w:t>JE</w:t>
    </w:r>
    <w:bookmarkStart w:id="0" w:name="_GoBack"/>
    <w:bookmarkEnd w:id="0"/>
    <w:r w:rsidR="00282778" w:rsidRPr="00282778">
      <w:rPr>
        <w:rFonts w:ascii="Arial" w:hAnsi="Arial" w:cs="Arial"/>
        <w:b/>
      </w:rPr>
      <w:t>E/2025/017</w:t>
    </w:r>
  </w:p>
  <w:p w14:paraId="39E499E4" w14:textId="77777777" w:rsidR="00282778" w:rsidRDefault="0028277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60938" w14:textId="77777777" w:rsidR="00C71F4F" w:rsidRDefault="00C71F4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C6363"/>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263A4657"/>
    <w:multiLevelType w:val="hybridMultilevel"/>
    <w:tmpl w:val="821839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0E088A"/>
    <w:multiLevelType w:val="hybridMultilevel"/>
    <w:tmpl w:val="840E95EE"/>
    <w:lvl w:ilvl="0" w:tplc="7D8CEC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FC29EE"/>
    <w:multiLevelType w:val="hybridMultilevel"/>
    <w:tmpl w:val="9422744E"/>
    <w:lvl w:ilvl="0" w:tplc="62CC89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74318F"/>
    <w:multiLevelType w:val="hybridMultilevel"/>
    <w:tmpl w:val="CC2C5B6E"/>
    <w:lvl w:ilvl="0" w:tplc="7D8CEC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1508EB"/>
    <w:multiLevelType w:val="hybridMultilevel"/>
    <w:tmpl w:val="4F9EBD4C"/>
    <w:lvl w:ilvl="0" w:tplc="7D8CEC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E732B5"/>
    <w:multiLevelType w:val="hybridMultilevel"/>
    <w:tmpl w:val="524CB5A0"/>
    <w:lvl w:ilvl="0" w:tplc="C64A8D9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D63781"/>
    <w:multiLevelType w:val="hybridMultilevel"/>
    <w:tmpl w:val="B394C7E6"/>
    <w:lvl w:ilvl="0" w:tplc="7D8CEC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7"/>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5B"/>
    <w:rsid w:val="0006514F"/>
    <w:rsid w:val="000E0C23"/>
    <w:rsid w:val="001271D7"/>
    <w:rsid w:val="00167A97"/>
    <w:rsid w:val="00282778"/>
    <w:rsid w:val="002E40AF"/>
    <w:rsid w:val="003C61FA"/>
    <w:rsid w:val="004A3AAA"/>
    <w:rsid w:val="004F6A20"/>
    <w:rsid w:val="0054233D"/>
    <w:rsid w:val="0057668E"/>
    <w:rsid w:val="00592BB7"/>
    <w:rsid w:val="00755F12"/>
    <w:rsid w:val="007D7E60"/>
    <w:rsid w:val="00823654"/>
    <w:rsid w:val="00947F5B"/>
    <w:rsid w:val="009743B9"/>
    <w:rsid w:val="00A3625B"/>
    <w:rsid w:val="00B22220"/>
    <w:rsid w:val="00B81130"/>
    <w:rsid w:val="00BB32D5"/>
    <w:rsid w:val="00BD429A"/>
    <w:rsid w:val="00BF63B9"/>
    <w:rsid w:val="00C53B90"/>
    <w:rsid w:val="00C71F4F"/>
    <w:rsid w:val="00D4714D"/>
    <w:rsid w:val="00DA3E08"/>
    <w:rsid w:val="00E46110"/>
    <w:rsid w:val="00F601C8"/>
    <w:rsid w:val="00FF05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627F8"/>
  <w15:chartTrackingRefBased/>
  <w15:docId w15:val="{23420E95-D67A-45EA-B235-694D130EC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F5B"/>
    <w:pPr>
      <w:spacing w:before="240" w:after="240" w:line="276" w:lineRule="auto"/>
      <w:jc w:val="both"/>
    </w:pPr>
    <w:rPr>
      <w:rFonts w:ascii="Exo" w:hAnsi="Exo"/>
    </w:rPr>
  </w:style>
  <w:style w:type="paragraph" w:styleId="Ttulo1">
    <w:name w:val="heading 1"/>
    <w:basedOn w:val="Normal"/>
    <w:next w:val="Normal"/>
    <w:link w:val="Ttulo1Car"/>
    <w:uiPriority w:val="9"/>
    <w:qFormat/>
    <w:rsid w:val="00947F5B"/>
    <w:pPr>
      <w:numPr>
        <w:numId w:val="8"/>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947F5B"/>
    <w:pPr>
      <w:numPr>
        <w:ilvl w:val="1"/>
        <w:numId w:val="8"/>
      </w:numPr>
      <w:spacing w:before="480"/>
      <w:outlineLvl w:val="1"/>
    </w:pPr>
    <w:rPr>
      <w:b/>
      <w:bCs/>
    </w:rPr>
  </w:style>
  <w:style w:type="paragraph" w:styleId="Ttulo3">
    <w:name w:val="heading 3"/>
    <w:basedOn w:val="Normal"/>
    <w:next w:val="Normal"/>
    <w:link w:val="Ttulo3Car"/>
    <w:uiPriority w:val="9"/>
    <w:semiHidden/>
    <w:unhideWhenUsed/>
    <w:qFormat/>
    <w:rsid w:val="00947F5B"/>
    <w:pPr>
      <w:keepNext/>
      <w:keepLines/>
      <w:numPr>
        <w:ilvl w:val="2"/>
        <w:numId w:val="8"/>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47F5B"/>
    <w:pPr>
      <w:keepNext/>
      <w:keepLines/>
      <w:numPr>
        <w:ilvl w:val="3"/>
        <w:numId w:val="8"/>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47F5B"/>
    <w:pPr>
      <w:keepNext/>
      <w:keepLines/>
      <w:numPr>
        <w:ilvl w:val="4"/>
        <w:numId w:val="8"/>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47F5B"/>
    <w:pPr>
      <w:keepNext/>
      <w:keepLines/>
      <w:numPr>
        <w:ilvl w:val="5"/>
        <w:numId w:val="8"/>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47F5B"/>
    <w:pPr>
      <w:keepNext/>
      <w:keepLines/>
      <w:numPr>
        <w:ilvl w:val="6"/>
        <w:numId w:val="8"/>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47F5B"/>
    <w:pPr>
      <w:keepNext/>
      <w:keepLines/>
      <w:numPr>
        <w:ilvl w:val="7"/>
        <w:numId w:val="8"/>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47F5B"/>
    <w:pPr>
      <w:keepNext/>
      <w:keepLines/>
      <w:numPr>
        <w:ilvl w:val="8"/>
        <w:numId w:val="8"/>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7F5B"/>
    <w:rPr>
      <w:rFonts w:ascii="Exo" w:hAnsi="Exo"/>
      <w:b/>
      <w:bCs/>
      <w:sz w:val="28"/>
      <w:szCs w:val="28"/>
    </w:rPr>
  </w:style>
  <w:style w:type="character" w:customStyle="1" w:styleId="Ttulo2Car">
    <w:name w:val="Título 2 Car"/>
    <w:basedOn w:val="Fuentedeprrafopredeter"/>
    <w:link w:val="Ttulo2"/>
    <w:uiPriority w:val="9"/>
    <w:rsid w:val="00947F5B"/>
    <w:rPr>
      <w:rFonts w:ascii="Exo" w:hAnsi="Exo"/>
      <w:b/>
      <w:bCs/>
    </w:rPr>
  </w:style>
  <w:style w:type="character" w:customStyle="1" w:styleId="Ttulo3Car">
    <w:name w:val="Título 3 Car"/>
    <w:basedOn w:val="Fuentedeprrafopredeter"/>
    <w:link w:val="Ttulo3"/>
    <w:uiPriority w:val="9"/>
    <w:semiHidden/>
    <w:rsid w:val="00947F5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47F5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47F5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47F5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47F5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47F5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47F5B"/>
    <w:rPr>
      <w:rFonts w:eastAsiaTheme="majorEastAsia" w:cstheme="majorBidi"/>
      <w:color w:val="272727" w:themeColor="text1" w:themeTint="D8"/>
    </w:rPr>
  </w:style>
  <w:style w:type="paragraph" w:styleId="Ttulo">
    <w:name w:val="Title"/>
    <w:basedOn w:val="Normal"/>
    <w:next w:val="Normal"/>
    <w:link w:val="TtuloCar"/>
    <w:uiPriority w:val="10"/>
    <w:qFormat/>
    <w:rsid w:val="00947F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47F5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47F5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47F5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47F5B"/>
    <w:pPr>
      <w:spacing w:before="160"/>
      <w:jc w:val="center"/>
    </w:pPr>
    <w:rPr>
      <w:i/>
      <w:iCs/>
      <w:color w:val="404040" w:themeColor="text1" w:themeTint="BF"/>
    </w:rPr>
  </w:style>
  <w:style w:type="character" w:customStyle="1" w:styleId="CitaCar">
    <w:name w:val="Cita Car"/>
    <w:basedOn w:val="Fuentedeprrafopredeter"/>
    <w:link w:val="Cita"/>
    <w:uiPriority w:val="29"/>
    <w:rsid w:val="00947F5B"/>
    <w:rPr>
      <w:i/>
      <w:iCs/>
      <w:color w:val="404040" w:themeColor="text1" w:themeTint="BF"/>
    </w:rPr>
  </w:style>
  <w:style w:type="paragraph" w:styleId="Prrafodelista">
    <w:name w:val="List Paragraph"/>
    <w:basedOn w:val="Normal"/>
    <w:uiPriority w:val="34"/>
    <w:qFormat/>
    <w:rsid w:val="00947F5B"/>
    <w:pPr>
      <w:ind w:left="720"/>
      <w:contextualSpacing/>
    </w:pPr>
  </w:style>
  <w:style w:type="character" w:styleId="nfasisintenso">
    <w:name w:val="Intense Emphasis"/>
    <w:basedOn w:val="Fuentedeprrafopredeter"/>
    <w:uiPriority w:val="21"/>
    <w:qFormat/>
    <w:rsid w:val="00947F5B"/>
    <w:rPr>
      <w:i/>
      <w:iCs/>
      <w:color w:val="0F4761" w:themeColor="accent1" w:themeShade="BF"/>
    </w:rPr>
  </w:style>
  <w:style w:type="paragraph" w:styleId="Citadestacada">
    <w:name w:val="Intense Quote"/>
    <w:basedOn w:val="Normal"/>
    <w:next w:val="Normal"/>
    <w:link w:val="CitadestacadaCar"/>
    <w:uiPriority w:val="30"/>
    <w:qFormat/>
    <w:rsid w:val="00947F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47F5B"/>
    <w:rPr>
      <w:i/>
      <w:iCs/>
      <w:color w:val="0F4761" w:themeColor="accent1" w:themeShade="BF"/>
    </w:rPr>
  </w:style>
  <w:style w:type="character" w:styleId="Referenciaintensa">
    <w:name w:val="Intense Reference"/>
    <w:basedOn w:val="Fuentedeprrafopredeter"/>
    <w:uiPriority w:val="32"/>
    <w:qFormat/>
    <w:rsid w:val="00947F5B"/>
    <w:rPr>
      <w:b/>
      <w:bCs/>
      <w:smallCaps/>
      <w:color w:val="0F4761" w:themeColor="accent1" w:themeShade="BF"/>
      <w:spacing w:val="5"/>
    </w:rPr>
  </w:style>
  <w:style w:type="table" w:styleId="Tablaconcuadrcula">
    <w:name w:val="Table Grid"/>
    <w:basedOn w:val="Tablanormal"/>
    <w:uiPriority w:val="39"/>
    <w:rsid w:val="00947F5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3625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3625B"/>
    <w:rPr>
      <w:rFonts w:ascii="Exo" w:hAnsi="Exo"/>
    </w:rPr>
  </w:style>
  <w:style w:type="paragraph" w:styleId="Piedepgina">
    <w:name w:val="footer"/>
    <w:basedOn w:val="Normal"/>
    <w:link w:val="PiedepginaCar"/>
    <w:uiPriority w:val="99"/>
    <w:unhideWhenUsed/>
    <w:rsid w:val="00A3625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3625B"/>
    <w:rPr>
      <w:rFonts w:ascii="Exo" w:hAnsi="Exo"/>
    </w:rPr>
  </w:style>
  <w:style w:type="paragraph" w:styleId="Textodeglobo">
    <w:name w:val="Balloon Text"/>
    <w:basedOn w:val="Normal"/>
    <w:link w:val="TextodegloboCar"/>
    <w:uiPriority w:val="99"/>
    <w:semiHidden/>
    <w:unhideWhenUsed/>
    <w:rsid w:val="00B8113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11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76</TotalTime>
  <Pages>10</Pages>
  <Words>3212</Words>
  <Characters>17672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18</cp:revision>
  <cp:lastPrinted>2025-05-15T18:19:00Z</cp:lastPrinted>
  <dcterms:created xsi:type="dcterms:W3CDTF">2025-05-14T22:55:00Z</dcterms:created>
  <dcterms:modified xsi:type="dcterms:W3CDTF">2025-05-15T22:36:00Z</dcterms:modified>
</cp:coreProperties>
</file>