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873264" w14:textId="6460F16D" w:rsidR="00B856E0" w:rsidRPr="00612765" w:rsidRDefault="00612765" w:rsidP="00D647DB">
      <w:pPr>
        <w:rPr>
          <w:rFonts w:ascii="Arial" w:hAnsi="Arial" w:cs="Arial"/>
          <w:b/>
          <w:bCs/>
        </w:rPr>
      </w:pPr>
      <w:r w:rsidRPr="00612765">
        <w:rPr>
          <w:rFonts w:ascii="Arial" w:hAnsi="Arial" w:cs="Arial"/>
          <w:b/>
          <w:bCs/>
        </w:rPr>
        <w:t>ACUERDO QUE, A PROPUESTA DE LA SECRETARÍA EJECUTIVA, EMITE LA JUNTA ESTATAL EJECUTIVA DEL INSTITUTO ELECTORAL Y DE PARTICIPACIÓN CIUDADANA DE TABASCO, POR EL QUE SE APRUEBA EL PROGRAMA DE CAPITAL HUMANO REQUERIDO PARA EL DESARROLLO DE LAS ACTIVIDADES DE LOS ÓRGANOS CENTRALES Y DISTRITALES DEL PROPIO INSTITUTO, CON MOTIVO DEL PROCESO ELECTORAL LOCAL EXTRAORDINARIO PARA PERSONAS JUZGADORAS DEL PODER JUDICIAL DEL ESTADO DE TABASCO 2024 - 2025</w:t>
      </w:r>
    </w:p>
    <w:p w14:paraId="592B7230" w14:textId="70FAEC50" w:rsidR="00DB4782" w:rsidRPr="00612765" w:rsidRDefault="00D647DB" w:rsidP="00D647DB">
      <w:pPr>
        <w:rPr>
          <w:rFonts w:ascii="Arial" w:hAnsi="Arial" w:cs="Arial"/>
          <w:sz w:val="22"/>
          <w:szCs w:val="22"/>
        </w:rPr>
      </w:pPr>
      <w:r w:rsidRPr="00612765">
        <w:rPr>
          <w:rFonts w:ascii="Arial" w:hAnsi="Arial" w:cs="Arial"/>
          <w:sz w:val="22"/>
          <w:szCs w:val="22"/>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612765" w:rsidRPr="00612765" w14:paraId="71D68C6F" w14:textId="77777777" w:rsidTr="00F637D4">
        <w:trPr>
          <w:trHeight w:val="624"/>
          <w:jc w:val="center"/>
        </w:trPr>
        <w:tc>
          <w:tcPr>
            <w:tcW w:w="2042" w:type="pct"/>
            <w:shd w:val="clear" w:color="auto" w:fill="auto"/>
            <w:vAlign w:val="center"/>
          </w:tcPr>
          <w:p w14:paraId="2FFFE2AD" w14:textId="77777777" w:rsidR="0096038A" w:rsidRPr="00612765" w:rsidRDefault="0096038A" w:rsidP="00F637D4">
            <w:pPr>
              <w:widowControl w:val="0"/>
              <w:spacing w:before="60" w:after="60" w:line="276" w:lineRule="auto"/>
              <w:ind w:left="57"/>
              <w:jc w:val="right"/>
              <w:rPr>
                <w:rFonts w:ascii="Arial" w:hAnsi="Arial" w:cs="Arial"/>
                <w:b/>
                <w:sz w:val="20"/>
                <w:szCs w:val="20"/>
              </w:rPr>
            </w:pPr>
            <w:r w:rsidRPr="00612765">
              <w:rPr>
                <w:rFonts w:ascii="Arial" w:hAnsi="Arial" w:cs="Arial"/>
                <w:b/>
                <w:sz w:val="20"/>
                <w:szCs w:val="20"/>
              </w:rPr>
              <w:t>Consejo Estatal:</w:t>
            </w:r>
          </w:p>
        </w:tc>
        <w:tc>
          <w:tcPr>
            <w:tcW w:w="2958" w:type="pct"/>
            <w:shd w:val="clear" w:color="auto" w:fill="auto"/>
            <w:vAlign w:val="center"/>
          </w:tcPr>
          <w:p w14:paraId="06A7E3B0" w14:textId="77777777" w:rsidR="0096038A" w:rsidRPr="00612765" w:rsidRDefault="0096038A" w:rsidP="00F637D4">
            <w:pPr>
              <w:widowControl w:val="0"/>
              <w:spacing w:before="60" w:after="60" w:line="276" w:lineRule="auto"/>
              <w:ind w:left="57"/>
              <w:rPr>
                <w:rFonts w:ascii="Arial" w:hAnsi="Arial" w:cs="Arial"/>
                <w:sz w:val="20"/>
                <w:szCs w:val="20"/>
              </w:rPr>
            </w:pPr>
            <w:r w:rsidRPr="00612765">
              <w:rPr>
                <w:rFonts w:ascii="Arial" w:hAnsi="Arial" w:cs="Arial"/>
                <w:sz w:val="20"/>
                <w:szCs w:val="20"/>
              </w:rPr>
              <w:t>Consejo Estatal del Instituto Electoral y de Participación Ciudadana de Tabasco.</w:t>
            </w:r>
          </w:p>
        </w:tc>
      </w:tr>
      <w:tr w:rsidR="00612765" w:rsidRPr="00612765" w14:paraId="11EE1505" w14:textId="77777777" w:rsidTr="00F637D4">
        <w:trPr>
          <w:trHeight w:val="624"/>
          <w:jc w:val="center"/>
        </w:trPr>
        <w:tc>
          <w:tcPr>
            <w:tcW w:w="2042" w:type="pct"/>
            <w:shd w:val="clear" w:color="auto" w:fill="auto"/>
            <w:vAlign w:val="center"/>
          </w:tcPr>
          <w:p w14:paraId="4ED672B0" w14:textId="77777777" w:rsidR="0096038A" w:rsidRPr="00612765" w:rsidRDefault="0096038A" w:rsidP="00F637D4">
            <w:pPr>
              <w:widowControl w:val="0"/>
              <w:spacing w:before="60" w:after="60" w:line="276" w:lineRule="auto"/>
              <w:ind w:left="57"/>
              <w:jc w:val="right"/>
              <w:rPr>
                <w:rFonts w:ascii="Arial" w:hAnsi="Arial" w:cs="Arial"/>
                <w:b/>
                <w:sz w:val="20"/>
                <w:szCs w:val="20"/>
              </w:rPr>
            </w:pPr>
            <w:r w:rsidRPr="00612765">
              <w:rPr>
                <w:rFonts w:ascii="Arial" w:hAnsi="Arial" w:cs="Arial"/>
                <w:b/>
                <w:sz w:val="20"/>
                <w:szCs w:val="20"/>
              </w:rPr>
              <w:t>Constitución Federal:</w:t>
            </w:r>
          </w:p>
        </w:tc>
        <w:tc>
          <w:tcPr>
            <w:tcW w:w="2958" w:type="pct"/>
            <w:shd w:val="clear" w:color="auto" w:fill="auto"/>
            <w:vAlign w:val="center"/>
          </w:tcPr>
          <w:p w14:paraId="13FAA73A" w14:textId="77777777" w:rsidR="0096038A" w:rsidRPr="00612765" w:rsidRDefault="0096038A" w:rsidP="00F637D4">
            <w:pPr>
              <w:widowControl w:val="0"/>
              <w:spacing w:before="60" w:after="60" w:line="276" w:lineRule="auto"/>
              <w:ind w:left="57"/>
              <w:rPr>
                <w:rFonts w:ascii="Arial" w:hAnsi="Arial" w:cs="Arial"/>
                <w:sz w:val="20"/>
                <w:szCs w:val="20"/>
              </w:rPr>
            </w:pPr>
            <w:r w:rsidRPr="00612765">
              <w:rPr>
                <w:rFonts w:ascii="Arial" w:hAnsi="Arial" w:cs="Arial"/>
                <w:sz w:val="20"/>
                <w:szCs w:val="20"/>
              </w:rPr>
              <w:t>Constitución Política de los Estados Unidos Mexicanos.</w:t>
            </w:r>
          </w:p>
        </w:tc>
      </w:tr>
      <w:tr w:rsidR="00612765" w:rsidRPr="00612765" w14:paraId="7D1FC848" w14:textId="77777777" w:rsidTr="00F637D4">
        <w:trPr>
          <w:trHeight w:val="624"/>
          <w:jc w:val="center"/>
        </w:trPr>
        <w:tc>
          <w:tcPr>
            <w:tcW w:w="2042" w:type="pct"/>
            <w:shd w:val="clear" w:color="auto" w:fill="auto"/>
            <w:vAlign w:val="center"/>
          </w:tcPr>
          <w:p w14:paraId="75A91616" w14:textId="77777777" w:rsidR="0096038A" w:rsidRPr="00612765" w:rsidRDefault="0096038A" w:rsidP="00F637D4">
            <w:pPr>
              <w:widowControl w:val="0"/>
              <w:spacing w:before="60" w:after="60" w:line="276" w:lineRule="auto"/>
              <w:ind w:left="57"/>
              <w:jc w:val="right"/>
              <w:rPr>
                <w:rFonts w:ascii="Arial" w:hAnsi="Arial" w:cs="Arial"/>
                <w:b/>
                <w:sz w:val="20"/>
                <w:szCs w:val="20"/>
              </w:rPr>
            </w:pPr>
            <w:r w:rsidRPr="00612765">
              <w:rPr>
                <w:rFonts w:ascii="Arial" w:hAnsi="Arial" w:cs="Arial"/>
                <w:b/>
                <w:sz w:val="20"/>
                <w:szCs w:val="20"/>
              </w:rPr>
              <w:t>Constitución Local:</w:t>
            </w:r>
          </w:p>
        </w:tc>
        <w:tc>
          <w:tcPr>
            <w:tcW w:w="2958" w:type="pct"/>
            <w:shd w:val="clear" w:color="auto" w:fill="auto"/>
            <w:vAlign w:val="center"/>
          </w:tcPr>
          <w:p w14:paraId="72C14FD0" w14:textId="77777777" w:rsidR="0096038A" w:rsidRPr="00612765" w:rsidRDefault="0096038A" w:rsidP="00F637D4">
            <w:pPr>
              <w:widowControl w:val="0"/>
              <w:spacing w:before="60" w:after="60" w:line="276" w:lineRule="auto"/>
              <w:ind w:left="57"/>
              <w:rPr>
                <w:rFonts w:ascii="Arial" w:hAnsi="Arial" w:cs="Arial"/>
                <w:sz w:val="20"/>
                <w:szCs w:val="20"/>
              </w:rPr>
            </w:pPr>
            <w:r w:rsidRPr="00612765">
              <w:rPr>
                <w:rFonts w:ascii="Arial" w:hAnsi="Arial" w:cs="Arial"/>
                <w:sz w:val="20"/>
                <w:szCs w:val="20"/>
              </w:rPr>
              <w:t>Constitución Política del Estado Libre y Soberano de Tabasco.</w:t>
            </w:r>
          </w:p>
        </w:tc>
      </w:tr>
      <w:tr w:rsidR="00612765" w:rsidRPr="00612765" w14:paraId="0A3D025D" w14:textId="77777777" w:rsidTr="00F637D4">
        <w:trPr>
          <w:trHeight w:val="624"/>
          <w:jc w:val="center"/>
        </w:trPr>
        <w:tc>
          <w:tcPr>
            <w:tcW w:w="2042" w:type="pct"/>
            <w:shd w:val="clear" w:color="auto" w:fill="auto"/>
            <w:vAlign w:val="center"/>
          </w:tcPr>
          <w:p w14:paraId="47537DBF" w14:textId="77777777" w:rsidR="0096038A" w:rsidRPr="00612765" w:rsidRDefault="0096038A" w:rsidP="00F637D4">
            <w:pPr>
              <w:widowControl w:val="0"/>
              <w:spacing w:before="60" w:after="60" w:line="276" w:lineRule="auto"/>
              <w:ind w:left="57"/>
              <w:jc w:val="right"/>
              <w:rPr>
                <w:rFonts w:ascii="Arial" w:hAnsi="Arial" w:cs="Arial"/>
                <w:b/>
                <w:sz w:val="20"/>
                <w:szCs w:val="20"/>
              </w:rPr>
            </w:pPr>
            <w:r w:rsidRPr="00612765">
              <w:rPr>
                <w:rFonts w:ascii="Arial" w:hAnsi="Arial" w:cs="Arial"/>
                <w:b/>
                <w:sz w:val="20"/>
                <w:szCs w:val="20"/>
              </w:rPr>
              <w:t>INE:</w:t>
            </w:r>
          </w:p>
        </w:tc>
        <w:tc>
          <w:tcPr>
            <w:tcW w:w="2958" w:type="pct"/>
            <w:shd w:val="clear" w:color="auto" w:fill="auto"/>
            <w:vAlign w:val="center"/>
          </w:tcPr>
          <w:p w14:paraId="690BF182" w14:textId="77777777" w:rsidR="0096038A" w:rsidRPr="00612765" w:rsidRDefault="0096038A" w:rsidP="00F637D4">
            <w:pPr>
              <w:widowControl w:val="0"/>
              <w:spacing w:before="60" w:after="60" w:line="276" w:lineRule="auto"/>
              <w:ind w:left="57"/>
              <w:rPr>
                <w:rFonts w:ascii="Arial" w:hAnsi="Arial" w:cs="Arial"/>
                <w:sz w:val="20"/>
                <w:szCs w:val="20"/>
              </w:rPr>
            </w:pPr>
            <w:r w:rsidRPr="00612765">
              <w:rPr>
                <w:rFonts w:ascii="Arial" w:hAnsi="Arial" w:cs="Arial"/>
                <w:sz w:val="20"/>
                <w:szCs w:val="20"/>
              </w:rPr>
              <w:t>Instituto Nacional Electoral.</w:t>
            </w:r>
          </w:p>
        </w:tc>
      </w:tr>
      <w:tr w:rsidR="00612765" w:rsidRPr="00612765" w14:paraId="4778F553" w14:textId="77777777" w:rsidTr="00F637D4">
        <w:trPr>
          <w:trHeight w:val="624"/>
          <w:jc w:val="center"/>
        </w:trPr>
        <w:tc>
          <w:tcPr>
            <w:tcW w:w="2042" w:type="pct"/>
            <w:shd w:val="clear" w:color="auto" w:fill="auto"/>
            <w:vAlign w:val="center"/>
          </w:tcPr>
          <w:p w14:paraId="6190601B" w14:textId="77777777" w:rsidR="0096038A" w:rsidRPr="00612765" w:rsidRDefault="0096038A" w:rsidP="00F637D4">
            <w:pPr>
              <w:widowControl w:val="0"/>
              <w:spacing w:before="60" w:after="60" w:line="276" w:lineRule="auto"/>
              <w:ind w:left="57"/>
              <w:jc w:val="right"/>
              <w:rPr>
                <w:rFonts w:ascii="Arial" w:hAnsi="Arial" w:cs="Arial"/>
                <w:b/>
                <w:sz w:val="20"/>
                <w:szCs w:val="20"/>
              </w:rPr>
            </w:pPr>
            <w:r w:rsidRPr="00612765">
              <w:rPr>
                <w:rFonts w:ascii="Arial" w:hAnsi="Arial" w:cs="Arial"/>
                <w:b/>
                <w:sz w:val="20"/>
                <w:szCs w:val="20"/>
              </w:rPr>
              <w:t>Instituto:</w:t>
            </w:r>
          </w:p>
        </w:tc>
        <w:tc>
          <w:tcPr>
            <w:tcW w:w="2958" w:type="pct"/>
            <w:shd w:val="clear" w:color="auto" w:fill="auto"/>
          </w:tcPr>
          <w:p w14:paraId="7AC3E018" w14:textId="77777777" w:rsidR="0096038A" w:rsidRPr="00612765" w:rsidRDefault="0096038A" w:rsidP="00F637D4">
            <w:pPr>
              <w:widowControl w:val="0"/>
              <w:spacing w:before="60" w:after="60" w:line="276" w:lineRule="auto"/>
              <w:ind w:left="57"/>
              <w:rPr>
                <w:rFonts w:ascii="Arial" w:hAnsi="Arial" w:cs="Arial"/>
                <w:sz w:val="20"/>
                <w:szCs w:val="20"/>
              </w:rPr>
            </w:pPr>
            <w:r w:rsidRPr="00612765">
              <w:rPr>
                <w:rFonts w:ascii="Arial" w:hAnsi="Arial" w:cs="Arial"/>
                <w:sz w:val="20"/>
                <w:szCs w:val="20"/>
              </w:rPr>
              <w:t>Instituto Electoral y de Participación Ciudadana de Tabasco.</w:t>
            </w:r>
          </w:p>
        </w:tc>
      </w:tr>
      <w:tr w:rsidR="00612765" w:rsidRPr="00612765" w14:paraId="487DD85E" w14:textId="77777777" w:rsidTr="00F637D4">
        <w:trPr>
          <w:trHeight w:val="624"/>
          <w:jc w:val="center"/>
        </w:trPr>
        <w:tc>
          <w:tcPr>
            <w:tcW w:w="2042" w:type="pct"/>
            <w:shd w:val="clear" w:color="auto" w:fill="auto"/>
          </w:tcPr>
          <w:p w14:paraId="06684DB1" w14:textId="77777777" w:rsidR="0096038A" w:rsidRPr="00612765" w:rsidRDefault="0096038A" w:rsidP="00F637D4">
            <w:pPr>
              <w:widowControl w:val="0"/>
              <w:spacing w:before="60" w:after="60" w:line="276" w:lineRule="auto"/>
              <w:ind w:left="57"/>
              <w:jc w:val="right"/>
              <w:rPr>
                <w:rFonts w:ascii="Arial" w:hAnsi="Arial" w:cs="Arial"/>
                <w:b/>
                <w:sz w:val="20"/>
                <w:szCs w:val="20"/>
              </w:rPr>
            </w:pPr>
            <w:r w:rsidRPr="00612765">
              <w:rPr>
                <w:rFonts w:ascii="Arial" w:hAnsi="Arial" w:cs="Arial"/>
                <w:b/>
                <w:sz w:val="20"/>
                <w:szCs w:val="20"/>
              </w:rPr>
              <w:t xml:space="preserve">Junta Ejecutiva: </w:t>
            </w:r>
          </w:p>
        </w:tc>
        <w:tc>
          <w:tcPr>
            <w:tcW w:w="2958" w:type="pct"/>
            <w:shd w:val="clear" w:color="auto" w:fill="auto"/>
          </w:tcPr>
          <w:p w14:paraId="6A793F4A" w14:textId="77777777" w:rsidR="0096038A" w:rsidRPr="00612765" w:rsidRDefault="0096038A" w:rsidP="00F637D4">
            <w:pPr>
              <w:widowControl w:val="0"/>
              <w:spacing w:before="60" w:after="60" w:line="276" w:lineRule="auto"/>
              <w:ind w:left="57"/>
              <w:rPr>
                <w:rFonts w:ascii="Arial" w:hAnsi="Arial" w:cs="Arial"/>
                <w:sz w:val="20"/>
                <w:szCs w:val="20"/>
              </w:rPr>
            </w:pPr>
            <w:r w:rsidRPr="00612765">
              <w:rPr>
                <w:rFonts w:ascii="Arial" w:hAnsi="Arial" w:cs="Arial"/>
                <w:sz w:val="20"/>
                <w:szCs w:val="20"/>
              </w:rPr>
              <w:t>Junta Estatal Ejecutiva del Instituto Electoral y de Participación Ciudadana de Tabasco.</w:t>
            </w:r>
          </w:p>
        </w:tc>
      </w:tr>
      <w:tr w:rsidR="00612765" w:rsidRPr="00612765" w14:paraId="080152CA" w14:textId="77777777" w:rsidTr="00F637D4">
        <w:trPr>
          <w:trHeight w:val="624"/>
          <w:jc w:val="center"/>
        </w:trPr>
        <w:tc>
          <w:tcPr>
            <w:tcW w:w="2042" w:type="pct"/>
            <w:shd w:val="clear" w:color="auto" w:fill="auto"/>
          </w:tcPr>
          <w:p w14:paraId="1EE269DD" w14:textId="77777777" w:rsidR="0096038A" w:rsidRPr="00612765" w:rsidRDefault="0096038A" w:rsidP="00F637D4">
            <w:pPr>
              <w:widowControl w:val="0"/>
              <w:spacing w:before="60" w:after="60" w:line="276" w:lineRule="auto"/>
              <w:ind w:left="57"/>
              <w:jc w:val="right"/>
              <w:rPr>
                <w:rFonts w:ascii="Arial" w:hAnsi="Arial" w:cs="Arial"/>
                <w:b/>
                <w:sz w:val="20"/>
                <w:szCs w:val="20"/>
              </w:rPr>
            </w:pPr>
            <w:r w:rsidRPr="00612765">
              <w:rPr>
                <w:rFonts w:ascii="Arial" w:hAnsi="Arial" w:cs="Arial"/>
                <w:b/>
                <w:sz w:val="20"/>
                <w:szCs w:val="20"/>
              </w:rPr>
              <w:t>Juntas Distritales:</w:t>
            </w:r>
          </w:p>
        </w:tc>
        <w:tc>
          <w:tcPr>
            <w:tcW w:w="2958" w:type="pct"/>
            <w:shd w:val="clear" w:color="auto" w:fill="auto"/>
          </w:tcPr>
          <w:p w14:paraId="6F040359" w14:textId="77777777" w:rsidR="0096038A" w:rsidRPr="00612765" w:rsidRDefault="0096038A" w:rsidP="00F637D4">
            <w:pPr>
              <w:widowControl w:val="0"/>
              <w:spacing w:before="60" w:after="60" w:line="276" w:lineRule="auto"/>
              <w:ind w:left="57"/>
              <w:rPr>
                <w:rFonts w:ascii="Arial" w:hAnsi="Arial" w:cs="Arial"/>
                <w:sz w:val="20"/>
                <w:szCs w:val="20"/>
              </w:rPr>
            </w:pPr>
            <w:r w:rsidRPr="00612765">
              <w:rPr>
                <w:rFonts w:ascii="Arial" w:hAnsi="Arial" w:cs="Arial"/>
                <w:sz w:val="20"/>
                <w:szCs w:val="20"/>
              </w:rPr>
              <w:t>Juntas Electorales Distritales del Instituto Electoral y de Participación Ciudadana de Tabasco.</w:t>
            </w:r>
          </w:p>
        </w:tc>
      </w:tr>
      <w:tr w:rsidR="00612765" w:rsidRPr="00612765" w14:paraId="12D362AC" w14:textId="77777777" w:rsidTr="00F637D4">
        <w:trPr>
          <w:trHeight w:val="624"/>
          <w:jc w:val="center"/>
        </w:trPr>
        <w:tc>
          <w:tcPr>
            <w:tcW w:w="2042" w:type="pct"/>
            <w:shd w:val="clear" w:color="auto" w:fill="auto"/>
            <w:vAlign w:val="center"/>
          </w:tcPr>
          <w:p w14:paraId="35D1C0C3" w14:textId="77777777" w:rsidR="0096038A" w:rsidRPr="00612765" w:rsidRDefault="0096038A" w:rsidP="00F637D4">
            <w:pPr>
              <w:widowControl w:val="0"/>
              <w:spacing w:before="60" w:after="60" w:line="276" w:lineRule="auto"/>
              <w:ind w:left="57"/>
              <w:jc w:val="right"/>
              <w:rPr>
                <w:rFonts w:ascii="Arial" w:hAnsi="Arial" w:cs="Arial"/>
                <w:b/>
                <w:sz w:val="20"/>
                <w:szCs w:val="20"/>
              </w:rPr>
            </w:pPr>
            <w:r w:rsidRPr="00612765">
              <w:rPr>
                <w:rFonts w:ascii="Arial" w:hAnsi="Arial" w:cs="Arial"/>
                <w:b/>
                <w:sz w:val="20"/>
                <w:szCs w:val="20"/>
              </w:rPr>
              <w:t>Ley Electoral:</w:t>
            </w:r>
          </w:p>
        </w:tc>
        <w:tc>
          <w:tcPr>
            <w:tcW w:w="2958" w:type="pct"/>
            <w:shd w:val="clear" w:color="auto" w:fill="auto"/>
            <w:vAlign w:val="center"/>
          </w:tcPr>
          <w:p w14:paraId="4ADCC737" w14:textId="77777777" w:rsidR="0096038A" w:rsidRPr="00612765" w:rsidRDefault="0096038A" w:rsidP="00F637D4">
            <w:pPr>
              <w:widowControl w:val="0"/>
              <w:spacing w:before="60" w:after="60" w:line="276" w:lineRule="auto"/>
              <w:ind w:left="57"/>
              <w:rPr>
                <w:rFonts w:ascii="Arial" w:hAnsi="Arial" w:cs="Arial"/>
                <w:sz w:val="20"/>
                <w:szCs w:val="20"/>
              </w:rPr>
            </w:pPr>
            <w:r w:rsidRPr="00612765">
              <w:rPr>
                <w:rFonts w:ascii="Arial" w:hAnsi="Arial" w:cs="Arial"/>
                <w:sz w:val="20"/>
                <w:szCs w:val="20"/>
              </w:rPr>
              <w:t>Ley Electoral y de Partidos Políticos del Estado de Tabasco.</w:t>
            </w:r>
          </w:p>
        </w:tc>
      </w:tr>
      <w:tr w:rsidR="00612765" w:rsidRPr="00612765" w14:paraId="1DFF994C" w14:textId="77777777" w:rsidTr="00F637D4">
        <w:trPr>
          <w:trHeight w:val="624"/>
          <w:jc w:val="center"/>
        </w:trPr>
        <w:tc>
          <w:tcPr>
            <w:tcW w:w="2042" w:type="pct"/>
            <w:shd w:val="clear" w:color="auto" w:fill="auto"/>
            <w:vAlign w:val="center"/>
          </w:tcPr>
          <w:p w14:paraId="527D2438" w14:textId="77777777" w:rsidR="0096038A" w:rsidRPr="00612765" w:rsidRDefault="0096038A" w:rsidP="00F637D4">
            <w:pPr>
              <w:widowControl w:val="0"/>
              <w:spacing w:before="60" w:after="60" w:line="276" w:lineRule="auto"/>
              <w:ind w:left="57"/>
              <w:jc w:val="right"/>
              <w:rPr>
                <w:rFonts w:ascii="Arial" w:hAnsi="Arial" w:cs="Arial"/>
                <w:b/>
                <w:sz w:val="20"/>
                <w:szCs w:val="20"/>
              </w:rPr>
            </w:pPr>
            <w:r w:rsidRPr="00612765">
              <w:rPr>
                <w:rFonts w:ascii="Arial" w:hAnsi="Arial" w:cs="Arial"/>
                <w:b/>
                <w:sz w:val="20"/>
                <w:szCs w:val="20"/>
              </w:rPr>
              <w:t>Ley General:</w:t>
            </w:r>
          </w:p>
        </w:tc>
        <w:tc>
          <w:tcPr>
            <w:tcW w:w="2958" w:type="pct"/>
            <w:shd w:val="clear" w:color="auto" w:fill="auto"/>
            <w:vAlign w:val="center"/>
          </w:tcPr>
          <w:p w14:paraId="25E359FA" w14:textId="77777777" w:rsidR="0096038A" w:rsidRPr="00612765" w:rsidRDefault="0096038A" w:rsidP="00F637D4">
            <w:pPr>
              <w:widowControl w:val="0"/>
              <w:spacing w:before="60" w:after="60" w:line="276" w:lineRule="auto"/>
              <w:ind w:left="57"/>
              <w:rPr>
                <w:rFonts w:ascii="Arial" w:hAnsi="Arial" w:cs="Arial"/>
                <w:sz w:val="20"/>
                <w:szCs w:val="20"/>
              </w:rPr>
            </w:pPr>
            <w:r w:rsidRPr="00612765">
              <w:rPr>
                <w:rFonts w:ascii="Arial" w:hAnsi="Arial" w:cs="Arial"/>
                <w:sz w:val="20"/>
                <w:szCs w:val="20"/>
              </w:rPr>
              <w:t>Ley General de Instituciones y Procedimientos Electorales.</w:t>
            </w:r>
          </w:p>
        </w:tc>
      </w:tr>
      <w:tr w:rsidR="00612765" w:rsidRPr="00612765" w14:paraId="7BB2CE71" w14:textId="77777777" w:rsidTr="00F637D4">
        <w:trPr>
          <w:trHeight w:val="624"/>
          <w:jc w:val="center"/>
        </w:trPr>
        <w:tc>
          <w:tcPr>
            <w:tcW w:w="2042" w:type="pct"/>
            <w:shd w:val="clear" w:color="auto" w:fill="auto"/>
            <w:vAlign w:val="center"/>
          </w:tcPr>
          <w:p w14:paraId="71A8CB67" w14:textId="77777777" w:rsidR="0096038A" w:rsidRPr="00612765" w:rsidRDefault="0096038A" w:rsidP="00F637D4">
            <w:pPr>
              <w:widowControl w:val="0"/>
              <w:spacing w:before="60" w:after="60" w:line="276" w:lineRule="auto"/>
              <w:ind w:left="57"/>
              <w:jc w:val="right"/>
              <w:rPr>
                <w:rFonts w:ascii="Arial" w:hAnsi="Arial" w:cs="Arial"/>
                <w:b/>
                <w:sz w:val="20"/>
                <w:szCs w:val="20"/>
              </w:rPr>
            </w:pPr>
            <w:r w:rsidRPr="00612765">
              <w:rPr>
                <w:rFonts w:ascii="Arial" w:hAnsi="Arial" w:cs="Arial"/>
                <w:b/>
                <w:sz w:val="20"/>
                <w:szCs w:val="20"/>
              </w:rPr>
              <w:t>Organismo electoral:</w:t>
            </w:r>
          </w:p>
        </w:tc>
        <w:tc>
          <w:tcPr>
            <w:tcW w:w="2958" w:type="pct"/>
            <w:shd w:val="clear" w:color="auto" w:fill="auto"/>
            <w:vAlign w:val="center"/>
          </w:tcPr>
          <w:p w14:paraId="7390239A" w14:textId="77777777" w:rsidR="0096038A" w:rsidRPr="00612765" w:rsidRDefault="0096038A" w:rsidP="00F637D4">
            <w:pPr>
              <w:widowControl w:val="0"/>
              <w:spacing w:before="60" w:after="60" w:line="276" w:lineRule="auto"/>
              <w:ind w:left="57"/>
              <w:rPr>
                <w:rFonts w:ascii="Arial" w:hAnsi="Arial" w:cs="Arial"/>
                <w:sz w:val="20"/>
                <w:szCs w:val="20"/>
              </w:rPr>
            </w:pPr>
            <w:r w:rsidRPr="00612765">
              <w:rPr>
                <w:rFonts w:ascii="Arial" w:hAnsi="Arial" w:cs="Arial"/>
                <w:sz w:val="20"/>
                <w:szCs w:val="20"/>
              </w:rPr>
              <w:t xml:space="preserve">Organismo(s) público(s) local(es) electoral(es). </w:t>
            </w:r>
          </w:p>
        </w:tc>
      </w:tr>
      <w:tr w:rsidR="00612765" w:rsidRPr="00612765" w14:paraId="2719F607" w14:textId="77777777" w:rsidTr="00F637D4">
        <w:trPr>
          <w:trHeight w:val="624"/>
          <w:jc w:val="center"/>
        </w:trPr>
        <w:tc>
          <w:tcPr>
            <w:tcW w:w="2042" w:type="pct"/>
            <w:shd w:val="clear" w:color="auto" w:fill="auto"/>
            <w:vAlign w:val="center"/>
          </w:tcPr>
          <w:p w14:paraId="15A6BCDD" w14:textId="77777777" w:rsidR="0096038A" w:rsidRPr="00612765" w:rsidRDefault="0096038A" w:rsidP="00F637D4">
            <w:pPr>
              <w:widowControl w:val="0"/>
              <w:spacing w:before="60" w:after="60" w:line="276" w:lineRule="auto"/>
              <w:ind w:left="57"/>
              <w:jc w:val="right"/>
              <w:rPr>
                <w:rFonts w:ascii="Arial" w:hAnsi="Arial" w:cs="Arial"/>
                <w:b/>
                <w:sz w:val="20"/>
                <w:szCs w:val="20"/>
              </w:rPr>
            </w:pPr>
            <w:r w:rsidRPr="00612765">
              <w:rPr>
                <w:rFonts w:ascii="Arial" w:hAnsi="Arial" w:cs="Arial"/>
                <w:b/>
                <w:sz w:val="20"/>
                <w:szCs w:val="20"/>
              </w:rPr>
              <w:t>Proceso Electoral Extraordinario:</w:t>
            </w:r>
          </w:p>
        </w:tc>
        <w:tc>
          <w:tcPr>
            <w:tcW w:w="2958" w:type="pct"/>
            <w:shd w:val="clear" w:color="auto" w:fill="auto"/>
            <w:vAlign w:val="center"/>
          </w:tcPr>
          <w:p w14:paraId="38A82ED8" w14:textId="77777777" w:rsidR="0096038A" w:rsidRPr="00612765" w:rsidRDefault="0096038A" w:rsidP="00F637D4">
            <w:pPr>
              <w:widowControl w:val="0"/>
              <w:spacing w:before="60" w:after="60" w:line="276" w:lineRule="auto"/>
              <w:ind w:left="57"/>
              <w:rPr>
                <w:rFonts w:ascii="Arial" w:hAnsi="Arial" w:cs="Arial"/>
                <w:sz w:val="20"/>
                <w:szCs w:val="20"/>
              </w:rPr>
            </w:pPr>
            <w:r w:rsidRPr="00612765">
              <w:rPr>
                <w:rFonts w:ascii="Arial" w:hAnsi="Arial" w:cs="Arial"/>
                <w:sz w:val="20"/>
                <w:szCs w:val="20"/>
              </w:rPr>
              <w:t>Proceso Electoral Local Extraordinario para personas juzgadoras 2024-2025</w:t>
            </w:r>
          </w:p>
        </w:tc>
      </w:tr>
      <w:tr w:rsidR="00612765" w:rsidRPr="00612765" w14:paraId="4EADE007" w14:textId="77777777" w:rsidTr="00F637D4">
        <w:trPr>
          <w:trHeight w:val="624"/>
          <w:jc w:val="center"/>
        </w:trPr>
        <w:tc>
          <w:tcPr>
            <w:tcW w:w="2042" w:type="pct"/>
            <w:shd w:val="clear" w:color="auto" w:fill="auto"/>
            <w:vAlign w:val="center"/>
          </w:tcPr>
          <w:p w14:paraId="2A00310D" w14:textId="77777777" w:rsidR="0096038A" w:rsidRPr="00612765" w:rsidRDefault="0096038A" w:rsidP="00F637D4">
            <w:pPr>
              <w:widowControl w:val="0"/>
              <w:spacing w:before="60" w:after="60" w:line="276" w:lineRule="auto"/>
              <w:ind w:left="57"/>
              <w:jc w:val="right"/>
              <w:rPr>
                <w:rFonts w:ascii="Arial" w:hAnsi="Arial" w:cs="Arial"/>
                <w:b/>
                <w:sz w:val="20"/>
                <w:szCs w:val="20"/>
              </w:rPr>
            </w:pPr>
            <w:r w:rsidRPr="00612765">
              <w:rPr>
                <w:rFonts w:ascii="Arial" w:hAnsi="Arial" w:cs="Arial"/>
                <w:b/>
                <w:sz w:val="20"/>
                <w:szCs w:val="20"/>
              </w:rPr>
              <w:lastRenderedPageBreak/>
              <w:t>Reglamento Interior:</w:t>
            </w:r>
          </w:p>
        </w:tc>
        <w:tc>
          <w:tcPr>
            <w:tcW w:w="2958" w:type="pct"/>
            <w:shd w:val="clear" w:color="auto" w:fill="auto"/>
            <w:vAlign w:val="center"/>
          </w:tcPr>
          <w:p w14:paraId="646696A3" w14:textId="77777777" w:rsidR="0096038A" w:rsidRPr="00612765" w:rsidRDefault="0096038A" w:rsidP="00F637D4">
            <w:pPr>
              <w:widowControl w:val="0"/>
              <w:spacing w:before="60" w:after="60" w:line="276" w:lineRule="auto"/>
              <w:ind w:left="57"/>
              <w:rPr>
                <w:rFonts w:ascii="Arial" w:hAnsi="Arial" w:cs="Arial"/>
                <w:sz w:val="20"/>
                <w:szCs w:val="20"/>
              </w:rPr>
            </w:pPr>
            <w:r w:rsidRPr="00612765">
              <w:rPr>
                <w:rFonts w:ascii="Arial" w:hAnsi="Arial" w:cs="Arial"/>
                <w:sz w:val="20"/>
                <w:szCs w:val="20"/>
              </w:rPr>
              <w:t xml:space="preserve">Reglamento Interior del Instituto Electoral y de Participación Ciudadana de Tabasco. </w:t>
            </w:r>
          </w:p>
        </w:tc>
      </w:tr>
      <w:tr w:rsidR="00612765" w:rsidRPr="00612765" w14:paraId="575FCDF1" w14:textId="77777777" w:rsidTr="00F637D4">
        <w:trPr>
          <w:trHeight w:val="624"/>
          <w:jc w:val="center"/>
        </w:trPr>
        <w:tc>
          <w:tcPr>
            <w:tcW w:w="2042" w:type="pct"/>
            <w:shd w:val="clear" w:color="auto" w:fill="auto"/>
            <w:vAlign w:val="center"/>
          </w:tcPr>
          <w:p w14:paraId="7F784D32" w14:textId="77777777" w:rsidR="0096038A" w:rsidRPr="00612765" w:rsidRDefault="0096038A" w:rsidP="00F637D4">
            <w:pPr>
              <w:widowControl w:val="0"/>
              <w:spacing w:before="60" w:after="60" w:line="276" w:lineRule="auto"/>
              <w:ind w:left="57"/>
              <w:jc w:val="right"/>
              <w:rPr>
                <w:rFonts w:ascii="Arial" w:hAnsi="Arial" w:cs="Arial"/>
                <w:b/>
                <w:sz w:val="20"/>
                <w:szCs w:val="20"/>
              </w:rPr>
            </w:pPr>
            <w:r w:rsidRPr="00612765">
              <w:rPr>
                <w:rFonts w:ascii="Arial" w:hAnsi="Arial" w:cs="Arial"/>
                <w:b/>
                <w:sz w:val="20"/>
                <w:szCs w:val="20"/>
              </w:rPr>
              <w:t>Secretaría Ejecutiva:</w:t>
            </w:r>
          </w:p>
        </w:tc>
        <w:tc>
          <w:tcPr>
            <w:tcW w:w="2958" w:type="pct"/>
            <w:shd w:val="clear" w:color="auto" w:fill="auto"/>
            <w:vAlign w:val="center"/>
          </w:tcPr>
          <w:p w14:paraId="45368381" w14:textId="77777777" w:rsidR="0096038A" w:rsidRPr="00612765" w:rsidRDefault="0096038A" w:rsidP="00F637D4">
            <w:pPr>
              <w:widowControl w:val="0"/>
              <w:spacing w:before="60" w:after="60" w:line="276" w:lineRule="auto"/>
              <w:ind w:left="57"/>
              <w:rPr>
                <w:rFonts w:ascii="Arial" w:hAnsi="Arial" w:cs="Arial"/>
                <w:sz w:val="20"/>
                <w:szCs w:val="20"/>
              </w:rPr>
            </w:pPr>
            <w:r w:rsidRPr="00612765">
              <w:rPr>
                <w:rFonts w:ascii="Arial" w:hAnsi="Arial" w:cs="Arial"/>
                <w:sz w:val="20"/>
                <w:szCs w:val="20"/>
              </w:rPr>
              <w:t>Secretaría Ejecutiva del Instituto Electoral y de Participación Ciudadana de Tabasco.</w:t>
            </w:r>
          </w:p>
        </w:tc>
      </w:tr>
    </w:tbl>
    <w:p w14:paraId="06457C4D" w14:textId="77777777" w:rsidR="00D647DB" w:rsidRPr="00612765" w:rsidRDefault="00D647DB" w:rsidP="00077C45">
      <w:pPr>
        <w:pStyle w:val="Ttulo1"/>
        <w:rPr>
          <w:rFonts w:ascii="Arial" w:hAnsi="Arial" w:cs="Arial"/>
          <w:color w:val="auto"/>
          <w:sz w:val="24"/>
          <w:szCs w:val="24"/>
        </w:rPr>
      </w:pPr>
      <w:r w:rsidRPr="00612765">
        <w:rPr>
          <w:rFonts w:ascii="Arial" w:hAnsi="Arial" w:cs="Arial"/>
          <w:color w:val="auto"/>
          <w:sz w:val="24"/>
          <w:szCs w:val="24"/>
        </w:rPr>
        <w:t>Antecedentes</w:t>
      </w:r>
    </w:p>
    <w:p w14:paraId="32BE549D" w14:textId="77777777" w:rsidR="00D647DB" w:rsidRPr="00612765" w:rsidRDefault="00D647DB" w:rsidP="00D647DB">
      <w:pPr>
        <w:pStyle w:val="Ttulo2"/>
        <w:rPr>
          <w:rFonts w:ascii="Arial" w:hAnsi="Arial" w:cs="Arial"/>
          <w:color w:val="auto"/>
          <w:sz w:val="22"/>
          <w:szCs w:val="22"/>
        </w:rPr>
      </w:pPr>
      <w:r w:rsidRPr="00612765">
        <w:rPr>
          <w:rFonts w:ascii="Arial" w:hAnsi="Arial" w:cs="Arial"/>
          <w:color w:val="auto"/>
        </w:rPr>
        <w:t xml:space="preserve">Fines del </w:t>
      </w:r>
      <w:r w:rsidRPr="00612765">
        <w:rPr>
          <w:rFonts w:ascii="Arial" w:hAnsi="Arial" w:cs="Arial"/>
          <w:color w:val="auto"/>
          <w:sz w:val="22"/>
          <w:szCs w:val="22"/>
        </w:rPr>
        <w:t>Instituto</w:t>
      </w:r>
    </w:p>
    <w:p w14:paraId="4AC0DF2E" w14:textId="77777777" w:rsidR="00D647DB" w:rsidRPr="00612765" w:rsidRDefault="00D647DB" w:rsidP="00D647DB">
      <w:pPr>
        <w:rPr>
          <w:rFonts w:ascii="Arial" w:hAnsi="Arial" w:cs="Arial"/>
          <w:sz w:val="22"/>
          <w:szCs w:val="22"/>
        </w:rPr>
      </w:pPr>
      <w:r w:rsidRPr="00612765">
        <w:rPr>
          <w:rFonts w:ascii="Arial" w:hAnsi="Arial" w:cs="Arial"/>
          <w:sz w:val="22"/>
          <w:szCs w:val="22"/>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643EC0E0" w14:textId="77777777" w:rsidR="00D647DB" w:rsidRPr="00612765" w:rsidRDefault="00D647DB" w:rsidP="00D647DB">
      <w:pPr>
        <w:rPr>
          <w:rFonts w:ascii="Arial" w:hAnsi="Arial" w:cs="Arial"/>
          <w:sz w:val="22"/>
          <w:szCs w:val="22"/>
        </w:rPr>
      </w:pPr>
      <w:r w:rsidRPr="00612765">
        <w:rPr>
          <w:rFonts w:ascii="Arial" w:hAnsi="Arial" w:cs="Arial"/>
          <w:sz w:val="22"/>
          <w:szCs w:val="22"/>
        </w:rPr>
        <w:t xml:space="preserve">Además, es responsable de la organización de las elecciones estatal, distritales y municipales, entre ellas la relativa a las personas titulares de las magistraturas del Tribunal de Disciplina Judicial y del Tribunal Superior de Justicia, así como de las Juezas y Jueces. </w:t>
      </w:r>
    </w:p>
    <w:p w14:paraId="567A310F" w14:textId="77777777" w:rsidR="00D647DB" w:rsidRPr="00612765" w:rsidRDefault="00D647DB" w:rsidP="00D647DB">
      <w:pPr>
        <w:rPr>
          <w:rFonts w:ascii="Arial" w:hAnsi="Arial" w:cs="Arial"/>
          <w:sz w:val="22"/>
          <w:szCs w:val="22"/>
        </w:rPr>
      </w:pPr>
      <w:r w:rsidRPr="00612765">
        <w:rPr>
          <w:rFonts w:ascii="Arial" w:hAnsi="Arial" w:cs="Arial"/>
          <w:sz w:val="22"/>
          <w:szCs w:val="22"/>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28B8E491" w14:textId="77777777" w:rsidR="00D647DB" w:rsidRPr="00612765" w:rsidRDefault="00D647DB" w:rsidP="00D647DB">
      <w:pPr>
        <w:pStyle w:val="Ttulo2"/>
        <w:rPr>
          <w:rFonts w:ascii="Arial" w:hAnsi="Arial" w:cs="Arial"/>
          <w:color w:val="auto"/>
          <w:sz w:val="22"/>
          <w:szCs w:val="22"/>
        </w:rPr>
      </w:pPr>
      <w:r w:rsidRPr="00612765">
        <w:rPr>
          <w:rFonts w:ascii="Arial" w:hAnsi="Arial" w:cs="Arial"/>
          <w:color w:val="auto"/>
          <w:sz w:val="22"/>
          <w:szCs w:val="22"/>
        </w:rPr>
        <w:t>Integración del órgano superior de dirección</w:t>
      </w:r>
    </w:p>
    <w:p w14:paraId="58255987" w14:textId="77777777" w:rsidR="00D647DB" w:rsidRPr="00612765" w:rsidRDefault="00D647DB" w:rsidP="00D647DB">
      <w:pPr>
        <w:rPr>
          <w:rFonts w:ascii="Arial" w:hAnsi="Arial" w:cs="Arial"/>
          <w:sz w:val="22"/>
          <w:szCs w:val="22"/>
        </w:rPr>
      </w:pPr>
      <w:r w:rsidRPr="00612765">
        <w:rPr>
          <w:rFonts w:ascii="Arial" w:hAnsi="Arial" w:cs="Arial"/>
          <w:sz w:val="22"/>
          <w:szCs w:val="22"/>
        </w:rPr>
        <w:t xml:space="preserve">En términos del artículo 106 de la Ley Electoral, el Consejo Estatal es el órgano superior de dirección, responsable de vigilar el cumplimiento de las disposiciones constitucionales y </w:t>
      </w:r>
      <w:r w:rsidRPr="00612765">
        <w:rPr>
          <w:rFonts w:ascii="Arial" w:hAnsi="Arial" w:cs="Arial"/>
          <w:sz w:val="22"/>
          <w:szCs w:val="22"/>
        </w:rPr>
        <w:lastRenderedPageBreak/>
        <w:t>legales en materia electoral, así como de velar porque los principios de certeza, legalidad, independencia, máxima publicidad, imparcialidad, objetividad y paridad de género, guíen todas las actividades del Instituto.</w:t>
      </w:r>
    </w:p>
    <w:p w14:paraId="2BE87B7E" w14:textId="77777777" w:rsidR="00D647DB" w:rsidRPr="00612765" w:rsidRDefault="00D647DB" w:rsidP="00D647DB">
      <w:pPr>
        <w:rPr>
          <w:rFonts w:ascii="Arial" w:hAnsi="Arial" w:cs="Arial"/>
          <w:sz w:val="22"/>
          <w:szCs w:val="22"/>
        </w:rPr>
      </w:pPr>
      <w:r w:rsidRPr="00612765">
        <w:rPr>
          <w:rFonts w:ascii="Arial" w:hAnsi="Arial" w:cs="Arial"/>
          <w:sz w:val="22"/>
          <w:szCs w:val="22"/>
        </w:rPr>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10D65663" w14:textId="77777777" w:rsidR="00D647DB" w:rsidRPr="00612765" w:rsidRDefault="00D647DB" w:rsidP="00D647DB">
      <w:pPr>
        <w:pStyle w:val="Ttulo2"/>
        <w:rPr>
          <w:rFonts w:ascii="Arial" w:hAnsi="Arial" w:cs="Arial"/>
          <w:color w:val="auto"/>
          <w:sz w:val="22"/>
          <w:szCs w:val="22"/>
        </w:rPr>
      </w:pPr>
      <w:r w:rsidRPr="00612765">
        <w:rPr>
          <w:rFonts w:ascii="Arial" w:hAnsi="Arial" w:cs="Arial"/>
          <w:color w:val="auto"/>
          <w:sz w:val="22"/>
          <w:szCs w:val="22"/>
        </w:rPr>
        <w:t>Órganos Centrales del Instituto</w:t>
      </w:r>
    </w:p>
    <w:p w14:paraId="09BCBDA1" w14:textId="77777777" w:rsidR="00D647DB" w:rsidRPr="00612765" w:rsidRDefault="00D647DB" w:rsidP="00D647DB">
      <w:pPr>
        <w:rPr>
          <w:rFonts w:ascii="Arial" w:hAnsi="Arial" w:cs="Arial"/>
          <w:sz w:val="22"/>
          <w:szCs w:val="22"/>
        </w:rPr>
      </w:pPr>
      <w:r w:rsidRPr="00612765">
        <w:rPr>
          <w:rFonts w:ascii="Arial" w:hAnsi="Arial" w:cs="Arial"/>
          <w:sz w:val="22"/>
          <w:szCs w:val="22"/>
        </w:rPr>
        <w:t>De acuerdo con el artículo 105 numeral 1 de la Ley Electoral los órganos centrales del Instituto son los siguientes:</w:t>
      </w:r>
    </w:p>
    <w:p w14:paraId="28C37CAB" w14:textId="77777777" w:rsidR="00D647DB" w:rsidRPr="00612765" w:rsidRDefault="00D647DB" w:rsidP="00D647DB">
      <w:pPr>
        <w:pStyle w:val="Prrafodelista"/>
        <w:numPr>
          <w:ilvl w:val="0"/>
          <w:numId w:val="1"/>
        </w:numPr>
        <w:rPr>
          <w:rFonts w:ascii="Arial" w:hAnsi="Arial" w:cs="Arial"/>
          <w:sz w:val="22"/>
          <w:szCs w:val="22"/>
        </w:rPr>
      </w:pPr>
      <w:r w:rsidRPr="00612765">
        <w:rPr>
          <w:rFonts w:ascii="Arial" w:hAnsi="Arial" w:cs="Arial"/>
          <w:sz w:val="22"/>
          <w:szCs w:val="22"/>
        </w:rPr>
        <w:t>Consejo Estatal;</w:t>
      </w:r>
    </w:p>
    <w:p w14:paraId="6E9261EB" w14:textId="77777777" w:rsidR="00D647DB" w:rsidRPr="00612765" w:rsidRDefault="00D647DB" w:rsidP="00D647DB">
      <w:pPr>
        <w:pStyle w:val="Prrafodelista"/>
        <w:numPr>
          <w:ilvl w:val="0"/>
          <w:numId w:val="1"/>
        </w:numPr>
        <w:rPr>
          <w:rFonts w:ascii="Arial" w:hAnsi="Arial" w:cs="Arial"/>
          <w:sz w:val="22"/>
          <w:szCs w:val="22"/>
        </w:rPr>
      </w:pPr>
      <w:r w:rsidRPr="00612765">
        <w:rPr>
          <w:rFonts w:ascii="Arial" w:hAnsi="Arial" w:cs="Arial"/>
          <w:sz w:val="22"/>
          <w:szCs w:val="22"/>
        </w:rPr>
        <w:t>Presidencia del Consejo Estatal;</w:t>
      </w:r>
    </w:p>
    <w:p w14:paraId="00C35E40" w14:textId="77777777" w:rsidR="00D647DB" w:rsidRPr="00612765" w:rsidRDefault="00D647DB" w:rsidP="00D647DB">
      <w:pPr>
        <w:pStyle w:val="Prrafodelista"/>
        <w:numPr>
          <w:ilvl w:val="0"/>
          <w:numId w:val="1"/>
        </w:numPr>
        <w:rPr>
          <w:rFonts w:ascii="Arial" w:hAnsi="Arial" w:cs="Arial"/>
          <w:sz w:val="22"/>
          <w:szCs w:val="22"/>
        </w:rPr>
      </w:pPr>
      <w:r w:rsidRPr="00612765">
        <w:rPr>
          <w:rFonts w:ascii="Arial" w:hAnsi="Arial" w:cs="Arial"/>
          <w:sz w:val="22"/>
          <w:szCs w:val="22"/>
        </w:rPr>
        <w:t>Junta Estatal Ejecutiva;</w:t>
      </w:r>
    </w:p>
    <w:p w14:paraId="620363B0" w14:textId="77777777" w:rsidR="00D647DB" w:rsidRPr="00612765" w:rsidRDefault="00D647DB" w:rsidP="00D647DB">
      <w:pPr>
        <w:pStyle w:val="Prrafodelista"/>
        <w:numPr>
          <w:ilvl w:val="0"/>
          <w:numId w:val="1"/>
        </w:numPr>
        <w:rPr>
          <w:rFonts w:ascii="Arial" w:hAnsi="Arial" w:cs="Arial"/>
          <w:sz w:val="22"/>
          <w:szCs w:val="22"/>
        </w:rPr>
      </w:pPr>
      <w:r w:rsidRPr="00612765">
        <w:rPr>
          <w:rFonts w:ascii="Arial" w:hAnsi="Arial" w:cs="Arial"/>
          <w:sz w:val="22"/>
          <w:szCs w:val="22"/>
        </w:rPr>
        <w:t>Secretaría Ejecutiva, y</w:t>
      </w:r>
    </w:p>
    <w:p w14:paraId="371437BF" w14:textId="77777777" w:rsidR="00D647DB" w:rsidRPr="00612765" w:rsidRDefault="00D647DB" w:rsidP="00D647DB">
      <w:pPr>
        <w:pStyle w:val="Prrafodelista"/>
        <w:numPr>
          <w:ilvl w:val="0"/>
          <w:numId w:val="1"/>
        </w:numPr>
        <w:rPr>
          <w:rFonts w:ascii="Arial" w:hAnsi="Arial" w:cs="Arial"/>
          <w:sz w:val="22"/>
          <w:szCs w:val="22"/>
        </w:rPr>
      </w:pPr>
      <w:r w:rsidRPr="00612765">
        <w:rPr>
          <w:rFonts w:ascii="Arial" w:hAnsi="Arial" w:cs="Arial"/>
          <w:sz w:val="22"/>
          <w:szCs w:val="22"/>
        </w:rPr>
        <w:t>Órgano Técnico de Fiscalización.</w:t>
      </w:r>
    </w:p>
    <w:p w14:paraId="1DAB7367" w14:textId="77777777" w:rsidR="00D647DB" w:rsidRPr="00612765" w:rsidRDefault="00D647DB" w:rsidP="00D647DB">
      <w:pPr>
        <w:pStyle w:val="Ttulo2"/>
        <w:rPr>
          <w:rFonts w:ascii="Arial" w:hAnsi="Arial" w:cs="Arial"/>
          <w:color w:val="auto"/>
          <w:sz w:val="22"/>
          <w:szCs w:val="22"/>
        </w:rPr>
      </w:pPr>
      <w:r w:rsidRPr="00612765">
        <w:rPr>
          <w:rFonts w:ascii="Arial" w:hAnsi="Arial" w:cs="Arial"/>
          <w:color w:val="auto"/>
          <w:sz w:val="22"/>
          <w:szCs w:val="22"/>
        </w:rPr>
        <w:t>Integración de la Junta Ejecutiva</w:t>
      </w:r>
    </w:p>
    <w:p w14:paraId="5577082A" w14:textId="104998C1" w:rsidR="00D647DB" w:rsidRPr="00612765" w:rsidRDefault="00D647DB" w:rsidP="00D647DB">
      <w:pPr>
        <w:rPr>
          <w:rFonts w:ascii="Arial" w:hAnsi="Arial" w:cs="Arial"/>
          <w:sz w:val="22"/>
          <w:szCs w:val="22"/>
        </w:rPr>
      </w:pPr>
      <w:r w:rsidRPr="00612765">
        <w:rPr>
          <w:rFonts w:ascii="Arial" w:hAnsi="Arial" w:cs="Arial"/>
          <w:sz w:val="22"/>
          <w:szCs w:val="22"/>
        </w:rPr>
        <w:t>El artículo 118 numeral 1 de la Ley Electoral establece que la Junta, será presidida por la Consejera o el Consejero Presidente y se integrará con la Secretaría Ejecutiva y con las personas titulares de las Direcciones de Organización Electoral y Educación Cívica; y de Administración.</w:t>
      </w:r>
    </w:p>
    <w:p w14:paraId="5281139D" w14:textId="77777777" w:rsidR="00D647DB" w:rsidRPr="00612765" w:rsidRDefault="00D647DB" w:rsidP="00D647DB">
      <w:pPr>
        <w:pStyle w:val="Ttulo2"/>
        <w:rPr>
          <w:rFonts w:ascii="Arial" w:hAnsi="Arial" w:cs="Arial"/>
          <w:color w:val="auto"/>
          <w:sz w:val="22"/>
          <w:szCs w:val="22"/>
        </w:rPr>
      </w:pPr>
      <w:r w:rsidRPr="00612765">
        <w:rPr>
          <w:rFonts w:ascii="Arial" w:hAnsi="Arial" w:cs="Arial"/>
          <w:color w:val="auto"/>
          <w:sz w:val="22"/>
          <w:szCs w:val="22"/>
        </w:rPr>
        <w:t xml:space="preserve">Reforma Constitucional </w:t>
      </w:r>
    </w:p>
    <w:p w14:paraId="3CDA5E81" w14:textId="77777777" w:rsidR="00D647DB" w:rsidRPr="00612765" w:rsidRDefault="00D647DB" w:rsidP="00D647DB">
      <w:pPr>
        <w:rPr>
          <w:rFonts w:ascii="Arial" w:hAnsi="Arial" w:cs="Arial"/>
          <w:sz w:val="22"/>
          <w:szCs w:val="22"/>
        </w:rPr>
      </w:pPr>
      <w:r w:rsidRPr="00612765">
        <w:rPr>
          <w:rFonts w:ascii="Arial" w:hAnsi="Arial" w:cs="Arial"/>
          <w:sz w:val="22"/>
          <w:szCs w:val="22"/>
        </w:rPr>
        <w:t xml:space="preserve">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de la fracción XXI del artículo 36, la fracción IV del artículo 39; el inciso b) de la fracción I </w:t>
      </w:r>
      <w:r w:rsidRPr="00612765">
        <w:rPr>
          <w:rFonts w:ascii="Arial" w:hAnsi="Arial" w:cs="Arial"/>
          <w:sz w:val="22"/>
          <w:szCs w:val="22"/>
        </w:rPr>
        <w:lastRenderedPageBreak/>
        <w:t>del artículo 55; y el artículo 61; todos de la Constitución Local.  Dicha reforma entró en vigor el 17 de diciembre de 2024.</w:t>
      </w:r>
    </w:p>
    <w:p w14:paraId="206846FE" w14:textId="77777777" w:rsidR="00D647DB" w:rsidRPr="00612765" w:rsidRDefault="00D647DB" w:rsidP="00D647DB">
      <w:pPr>
        <w:rPr>
          <w:rFonts w:ascii="Arial" w:hAnsi="Arial" w:cs="Arial"/>
          <w:sz w:val="22"/>
          <w:szCs w:val="22"/>
        </w:rPr>
      </w:pPr>
      <w:r w:rsidRPr="00612765">
        <w:rPr>
          <w:rFonts w:ascii="Arial" w:hAnsi="Arial" w:cs="Arial"/>
          <w:sz w:val="22"/>
          <w:szCs w:val="22"/>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5B7846BA" w14:textId="77777777" w:rsidR="00D647DB" w:rsidRPr="00612765" w:rsidRDefault="00D647DB" w:rsidP="00D647DB">
      <w:pPr>
        <w:pStyle w:val="Ttulo2"/>
        <w:rPr>
          <w:rFonts w:ascii="Arial" w:hAnsi="Arial" w:cs="Arial"/>
          <w:color w:val="auto"/>
          <w:sz w:val="22"/>
          <w:szCs w:val="22"/>
        </w:rPr>
      </w:pPr>
      <w:r w:rsidRPr="00612765">
        <w:rPr>
          <w:rFonts w:ascii="Arial" w:hAnsi="Arial" w:cs="Arial"/>
          <w:color w:val="auto"/>
          <w:sz w:val="22"/>
          <w:szCs w:val="22"/>
        </w:rPr>
        <w:t>Inicio del Proceso Electoral Extraordinario</w:t>
      </w:r>
    </w:p>
    <w:p w14:paraId="303E4036" w14:textId="77777777" w:rsidR="00D647DB" w:rsidRPr="00612765" w:rsidRDefault="00D647DB" w:rsidP="00D647DB">
      <w:pPr>
        <w:rPr>
          <w:rFonts w:ascii="Arial" w:hAnsi="Arial" w:cs="Arial"/>
          <w:sz w:val="22"/>
          <w:szCs w:val="22"/>
        </w:rPr>
      </w:pPr>
      <w:r w:rsidRPr="00612765">
        <w:rPr>
          <w:rFonts w:ascii="Arial" w:hAnsi="Arial" w:cs="Arial"/>
          <w:sz w:val="22"/>
          <w:szCs w:val="22"/>
        </w:rPr>
        <w:t>El 20 de diciembre de 2024, en cumplimiento al artículo segundo transitorio del decreto 080, el Consejo Estatal declaró el inicio del Proceso Electoral Extraordinario 2024 – 2025 en el que se elegirán a las Magistradas y Magistrados que integran el Tribunal de Disciplina Judicial, el cincuenta por ciento de las Magistradas y Magistrados que integran el Pleno del Tribunal Superior de Justicia, así como el cincuenta por ciento de las Juezas y Jueces del Poder Judicial del Estado.</w:t>
      </w:r>
    </w:p>
    <w:p w14:paraId="5F322E02" w14:textId="77777777" w:rsidR="00D647DB" w:rsidRPr="00612765" w:rsidRDefault="00D647DB" w:rsidP="00D647DB">
      <w:pPr>
        <w:pStyle w:val="Ttulo2"/>
        <w:rPr>
          <w:rFonts w:ascii="Arial" w:hAnsi="Arial" w:cs="Arial"/>
          <w:color w:val="auto"/>
          <w:sz w:val="22"/>
          <w:szCs w:val="22"/>
        </w:rPr>
      </w:pPr>
      <w:r w:rsidRPr="00612765">
        <w:rPr>
          <w:rFonts w:ascii="Arial" w:hAnsi="Arial" w:cs="Arial"/>
          <w:color w:val="auto"/>
          <w:sz w:val="22"/>
          <w:szCs w:val="22"/>
        </w:rPr>
        <w:t>Reforma a la Ley Electoral</w:t>
      </w:r>
    </w:p>
    <w:p w14:paraId="231BED20" w14:textId="77777777" w:rsidR="00D647DB" w:rsidRPr="00612765" w:rsidRDefault="00D647DB" w:rsidP="00D647DB">
      <w:pPr>
        <w:rPr>
          <w:rFonts w:ascii="Arial" w:hAnsi="Arial" w:cs="Arial"/>
          <w:sz w:val="22"/>
          <w:szCs w:val="22"/>
        </w:rPr>
      </w:pPr>
      <w:r w:rsidRPr="00612765">
        <w:rPr>
          <w:rFonts w:ascii="Arial" w:hAnsi="Arial" w:cs="Arial"/>
          <w:sz w:val="22"/>
          <w:szCs w:val="22"/>
        </w:rPr>
        <w:t>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al numeral 1 del artículo 126, el libro noveno que comprenden los artículos 384 al 419, todos de la Ley Electoral.</w:t>
      </w:r>
    </w:p>
    <w:p w14:paraId="25712E7D" w14:textId="77777777" w:rsidR="00D647DB" w:rsidRPr="00612765" w:rsidRDefault="00D647DB" w:rsidP="00D647DB">
      <w:pPr>
        <w:pStyle w:val="Ttulo2"/>
        <w:rPr>
          <w:rFonts w:ascii="Arial" w:hAnsi="Arial" w:cs="Arial"/>
          <w:color w:val="auto"/>
          <w:sz w:val="22"/>
          <w:szCs w:val="22"/>
        </w:rPr>
      </w:pPr>
      <w:r w:rsidRPr="00612765">
        <w:rPr>
          <w:rFonts w:ascii="Arial" w:hAnsi="Arial" w:cs="Arial"/>
          <w:color w:val="auto"/>
          <w:sz w:val="22"/>
          <w:szCs w:val="22"/>
        </w:rPr>
        <w:t>Jornada electoral</w:t>
      </w:r>
    </w:p>
    <w:p w14:paraId="30576A47" w14:textId="02112FFB" w:rsidR="00D647DB" w:rsidRPr="00612765" w:rsidRDefault="00D647DB" w:rsidP="00D647DB">
      <w:pPr>
        <w:rPr>
          <w:rFonts w:ascii="Arial" w:hAnsi="Arial" w:cs="Arial"/>
          <w:sz w:val="22"/>
          <w:szCs w:val="22"/>
        </w:rPr>
      </w:pPr>
      <w:r w:rsidRPr="00612765">
        <w:rPr>
          <w:rFonts w:ascii="Arial" w:hAnsi="Arial" w:cs="Arial"/>
          <w:sz w:val="22"/>
          <w:szCs w:val="22"/>
        </w:rPr>
        <w:t>En términos del artículo segundo transitorio del decreto 080, la jornada electoral se celebrará el primer domingo de junio del año de la elección; que, en el caso del Proceso Electoral Extraordinario, corresponde al 1 de junio de 2025. Asimismo, podrán participar como observadoras las personas o agrupaciones acreditadas por el Instituto, con excepción de las y los representantes o militantes de un partido político.</w:t>
      </w:r>
    </w:p>
    <w:p w14:paraId="1E6F9794" w14:textId="0B7F6CE9" w:rsidR="0096038A" w:rsidRPr="007157B6" w:rsidRDefault="0096038A" w:rsidP="0096038A">
      <w:pPr>
        <w:pStyle w:val="Ttulo1"/>
        <w:rPr>
          <w:rFonts w:ascii="Arial" w:hAnsi="Arial" w:cs="Arial"/>
          <w:color w:val="auto"/>
          <w:sz w:val="24"/>
          <w:szCs w:val="24"/>
        </w:rPr>
      </w:pPr>
      <w:r w:rsidRPr="007157B6">
        <w:rPr>
          <w:rFonts w:ascii="Arial" w:hAnsi="Arial" w:cs="Arial"/>
          <w:color w:val="auto"/>
          <w:sz w:val="24"/>
          <w:szCs w:val="24"/>
        </w:rPr>
        <w:lastRenderedPageBreak/>
        <w:t>Considerando</w:t>
      </w:r>
    </w:p>
    <w:p w14:paraId="3A16CAEE" w14:textId="1DEEDF8D" w:rsidR="0096038A" w:rsidRPr="00612765" w:rsidRDefault="0096038A" w:rsidP="00E029A4">
      <w:pPr>
        <w:pStyle w:val="Ttulo2"/>
        <w:rPr>
          <w:rFonts w:ascii="Arial" w:hAnsi="Arial" w:cs="Arial"/>
          <w:color w:val="auto"/>
          <w:sz w:val="22"/>
          <w:szCs w:val="22"/>
        </w:rPr>
      </w:pPr>
      <w:r w:rsidRPr="00612765">
        <w:rPr>
          <w:rFonts w:ascii="Arial" w:hAnsi="Arial" w:cs="Arial"/>
          <w:color w:val="auto"/>
          <w:sz w:val="22"/>
          <w:szCs w:val="22"/>
        </w:rPr>
        <w:t>Competencia de la Junta Ejecutiva</w:t>
      </w:r>
    </w:p>
    <w:p w14:paraId="1773CEDA" w14:textId="394912A2" w:rsidR="0096038A" w:rsidRPr="00612765" w:rsidRDefault="0096038A" w:rsidP="0096038A">
      <w:pPr>
        <w:rPr>
          <w:rFonts w:ascii="Arial" w:hAnsi="Arial" w:cs="Arial"/>
          <w:sz w:val="22"/>
          <w:szCs w:val="22"/>
        </w:rPr>
      </w:pPr>
      <w:r w:rsidRPr="00612765">
        <w:rPr>
          <w:rFonts w:ascii="Arial" w:hAnsi="Arial" w:cs="Arial"/>
          <w:sz w:val="22"/>
          <w:szCs w:val="22"/>
        </w:rPr>
        <w:t>Que, de conformidad con el artículo 119 numeral 1, fracciones II, V y VI de la Ley Electoral y 16 fracción VI del Reglamento Interior, la Junta Ejecutiva es competente para fijar los procedimientos administrativos, conforme a las políticas y programas generales del Instituto; supervisar el cumplimiento de los programas y actividades de las Direcciones y aprobar, conforme al presupuesto autorizado, la estructura de las vocalías de acuerdo con las necesidades del proceso electoral; así como para aprobar la designación del personal del Instituto con excepción de aquellos previstos en el Reglamento de Elecciones y del SPEN, conforme a las disposiciones aplicables.</w:t>
      </w:r>
    </w:p>
    <w:p w14:paraId="50D3321F" w14:textId="77777777" w:rsidR="0096038A" w:rsidRPr="00612765" w:rsidRDefault="0096038A" w:rsidP="0096038A">
      <w:pPr>
        <w:rPr>
          <w:rFonts w:ascii="Arial" w:hAnsi="Arial" w:cs="Arial"/>
          <w:sz w:val="22"/>
          <w:szCs w:val="22"/>
        </w:rPr>
      </w:pPr>
      <w:r w:rsidRPr="00612765">
        <w:rPr>
          <w:rFonts w:ascii="Arial" w:hAnsi="Arial" w:cs="Arial"/>
          <w:sz w:val="22"/>
          <w:szCs w:val="22"/>
        </w:rPr>
        <w:t xml:space="preserve">Acorde a lo anterior, de la interpretación sistemática y funcional al artículo 115 numeral 5 de la Ley Electoral se advierte que, la Junta Ejecutiva podrá emitir los acuerdos que estime necesarios para la organización, integración de la estructura, desarrollo, cómputo, vigilancia y fiscalización de los procesos electorales de las personas juzgadoras, garantizando el cumplimiento de las disposiciones constitucionales y legales aplicables para los procesos electorales estatales, observando los principios de certeza, legalidad, independencia, imparcialidad, máxima publicidad, objetividad y paridad de género. </w:t>
      </w:r>
    </w:p>
    <w:p w14:paraId="0E7C349D" w14:textId="55C82B9D" w:rsidR="0096038A" w:rsidRPr="00612765" w:rsidRDefault="0096038A" w:rsidP="00E029A4">
      <w:pPr>
        <w:pStyle w:val="Ttulo2"/>
        <w:rPr>
          <w:rFonts w:ascii="Arial" w:hAnsi="Arial" w:cs="Arial"/>
          <w:color w:val="auto"/>
          <w:sz w:val="22"/>
          <w:szCs w:val="22"/>
        </w:rPr>
      </w:pPr>
      <w:r w:rsidRPr="00612765">
        <w:rPr>
          <w:rFonts w:ascii="Arial" w:hAnsi="Arial" w:cs="Arial"/>
          <w:color w:val="auto"/>
          <w:sz w:val="22"/>
          <w:szCs w:val="22"/>
        </w:rPr>
        <w:t xml:space="preserve">Autonomía presupuestaria del Instituto </w:t>
      </w:r>
    </w:p>
    <w:p w14:paraId="4DFB119F" w14:textId="77777777" w:rsidR="0096038A" w:rsidRPr="00612765" w:rsidRDefault="0096038A" w:rsidP="0096038A">
      <w:pPr>
        <w:rPr>
          <w:rFonts w:ascii="Arial" w:hAnsi="Arial" w:cs="Arial"/>
          <w:sz w:val="22"/>
          <w:szCs w:val="22"/>
        </w:rPr>
      </w:pPr>
      <w:r w:rsidRPr="00612765">
        <w:rPr>
          <w:rFonts w:ascii="Arial" w:hAnsi="Arial" w:cs="Arial"/>
          <w:sz w:val="22"/>
          <w:szCs w:val="22"/>
        </w:rPr>
        <w:t>Que, el artículo 6 de la Ley de Presupuesto y Responsabilidad Hacendaria del Estado de Tabasco y sus Municipios, sostiene que la autonomía presupuestaria otorgada a los órganos autónomos a través de la Constitución Local comprende:</w:t>
      </w:r>
    </w:p>
    <w:p w14:paraId="33DFEF82" w14:textId="77777777" w:rsidR="0096038A" w:rsidRPr="00612765" w:rsidRDefault="0096038A" w:rsidP="0096038A">
      <w:pPr>
        <w:rPr>
          <w:rFonts w:ascii="Arial" w:hAnsi="Arial" w:cs="Arial"/>
          <w:sz w:val="22"/>
          <w:szCs w:val="22"/>
        </w:rPr>
      </w:pPr>
      <w:r w:rsidRPr="00612765">
        <w:rPr>
          <w:rFonts w:ascii="Arial" w:hAnsi="Arial" w:cs="Arial"/>
          <w:sz w:val="22"/>
          <w:szCs w:val="22"/>
        </w:rPr>
        <w:t>a)</w:t>
      </w:r>
      <w:r w:rsidRPr="00612765">
        <w:rPr>
          <w:rFonts w:ascii="Arial" w:hAnsi="Arial" w:cs="Arial"/>
          <w:sz w:val="22"/>
          <w:szCs w:val="22"/>
        </w:rPr>
        <w:tab/>
        <w:t xml:space="preserve">La aprobación de su proyecto de presupuesto y su remisión a la Secretaría de Finanzas para su integración al proyecto de Presupuesto de Egresos, observando los criterios de política económica y demás disposiciones aplicables; </w:t>
      </w:r>
    </w:p>
    <w:p w14:paraId="30F41389" w14:textId="77777777" w:rsidR="0096038A" w:rsidRPr="00612765" w:rsidRDefault="0096038A" w:rsidP="0096038A">
      <w:pPr>
        <w:rPr>
          <w:rFonts w:ascii="Arial" w:hAnsi="Arial" w:cs="Arial"/>
          <w:sz w:val="22"/>
          <w:szCs w:val="22"/>
        </w:rPr>
      </w:pPr>
      <w:r w:rsidRPr="00612765">
        <w:rPr>
          <w:rFonts w:ascii="Arial" w:hAnsi="Arial" w:cs="Arial"/>
          <w:sz w:val="22"/>
          <w:szCs w:val="22"/>
        </w:rPr>
        <w:t>b)</w:t>
      </w:r>
      <w:r w:rsidRPr="00612765">
        <w:rPr>
          <w:rFonts w:ascii="Arial" w:hAnsi="Arial" w:cs="Arial"/>
          <w:sz w:val="22"/>
          <w:szCs w:val="22"/>
        </w:rPr>
        <w:tab/>
        <w:t xml:space="preserve">Ejercer su presupuesto observando lo dispuesto en dicha Ley, sin sujetarse a las disposiciones generales emitidas por la Secretaría y la Contraloría, el cual deberá realizarse con base en los principios de eficiencia, eficacia y transparencia y estarán sujetos a la normatividad, la evaluación y el control de los órganos correspondientes; </w:t>
      </w:r>
    </w:p>
    <w:p w14:paraId="1E9E4949" w14:textId="77777777" w:rsidR="0096038A" w:rsidRPr="00612765" w:rsidRDefault="0096038A" w:rsidP="0096038A">
      <w:pPr>
        <w:rPr>
          <w:rFonts w:ascii="Arial" w:hAnsi="Arial" w:cs="Arial"/>
          <w:sz w:val="22"/>
          <w:szCs w:val="22"/>
        </w:rPr>
      </w:pPr>
      <w:r w:rsidRPr="00612765">
        <w:rPr>
          <w:rFonts w:ascii="Arial" w:hAnsi="Arial" w:cs="Arial"/>
          <w:sz w:val="22"/>
          <w:szCs w:val="22"/>
        </w:rPr>
        <w:t>c)</w:t>
      </w:r>
      <w:r w:rsidRPr="00612765">
        <w:rPr>
          <w:rFonts w:ascii="Arial" w:hAnsi="Arial" w:cs="Arial"/>
          <w:sz w:val="22"/>
          <w:szCs w:val="22"/>
        </w:rPr>
        <w:tab/>
        <w:t xml:space="preserve">La autorización de las adecuaciones a sus presupuestos sin requerir la aprobación de la Secretaría de Finanzas, observando las disposiciones de dicha Ley; </w:t>
      </w:r>
    </w:p>
    <w:p w14:paraId="396E392E" w14:textId="77777777" w:rsidR="0096038A" w:rsidRPr="00612765" w:rsidRDefault="0096038A" w:rsidP="0096038A">
      <w:pPr>
        <w:rPr>
          <w:rFonts w:ascii="Arial" w:hAnsi="Arial" w:cs="Arial"/>
          <w:sz w:val="22"/>
          <w:szCs w:val="22"/>
        </w:rPr>
      </w:pPr>
      <w:r w:rsidRPr="00612765">
        <w:rPr>
          <w:rFonts w:ascii="Arial" w:hAnsi="Arial" w:cs="Arial"/>
          <w:sz w:val="22"/>
          <w:szCs w:val="22"/>
        </w:rPr>
        <w:lastRenderedPageBreak/>
        <w:t>d)</w:t>
      </w:r>
      <w:r w:rsidRPr="00612765">
        <w:rPr>
          <w:rFonts w:ascii="Arial" w:hAnsi="Arial" w:cs="Arial"/>
          <w:sz w:val="22"/>
          <w:szCs w:val="22"/>
        </w:rPr>
        <w:tab/>
        <w:t xml:space="preserve">La realización de sus pagos a través de sus respectivas tesorerías o sus equivalentes; </w:t>
      </w:r>
    </w:p>
    <w:p w14:paraId="54947460" w14:textId="77777777" w:rsidR="0096038A" w:rsidRPr="00612765" w:rsidRDefault="0096038A" w:rsidP="0096038A">
      <w:pPr>
        <w:rPr>
          <w:rFonts w:ascii="Arial" w:hAnsi="Arial" w:cs="Arial"/>
          <w:sz w:val="22"/>
          <w:szCs w:val="22"/>
        </w:rPr>
      </w:pPr>
      <w:r w:rsidRPr="00612765">
        <w:rPr>
          <w:rFonts w:ascii="Arial" w:hAnsi="Arial" w:cs="Arial"/>
          <w:sz w:val="22"/>
          <w:szCs w:val="22"/>
        </w:rPr>
        <w:t>e)</w:t>
      </w:r>
      <w:r w:rsidRPr="00612765">
        <w:rPr>
          <w:rFonts w:ascii="Arial" w:hAnsi="Arial" w:cs="Arial"/>
          <w:sz w:val="22"/>
          <w:szCs w:val="22"/>
        </w:rPr>
        <w:tab/>
        <w:t>La determinación de los ajustes que correspondan en sus presupuestos en caso de disminución de ingresos, observando, en lo conducente, lo dispuesto en el artículo 18 de la Ley mencionada; y</w:t>
      </w:r>
    </w:p>
    <w:p w14:paraId="5E415878" w14:textId="77777777" w:rsidR="0096038A" w:rsidRPr="00612765" w:rsidRDefault="0096038A" w:rsidP="0096038A">
      <w:pPr>
        <w:rPr>
          <w:rFonts w:ascii="Arial" w:hAnsi="Arial" w:cs="Arial"/>
          <w:sz w:val="22"/>
          <w:szCs w:val="22"/>
        </w:rPr>
      </w:pPr>
      <w:r w:rsidRPr="00612765">
        <w:rPr>
          <w:rFonts w:ascii="Arial" w:hAnsi="Arial" w:cs="Arial"/>
          <w:sz w:val="22"/>
          <w:szCs w:val="22"/>
        </w:rPr>
        <w:t>f)</w:t>
      </w:r>
      <w:r w:rsidRPr="00612765">
        <w:rPr>
          <w:rFonts w:ascii="Arial" w:hAnsi="Arial" w:cs="Arial"/>
          <w:sz w:val="22"/>
          <w:szCs w:val="22"/>
        </w:rPr>
        <w:tab/>
        <w:t>Llevar la contabilidad y elaborar sus informes conforme a lo previsto en dicha Ley, así como enviarlos a la Secretaría de Finanzas para su integración a los informes trimestrales y a la cuenta pública.</w:t>
      </w:r>
    </w:p>
    <w:p w14:paraId="0BEBEC62" w14:textId="7B3E1959" w:rsidR="0096038A" w:rsidRPr="00612765" w:rsidRDefault="0096038A" w:rsidP="00E029A4">
      <w:pPr>
        <w:pStyle w:val="Ttulo2"/>
        <w:rPr>
          <w:rFonts w:ascii="Arial" w:hAnsi="Arial" w:cs="Arial"/>
          <w:color w:val="auto"/>
          <w:sz w:val="22"/>
          <w:szCs w:val="22"/>
        </w:rPr>
      </w:pPr>
      <w:r w:rsidRPr="00612765">
        <w:rPr>
          <w:rFonts w:ascii="Arial" w:hAnsi="Arial" w:cs="Arial"/>
          <w:color w:val="auto"/>
          <w:sz w:val="22"/>
          <w:szCs w:val="22"/>
        </w:rPr>
        <w:t>Administración de los recursos financieros y materiales del Instituto</w:t>
      </w:r>
    </w:p>
    <w:p w14:paraId="74D81795" w14:textId="77777777" w:rsidR="0096038A" w:rsidRPr="00612765" w:rsidRDefault="0096038A" w:rsidP="0096038A">
      <w:pPr>
        <w:rPr>
          <w:rFonts w:ascii="Arial" w:hAnsi="Arial" w:cs="Arial"/>
          <w:sz w:val="22"/>
          <w:szCs w:val="22"/>
        </w:rPr>
      </w:pPr>
      <w:r w:rsidRPr="00612765">
        <w:rPr>
          <w:rFonts w:ascii="Arial" w:hAnsi="Arial" w:cs="Arial"/>
          <w:sz w:val="22"/>
          <w:szCs w:val="22"/>
        </w:rPr>
        <w:t>Que, conforme al artículo 122 numeral 1 fracción I de la Ley Electoral, corresponde a la Dirección de Administración aplicar las políticas, normas y procedimientos para la administración de los recursos financieros y materiales del Instituto, previo acuerdo de la Junta Ejecutiva.</w:t>
      </w:r>
    </w:p>
    <w:p w14:paraId="210DA0DF" w14:textId="1589CB6E" w:rsidR="0096038A" w:rsidRPr="00612765" w:rsidRDefault="0096038A" w:rsidP="00E029A4">
      <w:pPr>
        <w:pStyle w:val="Ttulo2"/>
        <w:rPr>
          <w:rFonts w:ascii="Arial" w:hAnsi="Arial" w:cs="Arial"/>
          <w:color w:val="auto"/>
          <w:sz w:val="22"/>
          <w:szCs w:val="22"/>
        </w:rPr>
      </w:pPr>
      <w:r w:rsidRPr="00612765">
        <w:rPr>
          <w:rFonts w:ascii="Arial" w:hAnsi="Arial" w:cs="Arial"/>
          <w:color w:val="auto"/>
          <w:sz w:val="22"/>
          <w:szCs w:val="22"/>
        </w:rPr>
        <w:t>Asignación presupuestal en materia de servicios personales</w:t>
      </w:r>
    </w:p>
    <w:p w14:paraId="22E15AAA" w14:textId="77777777" w:rsidR="0096038A" w:rsidRPr="00612765" w:rsidRDefault="0096038A" w:rsidP="0096038A">
      <w:pPr>
        <w:rPr>
          <w:rFonts w:ascii="Arial" w:hAnsi="Arial" w:cs="Arial"/>
          <w:sz w:val="22"/>
          <w:szCs w:val="22"/>
        </w:rPr>
      </w:pPr>
      <w:r w:rsidRPr="00612765">
        <w:rPr>
          <w:rFonts w:ascii="Arial" w:hAnsi="Arial" w:cs="Arial"/>
          <w:sz w:val="22"/>
          <w:szCs w:val="22"/>
        </w:rPr>
        <w:t>Que, de conformidad con el artículo 30, fracción II de la Ley de Presupuesto y Responsabilidad Hacendaria del Estado de Tabasco y sus Municipios, en el proyecto de presupuesto de egresos se deberá presentar en una sección específica las erogaciones correspondientes al gasto en servicios personales, el cual comprende las remuneraciones de los servidores públicos desglosando las percepciones ordinarias y extraordinarias, e incluyendo las erogaciones a cargo de los ejecutores de gasto por concepto de obligaciones de carácter fiscal y de seguridad social inherentes a dichas remuneraciones, y las previsiones salariales y económicas para cubrir los incrementos salariales, la creación de plazas y otras medidas económicas de índole laboral. Estas previsiones serán incluidas en un capítulo específico del presupuesto de egresos.  Una vez aprobada la asignación global de servicios personales en el presupuesto de egresos, ésta no podrá incrementarse.</w:t>
      </w:r>
    </w:p>
    <w:p w14:paraId="6E15DBE5" w14:textId="31CB40E5" w:rsidR="006A0A5E" w:rsidRPr="00612765" w:rsidRDefault="0096038A" w:rsidP="0096038A">
      <w:pPr>
        <w:rPr>
          <w:rFonts w:ascii="Arial" w:hAnsi="Arial" w:cs="Arial"/>
          <w:sz w:val="22"/>
          <w:szCs w:val="22"/>
        </w:rPr>
      </w:pPr>
      <w:r w:rsidRPr="00612765">
        <w:rPr>
          <w:rFonts w:ascii="Arial" w:hAnsi="Arial" w:cs="Arial"/>
          <w:sz w:val="22"/>
          <w:szCs w:val="22"/>
        </w:rPr>
        <w:t>En ese sentido, el Consejo Estatal en la formulación del anteproyecto de egresos para el ejercicio 2025 estableció un total de 174 plazas con categoría de confianza, acorde a la plantilla de personal que corresponde actualmente al Instituto, las cuales corresponden con al analítico señalado en el presupuesto de egresos para dicho ejercicio aprobado por el Congreso Local; asimismo presentó la plantilla de personal eventual requerido para realizar las actividade</w:t>
      </w:r>
      <w:r w:rsidR="00E1205B">
        <w:rPr>
          <w:rFonts w:ascii="Arial" w:hAnsi="Arial" w:cs="Arial"/>
          <w:sz w:val="22"/>
          <w:szCs w:val="22"/>
        </w:rPr>
        <w:t>s para el desarrollo del P</w:t>
      </w:r>
      <w:bookmarkStart w:id="0" w:name="_GoBack"/>
      <w:bookmarkEnd w:id="0"/>
      <w:r w:rsidRPr="00612765">
        <w:rPr>
          <w:rFonts w:ascii="Arial" w:hAnsi="Arial" w:cs="Arial"/>
          <w:sz w:val="22"/>
          <w:szCs w:val="22"/>
        </w:rPr>
        <w:t xml:space="preserve">roceso Electoral Local </w:t>
      </w:r>
      <w:r w:rsidR="00075E70">
        <w:rPr>
          <w:rFonts w:ascii="Arial" w:hAnsi="Arial" w:cs="Arial"/>
          <w:sz w:val="22"/>
          <w:szCs w:val="22"/>
        </w:rPr>
        <w:t>Extrao</w:t>
      </w:r>
      <w:r w:rsidRPr="00612765">
        <w:rPr>
          <w:rFonts w:ascii="Arial" w:hAnsi="Arial" w:cs="Arial"/>
          <w:sz w:val="22"/>
          <w:szCs w:val="22"/>
        </w:rPr>
        <w:t>rdinario 202</w:t>
      </w:r>
      <w:r w:rsidR="00075E70">
        <w:rPr>
          <w:rFonts w:ascii="Arial" w:hAnsi="Arial" w:cs="Arial"/>
          <w:sz w:val="22"/>
          <w:szCs w:val="22"/>
        </w:rPr>
        <w:t>4-2025</w:t>
      </w:r>
      <w:r w:rsidRPr="00612765">
        <w:rPr>
          <w:rFonts w:ascii="Arial" w:hAnsi="Arial" w:cs="Arial"/>
          <w:sz w:val="22"/>
          <w:szCs w:val="22"/>
        </w:rPr>
        <w:t>.</w:t>
      </w:r>
    </w:p>
    <w:p w14:paraId="1000B1B1" w14:textId="34786C9E" w:rsidR="00E029A4" w:rsidRPr="00612765" w:rsidRDefault="00E029A4" w:rsidP="002C18C6">
      <w:pPr>
        <w:pStyle w:val="Ttulo2"/>
        <w:rPr>
          <w:rFonts w:ascii="Arial" w:hAnsi="Arial" w:cs="Arial"/>
          <w:color w:val="auto"/>
          <w:sz w:val="22"/>
          <w:szCs w:val="22"/>
        </w:rPr>
      </w:pPr>
      <w:r w:rsidRPr="00612765">
        <w:rPr>
          <w:rFonts w:ascii="Arial" w:hAnsi="Arial" w:cs="Arial"/>
          <w:color w:val="auto"/>
          <w:sz w:val="22"/>
          <w:szCs w:val="22"/>
        </w:rPr>
        <w:lastRenderedPageBreak/>
        <w:t xml:space="preserve">Programa </w:t>
      </w:r>
      <w:r w:rsidR="002C18C6" w:rsidRPr="00612765">
        <w:rPr>
          <w:rFonts w:ascii="Arial" w:hAnsi="Arial" w:cs="Arial"/>
          <w:color w:val="auto"/>
          <w:sz w:val="22"/>
          <w:szCs w:val="22"/>
        </w:rPr>
        <w:t>de Capital Humano</w:t>
      </w:r>
    </w:p>
    <w:p w14:paraId="657C1FD5" w14:textId="636FF70B" w:rsidR="002C18C6" w:rsidRPr="00612765" w:rsidRDefault="002C18C6" w:rsidP="002C18C6">
      <w:pPr>
        <w:rPr>
          <w:rFonts w:ascii="Arial" w:hAnsi="Arial" w:cs="Arial"/>
          <w:sz w:val="22"/>
          <w:szCs w:val="22"/>
        </w:rPr>
      </w:pPr>
      <w:r w:rsidRPr="00612765">
        <w:rPr>
          <w:rFonts w:ascii="Arial" w:hAnsi="Arial" w:cs="Arial"/>
          <w:sz w:val="22"/>
          <w:szCs w:val="22"/>
        </w:rPr>
        <w:t xml:space="preserve">Que, la Secretaría Ejecutiva, en ejercicio de las atribuciones que le confiere el artículo 117, numeral 2, fracciones I, XVIII, XXX de la Ley Electoral, y en cumplimiento a lo que establece el artículo 19 fracción IX del Reglamento Interior, requirió a las diversas áreas o unidades que conforman el Instituto, con el objetivo de integrar los requerimientos de capital humano necesarios para el desarrollo del Proceso Electoral Extraordinario. En ese mismo sentido, a partir de la experiencia y necesidades de procesos electorales previos y de acuerdo con el Manuel y los Lineamientos para la contratación de Supervisores Electorales y Capacitadores-Asistentes Electorales Locales aprobado por el INE, determinó las categorías y </w:t>
      </w:r>
      <w:r w:rsidR="001437D6" w:rsidRPr="00612765">
        <w:rPr>
          <w:rFonts w:ascii="Arial" w:hAnsi="Arial" w:cs="Arial"/>
          <w:sz w:val="22"/>
          <w:szCs w:val="22"/>
        </w:rPr>
        <w:t xml:space="preserve">personal necesario </w:t>
      </w:r>
      <w:r w:rsidRPr="00612765">
        <w:rPr>
          <w:rFonts w:ascii="Arial" w:hAnsi="Arial" w:cs="Arial"/>
          <w:sz w:val="22"/>
          <w:szCs w:val="22"/>
        </w:rPr>
        <w:t>para el desarrollo de las actividades de los órganos centrales y distritales.</w:t>
      </w:r>
    </w:p>
    <w:p w14:paraId="65DE2D4E" w14:textId="59655908" w:rsidR="002C18C6" w:rsidRPr="00612765" w:rsidRDefault="002C18C6" w:rsidP="002C18C6">
      <w:pPr>
        <w:rPr>
          <w:rFonts w:ascii="Arial" w:hAnsi="Arial" w:cs="Arial"/>
          <w:sz w:val="22"/>
          <w:szCs w:val="22"/>
        </w:rPr>
      </w:pPr>
      <w:r w:rsidRPr="00612765">
        <w:rPr>
          <w:rFonts w:ascii="Arial" w:hAnsi="Arial" w:cs="Arial"/>
          <w:sz w:val="22"/>
          <w:szCs w:val="22"/>
        </w:rPr>
        <w:t>La propuesta contiene el mínimo de personal que, las diversas áreas del Instituto, incluyendo a los órganos desconcentrados que se instalarán con motivo de la contienda electoral requieren para su operación y funcionamiento. No obstante, el programa no implica una contratación inmediata, sino que, atiende a los plazos establecidos en el Calendario Electoral aprobado por el Consejo Estatal y a las funciones y actividades que gradualmente se vayan realizando por el Instituto.</w:t>
      </w:r>
    </w:p>
    <w:p w14:paraId="177CFE01" w14:textId="53574F93" w:rsidR="002C18C6" w:rsidRPr="00612765" w:rsidRDefault="002C18C6" w:rsidP="002C18C6">
      <w:pPr>
        <w:rPr>
          <w:rFonts w:ascii="Arial" w:hAnsi="Arial" w:cs="Arial"/>
          <w:sz w:val="22"/>
          <w:szCs w:val="22"/>
        </w:rPr>
      </w:pPr>
      <w:r w:rsidRPr="00612765">
        <w:rPr>
          <w:rFonts w:ascii="Arial" w:hAnsi="Arial" w:cs="Arial"/>
          <w:sz w:val="22"/>
          <w:szCs w:val="22"/>
        </w:rPr>
        <w:t>Cabe señalar que, del mismo modo, la contratación estará sujeta a la disponibilidad presupuestal de conformidad con los recursos autorizados por la Secretaría de Administración y Finanzas</w:t>
      </w:r>
      <w:r w:rsidR="001437D6" w:rsidRPr="00612765">
        <w:rPr>
          <w:rFonts w:ascii="Arial" w:hAnsi="Arial" w:cs="Arial"/>
          <w:sz w:val="22"/>
          <w:szCs w:val="22"/>
        </w:rPr>
        <w:t xml:space="preserve">. </w:t>
      </w:r>
    </w:p>
    <w:p w14:paraId="127703C8" w14:textId="1169C494" w:rsidR="002C18C6" w:rsidRPr="00612765" w:rsidRDefault="002C18C6" w:rsidP="002C18C6">
      <w:pPr>
        <w:rPr>
          <w:rFonts w:ascii="Arial" w:hAnsi="Arial" w:cs="Arial"/>
          <w:sz w:val="22"/>
          <w:szCs w:val="22"/>
        </w:rPr>
      </w:pPr>
      <w:r w:rsidRPr="00612765">
        <w:rPr>
          <w:rFonts w:ascii="Arial" w:hAnsi="Arial" w:cs="Arial"/>
          <w:sz w:val="22"/>
          <w:szCs w:val="22"/>
        </w:rPr>
        <w:t xml:space="preserve">Finalmente, </w:t>
      </w:r>
      <w:r w:rsidR="006B34DF" w:rsidRPr="00612765">
        <w:rPr>
          <w:rFonts w:ascii="Arial" w:hAnsi="Arial" w:cs="Arial"/>
          <w:sz w:val="22"/>
          <w:szCs w:val="22"/>
        </w:rPr>
        <w:t>de acuerdo con la propuesta formulada por el Secretario Ejecutivo</w:t>
      </w:r>
      <w:r w:rsidRPr="00612765">
        <w:rPr>
          <w:rFonts w:ascii="Arial" w:hAnsi="Arial" w:cs="Arial"/>
          <w:sz w:val="22"/>
          <w:szCs w:val="22"/>
        </w:rPr>
        <w:t>, el programa se ajusta a los principios de eficiencia, eficacia, racionalidad y austeridad en el ejercicio del gasto público, pues además del personal mínimo, se determinan las categorías con</w:t>
      </w:r>
      <w:r w:rsidR="002B7A3E" w:rsidRPr="00612765">
        <w:rPr>
          <w:rFonts w:ascii="Arial" w:hAnsi="Arial" w:cs="Arial"/>
          <w:sz w:val="22"/>
          <w:szCs w:val="22"/>
        </w:rPr>
        <w:t xml:space="preserve">forme a los salarios y prestaciones determinadas en el Tabulador de Remuneraciones aprobado por el Consejo Estatal, los cuales son </w:t>
      </w:r>
      <w:r w:rsidRPr="00612765">
        <w:rPr>
          <w:rFonts w:ascii="Arial" w:hAnsi="Arial" w:cs="Arial"/>
          <w:sz w:val="22"/>
          <w:szCs w:val="22"/>
        </w:rPr>
        <w:t>proporcional</w:t>
      </w:r>
      <w:r w:rsidR="002B7A3E" w:rsidRPr="00612765">
        <w:rPr>
          <w:rFonts w:ascii="Arial" w:hAnsi="Arial" w:cs="Arial"/>
          <w:sz w:val="22"/>
          <w:szCs w:val="22"/>
        </w:rPr>
        <w:t>es</w:t>
      </w:r>
      <w:r w:rsidRPr="00612765">
        <w:rPr>
          <w:rFonts w:ascii="Arial" w:hAnsi="Arial" w:cs="Arial"/>
          <w:sz w:val="22"/>
          <w:szCs w:val="22"/>
        </w:rPr>
        <w:t xml:space="preserve"> a las atribuciones que realizará el personal que se contrate para los objetivos institucionales vinculados con el desarrollo del Proceso Electoral Extraordinario.</w:t>
      </w:r>
    </w:p>
    <w:p w14:paraId="0D5BE782" w14:textId="77777777" w:rsidR="002D451F" w:rsidRPr="00612765" w:rsidRDefault="002D451F" w:rsidP="002D451F">
      <w:pPr>
        <w:spacing w:line="288" w:lineRule="auto"/>
        <w:rPr>
          <w:rFonts w:ascii="Arial" w:hAnsi="Arial" w:cs="Arial"/>
          <w:sz w:val="22"/>
          <w:szCs w:val="22"/>
        </w:rPr>
      </w:pPr>
      <w:r w:rsidRPr="00612765">
        <w:rPr>
          <w:rFonts w:ascii="Arial" w:hAnsi="Arial" w:cs="Arial"/>
          <w:sz w:val="22"/>
          <w:szCs w:val="22"/>
        </w:rPr>
        <w:t>Sobre la base de las consideraciones señaladas, esta Junta Estatal emite el siguiente:</w:t>
      </w:r>
    </w:p>
    <w:p w14:paraId="19CD0BEB" w14:textId="77777777" w:rsidR="002D451F" w:rsidRPr="00612765" w:rsidRDefault="002D451F" w:rsidP="002D451F">
      <w:pPr>
        <w:pStyle w:val="Ttulo1"/>
        <w:rPr>
          <w:rFonts w:ascii="Arial" w:hAnsi="Arial" w:cs="Arial"/>
          <w:color w:val="auto"/>
          <w:sz w:val="22"/>
          <w:szCs w:val="22"/>
        </w:rPr>
      </w:pPr>
      <w:r w:rsidRPr="00612765">
        <w:rPr>
          <w:rFonts w:ascii="Arial" w:hAnsi="Arial" w:cs="Arial"/>
          <w:color w:val="auto"/>
          <w:sz w:val="22"/>
          <w:szCs w:val="22"/>
        </w:rPr>
        <w:t>Acuerdo</w:t>
      </w:r>
    </w:p>
    <w:p w14:paraId="637129C6" w14:textId="43ED83F7" w:rsidR="002D451F" w:rsidRPr="00612765" w:rsidRDefault="002D451F" w:rsidP="002D451F">
      <w:pPr>
        <w:rPr>
          <w:rFonts w:ascii="Arial" w:hAnsi="Arial" w:cs="Arial"/>
          <w:sz w:val="22"/>
          <w:szCs w:val="22"/>
        </w:rPr>
      </w:pPr>
      <w:r w:rsidRPr="00612765">
        <w:rPr>
          <w:rFonts w:ascii="Arial" w:hAnsi="Arial" w:cs="Arial"/>
          <w:b/>
          <w:sz w:val="22"/>
          <w:szCs w:val="22"/>
        </w:rPr>
        <w:t>Primero.</w:t>
      </w:r>
      <w:r w:rsidRPr="00612765">
        <w:rPr>
          <w:rFonts w:ascii="Arial" w:hAnsi="Arial" w:cs="Arial"/>
          <w:sz w:val="22"/>
          <w:szCs w:val="22"/>
        </w:rPr>
        <w:t xml:space="preserve"> Se aprueba </w:t>
      </w:r>
      <w:r w:rsidR="003875AC" w:rsidRPr="00612765">
        <w:rPr>
          <w:rFonts w:ascii="Arial" w:hAnsi="Arial" w:cs="Arial"/>
          <w:sz w:val="22"/>
          <w:szCs w:val="22"/>
        </w:rPr>
        <w:t xml:space="preserve">el Programa </w:t>
      </w:r>
      <w:r w:rsidRPr="00612765">
        <w:rPr>
          <w:rFonts w:ascii="Arial" w:hAnsi="Arial" w:cs="Arial"/>
          <w:sz w:val="22"/>
          <w:szCs w:val="22"/>
        </w:rPr>
        <w:t xml:space="preserve">de Capital Humano Requerido para el desarrollo de las actividades de los órganos centrales y distritales del Instituto Electoral y de Participación </w:t>
      </w:r>
      <w:r w:rsidRPr="00612765">
        <w:rPr>
          <w:rFonts w:ascii="Arial" w:hAnsi="Arial" w:cs="Arial"/>
          <w:sz w:val="22"/>
          <w:szCs w:val="22"/>
        </w:rPr>
        <w:lastRenderedPageBreak/>
        <w:t>Ciudadana de Tabasco con motivo del Proceso Electoral Local Extraordinario para personas juzgadoras del Poder Judicial del Estado de Tabasco 2024 – 2025 anexo a</w:t>
      </w:r>
      <w:r w:rsidR="003875AC" w:rsidRPr="00612765">
        <w:rPr>
          <w:rFonts w:ascii="Arial" w:hAnsi="Arial" w:cs="Arial"/>
          <w:sz w:val="22"/>
          <w:szCs w:val="22"/>
        </w:rPr>
        <w:t>l</w:t>
      </w:r>
      <w:r w:rsidRPr="00612765">
        <w:rPr>
          <w:rFonts w:ascii="Arial" w:hAnsi="Arial" w:cs="Arial"/>
          <w:sz w:val="22"/>
          <w:szCs w:val="22"/>
        </w:rPr>
        <w:t xml:space="preserve"> presente acuerdo.</w:t>
      </w:r>
    </w:p>
    <w:p w14:paraId="6302EAC1" w14:textId="1C10E472" w:rsidR="002D451F" w:rsidRPr="00612765" w:rsidRDefault="002D451F" w:rsidP="00A95321">
      <w:pPr>
        <w:rPr>
          <w:rFonts w:ascii="Arial" w:hAnsi="Arial" w:cs="Arial"/>
          <w:sz w:val="22"/>
          <w:szCs w:val="22"/>
        </w:rPr>
      </w:pPr>
      <w:r w:rsidRPr="00612765">
        <w:rPr>
          <w:rFonts w:ascii="Arial" w:hAnsi="Arial" w:cs="Arial"/>
          <w:b/>
          <w:bCs/>
          <w:sz w:val="22"/>
          <w:szCs w:val="22"/>
        </w:rPr>
        <w:t xml:space="preserve">Segundo. </w:t>
      </w:r>
      <w:r w:rsidRPr="00612765">
        <w:rPr>
          <w:rFonts w:ascii="Arial" w:hAnsi="Arial" w:cs="Arial"/>
          <w:sz w:val="22"/>
          <w:szCs w:val="22"/>
        </w:rPr>
        <w:t>Publíquese el presente acuerdo en el Periódico Oficial del Estado y en la página de internet del Instituto, de conformidad con lo dispuesto en los artículos 114 de la Ley Electoral y de Partidos Políticos del Estado de Tabasco y 10 fracción III del Reglamento para la edición, publicación, distribución y resguardo del Periódico Oficial del Estado de Tabasco.</w:t>
      </w:r>
    </w:p>
    <w:p w14:paraId="49BB5A07" w14:textId="77777777" w:rsidR="00F8708C" w:rsidRPr="00612765" w:rsidRDefault="005655C6" w:rsidP="00F8708C">
      <w:pPr>
        <w:spacing w:line="288" w:lineRule="auto"/>
        <w:rPr>
          <w:rFonts w:ascii="Arial" w:hAnsi="Arial" w:cs="Arial"/>
          <w:sz w:val="22"/>
          <w:szCs w:val="22"/>
        </w:rPr>
      </w:pPr>
      <w:r w:rsidRPr="00612765">
        <w:rPr>
          <w:rFonts w:ascii="Arial" w:hAnsi="Arial" w:cs="Arial"/>
          <w:sz w:val="22"/>
          <w:szCs w:val="22"/>
        </w:rPr>
        <w:t xml:space="preserve">El presente acuerdo se aprobó en sesión extraordinaria efectuada el catorce de marzo del año dos mil veinticinco, por votación  unánime </w:t>
      </w:r>
      <w:r w:rsidR="00F8708C" w:rsidRPr="00612765">
        <w:rPr>
          <w:rFonts w:ascii="Arial" w:hAnsi="Arial" w:cs="Arial"/>
          <w:sz w:val="22"/>
          <w:szCs w:val="22"/>
        </w:rPr>
        <w:t xml:space="preserve">de la y los integrantes de la Junta Estatal Ejecutiva del Instituto Electoral y de Participación Ciudadana de Tabasco: Lic. Paul Alejandro González </w:t>
      </w:r>
      <w:proofErr w:type="spellStart"/>
      <w:r w:rsidR="00F8708C" w:rsidRPr="00612765">
        <w:rPr>
          <w:rFonts w:ascii="Arial" w:hAnsi="Arial" w:cs="Arial"/>
          <w:sz w:val="22"/>
          <w:szCs w:val="22"/>
        </w:rPr>
        <w:t>Torruco</w:t>
      </w:r>
      <w:proofErr w:type="spellEnd"/>
      <w:r w:rsidR="00F8708C" w:rsidRPr="00612765">
        <w:rPr>
          <w:rFonts w:ascii="Arial" w:hAnsi="Arial" w:cs="Arial"/>
          <w:sz w:val="22"/>
          <w:szCs w:val="22"/>
        </w:rPr>
        <w:t>, Director de Administración; Lic. Ricardo Araiza González, Director de Organización Electoral y Educación Cívica, Lic. Jorge Alberto Zavala Frías, Secretario Ejecutivo y Mtra. Elizabeth Nava Gutiérrez, Presidenta de la Junta Estatal Ejecutiva.</w:t>
      </w:r>
    </w:p>
    <w:p w14:paraId="33799E87" w14:textId="77777777" w:rsidR="00F8708C" w:rsidRPr="00612765" w:rsidRDefault="00F8708C" w:rsidP="00F8708C">
      <w:pPr>
        <w:spacing w:line="288" w:lineRule="auto"/>
        <w:rPr>
          <w:rFonts w:ascii="Arial" w:hAnsi="Arial" w:cs="Arial"/>
          <w:sz w:val="22"/>
          <w:szCs w:val="22"/>
        </w:rPr>
      </w:pPr>
    </w:p>
    <w:p w14:paraId="5BC36EAB" w14:textId="4110EA8C" w:rsidR="00F8708C" w:rsidRDefault="00F8708C" w:rsidP="00F8708C">
      <w:pPr>
        <w:spacing w:line="288" w:lineRule="auto"/>
        <w:rPr>
          <w:rFonts w:ascii="Arial" w:hAnsi="Arial" w:cs="Arial"/>
          <w:sz w:val="22"/>
          <w:szCs w:val="22"/>
        </w:rPr>
      </w:pPr>
    </w:p>
    <w:p w14:paraId="4102C923" w14:textId="77777777" w:rsidR="00612765" w:rsidRPr="00612765" w:rsidRDefault="00612765" w:rsidP="00F8708C">
      <w:pPr>
        <w:spacing w:line="288" w:lineRule="auto"/>
        <w:rPr>
          <w:rFonts w:ascii="Arial" w:hAnsi="Arial" w:cs="Arial"/>
          <w:sz w:val="22"/>
          <w:szCs w:val="22"/>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612765" w:rsidRPr="00612765" w14:paraId="0D8DEFA0" w14:textId="77777777" w:rsidTr="00F637D4">
        <w:tc>
          <w:tcPr>
            <w:tcW w:w="4395" w:type="dxa"/>
          </w:tcPr>
          <w:p w14:paraId="737976DA" w14:textId="77777777" w:rsidR="00F8708C" w:rsidRPr="00612765" w:rsidRDefault="00F8708C" w:rsidP="00F637D4">
            <w:pPr>
              <w:widowControl w:val="0"/>
              <w:spacing w:before="0" w:after="0" w:line="288" w:lineRule="auto"/>
              <w:jc w:val="center"/>
              <w:rPr>
                <w:rFonts w:ascii="Arial" w:hAnsi="Arial" w:cs="Arial"/>
                <w:b/>
                <w:spacing w:val="-10"/>
              </w:rPr>
            </w:pPr>
            <w:r w:rsidRPr="00612765">
              <w:rPr>
                <w:rFonts w:ascii="Arial" w:hAnsi="Arial" w:cs="Arial"/>
                <w:b/>
                <w:spacing w:val="-10"/>
              </w:rPr>
              <w:t>MTRA. ELIZABETH NAVA GUTIÉRREZ</w:t>
            </w:r>
          </w:p>
          <w:p w14:paraId="15D17625" w14:textId="77777777" w:rsidR="00F8708C" w:rsidRPr="00612765" w:rsidRDefault="00F8708C" w:rsidP="00F637D4">
            <w:pPr>
              <w:widowControl w:val="0"/>
              <w:spacing w:before="0" w:after="0" w:line="288" w:lineRule="auto"/>
              <w:jc w:val="center"/>
              <w:rPr>
                <w:rFonts w:ascii="Arial" w:hAnsi="Arial" w:cs="Arial"/>
                <w:b/>
              </w:rPr>
            </w:pPr>
            <w:r w:rsidRPr="00612765">
              <w:rPr>
                <w:rFonts w:ascii="Arial" w:hAnsi="Arial" w:cs="Arial"/>
                <w:b/>
                <w:spacing w:val="-10"/>
              </w:rPr>
              <w:t>CONSEJERA PRESIDENTA</w:t>
            </w:r>
          </w:p>
        </w:tc>
        <w:tc>
          <w:tcPr>
            <w:tcW w:w="278" w:type="dxa"/>
          </w:tcPr>
          <w:p w14:paraId="1FAE211E" w14:textId="77777777" w:rsidR="00F8708C" w:rsidRPr="00612765" w:rsidRDefault="00F8708C" w:rsidP="00F637D4">
            <w:pPr>
              <w:widowControl w:val="0"/>
              <w:spacing w:before="0" w:after="0" w:line="288" w:lineRule="auto"/>
              <w:jc w:val="center"/>
              <w:rPr>
                <w:rFonts w:ascii="Arial" w:hAnsi="Arial" w:cs="Arial"/>
                <w:b/>
              </w:rPr>
            </w:pPr>
          </w:p>
        </w:tc>
        <w:tc>
          <w:tcPr>
            <w:tcW w:w="4400" w:type="dxa"/>
          </w:tcPr>
          <w:p w14:paraId="76392DCC" w14:textId="77777777" w:rsidR="00F8708C" w:rsidRPr="00612765" w:rsidRDefault="00F8708C" w:rsidP="00F637D4">
            <w:pPr>
              <w:widowControl w:val="0"/>
              <w:spacing w:before="0" w:after="0" w:line="288" w:lineRule="auto"/>
              <w:jc w:val="center"/>
              <w:rPr>
                <w:rFonts w:ascii="Arial" w:hAnsi="Arial" w:cs="Arial"/>
                <w:b/>
                <w:spacing w:val="-10"/>
              </w:rPr>
            </w:pPr>
            <w:r w:rsidRPr="00612765">
              <w:rPr>
                <w:rFonts w:ascii="Arial" w:hAnsi="Arial" w:cs="Arial"/>
                <w:b/>
                <w:spacing w:val="-10"/>
              </w:rPr>
              <w:t>LIC. JORGE ALBERTO ZAVALA FRÍAS</w:t>
            </w:r>
          </w:p>
          <w:p w14:paraId="0A9EEA44" w14:textId="77777777" w:rsidR="00F8708C" w:rsidRPr="00612765" w:rsidRDefault="00F8708C" w:rsidP="00F637D4">
            <w:pPr>
              <w:widowControl w:val="0"/>
              <w:spacing w:before="0" w:after="0" w:line="288" w:lineRule="auto"/>
              <w:jc w:val="center"/>
              <w:rPr>
                <w:rFonts w:ascii="Arial" w:hAnsi="Arial" w:cs="Arial"/>
                <w:b/>
              </w:rPr>
            </w:pPr>
            <w:r w:rsidRPr="00612765">
              <w:rPr>
                <w:rFonts w:ascii="Arial" w:hAnsi="Arial" w:cs="Arial"/>
                <w:b/>
                <w:spacing w:val="-10"/>
              </w:rPr>
              <w:t>SECRETARIO EJECUTIVO</w:t>
            </w:r>
          </w:p>
        </w:tc>
      </w:tr>
    </w:tbl>
    <w:p w14:paraId="473BB973" w14:textId="192E7417" w:rsidR="00E029A4" w:rsidRPr="00612765" w:rsidRDefault="00E029A4" w:rsidP="00F8708C">
      <w:pPr>
        <w:spacing w:line="288" w:lineRule="auto"/>
        <w:rPr>
          <w:rFonts w:ascii="Arial" w:hAnsi="Arial" w:cs="Arial"/>
          <w:sz w:val="22"/>
          <w:szCs w:val="22"/>
        </w:rPr>
      </w:pPr>
    </w:p>
    <w:sectPr w:rsidR="00E029A4" w:rsidRPr="00612765" w:rsidSect="00612765">
      <w:headerReference w:type="default" r:id="rId7"/>
      <w:footerReference w:type="default" r:id="rId8"/>
      <w:pgSz w:w="12240" w:h="15840" w:code="1"/>
      <w:pgMar w:top="2835" w:right="1701"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D41663" w14:textId="77777777" w:rsidR="00C54221" w:rsidRDefault="00C54221" w:rsidP="00124BD7">
      <w:pPr>
        <w:spacing w:before="0" w:after="0" w:line="240" w:lineRule="auto"/>
      </w:pPr>
      <w:r>
        <w:separator/>
      </w:r>
    </w:p>
  </w:endnote>
  <w:endnote w:type="continuationSeparator" w:id="0">
    <w:p w14:paraId="50AD4F66" w14:textId="77777777" w:rsidR="00C54221" w:rsidRDefault="00C54221" w:rsidP="00124BD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embedRegular r:id="rId1" w:fontKey="{24F98798-46E7-4774-9AFD-F7D8E81C207B}"/>
    <w:embedBold r:id="rId2" w:fontKey="{DCCF8B59-AE27-43C4-8D24-ABD329BFB959}"/>
    <w:embedItalic r:id="rId3" w:fontKey="{49441CDD-4B18-4320-8B69-6EBC11DAC6D8}"/>
  </w:font>
  <w:font w:name="Exo">
    <w:altName w:val="Times New Roman"/>
    <w:charset w:val="00"/>
    <w:family w:val="auto"/>
    <w:pitch w:val="variable"/>
    <w:sig w:usb0="A00000FF" w:usb1="4000204B" w:usb2="00000000" w:usb3="00000000" w:csb0="00000193" w:csb1="00000000"/>
    <w:embedRegular r:id="rId4" w:fontKey="{C30767F5-AF2D-4864-8469-A0E433B6F498}"/>
    <w:embedBold r:id="rId5" w:fontKey="{DAA09B2C-80EB-4E9E-AC9D-BACCFA28F5FA}"/>
    <w:embedItalic r:id="rId6" w:fontKey="{0030A6E9-073A-4464-9CA0-9B46BC9D09E4}"/>
  </w:font>
  <w:font w:name="Aptos Display">
    <w:altName w:val="Arial"/>
    <w:charset w:val="00"/>
    <w:family w:val="swiss"/>
    <w:pitch w:val="variable"/>
    <w:sig w:usb0="20000287" w:usb1="00000003" w:usb2="00000000" w:usb3="00000000" w:csb0="0000019F" w:csb1="00000000"/>
    <w:embedRegular r:id="rId7" w:fontKey="{90AD8170-861A-4731-A11C-404AA1D17728}"/>
  </w:font>
  <w:font w:name="Segoe UI">
    <w:panose1 w:val="020B0502040204020203"/>
    <w:charset w:val="00"/>
    <w:family w:val="swiss"/>
    <w:pitch w:val="variable"/>
    <w:sig w:usb0="E4002EFF" w:usb1="C000E47F" w:usb2="00000009" w:usb3="00000000" w:csb0="000001FF" w:csb1="00000000"/>
    <w:embedRegular r:id="rId8" w:fontKey="{A3C6B915-4F71-4E50-BB87-8D5D58CF086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517391225"/>
      <w:docPartObj>
        <w:docPartGallery w:val="Page Numbers (Top of Page)"/>
        <w:docPartUnique/>
      </w:docPartObj>
    </w:sdtPr>
    <w:sdtEndPr/>
    <w:sdtContent>
      <w:p w14:paraId="05A5BA75" w14:textId="5D6A101C" w:rsidR="00C16F2C" w:rsidRPr="00612765" w:rsidRDefault="00C16F2C" w:rsidP="00C16F2C">
        <w:pPr>
          <w:pStyle w:val="Piedepgina"/>
          <w:spacing w:before="120"/>
          <w:jc w:val="right"/>
          <w:rPr>
            <w:rFonts w:ascii="Arial" w:hAnsi="Arial" w:cs="Arial"/>
            <w:color w:val="993366"/>
            <w:sz w:val="20"/>
            <w:szCs w:val="20"/>
          </w:rPr>
        </w:pPr>
        <w:r w:rsidRPr="00612765">
          <w:rPr>
            <w:rFonts w:ascii="Arial" w:hAnsi="Arial" w:cs="Arial"/>
            <w:b/>
            <w:bCs/>
            <w:color w:val="993366"/>
          </w:rPr>
          <w:t xml:space="preserve">Página </w:t>
        </w:r>
        <w:r w:rsidRPr="00612765">
          <w:rPr>
            <w:rFonts w:ascii="Arial" w:hAnsi="Arial" w:cs="Arial"/>
            <w:b/>
            <w:bCs/>
            <w:color w:val="993366"/>
          </w:rPr>
          <w:fldChar w:fldCharType="begin"/>
        </w:r>
        <w:r w:rsidRPr="00612765">
          <w:rPr>
            <w:rFonts w:ascii="Arial" w:hAnsi="Arial" w:cs="Arial"/>
            <w:b/>
            <w:bCs/>
            <w:color w:val="993366"/>
          </w:rPr>
          <w:instrText>PAGE</w:instrText>
        </w:r>
        <w:r w:rsidRPr="00612765">
          <w:rPr>
            <w:rFonts w:ascii="Arial" w:hAnsi="Arial" w:cs="Arial"/>
            <w:b/>
            <w:bCs/>
            <w:color w:val="993366"/>
          </w:rPr>
          <w:fldChar w:fldCharType="separate"/>
        </w:r>
        <w:r w:rsidR="00E1205B">
          <w:rPr>
            <w:rFonts w:ascii="Arial" w:hAnsi="Arial" w:cs="Arial"/>
            <w:b/>
            <w:bCs/>
            <w:noProof/>
            <w:color w:val="993366"/>
          </w:rPr>
          <w:t>7</w:t>
        </w:r>
        <w:r w:rsidRPr="00612765">
          <w:rPr>
            <w:rFonts w:ascii="Arial" w:hAnsi="Arial" w:cs="Arial"/>
            <w:b/>
            <w:bCs/>
            <w:color w:val="993366"/>
          </w:rPr>
          <w:fldChar w:fldCharType="end"/>
        </w:r>
        <w:r w:rsidRPr="00612765">
          <w:rPr>
            <w:rFonts w:ascii="Arial" w:hAnsi="Arial" w:cs="Arial"/>
            <w:b/>
            <w:bCs/>
            <w:color w:val="993366"/>
          </w:rPr>
          <w:t xml:space="preserve"> | </w:t>
        </w:r>
        <w:r w:rsidRPr="00612765">
          <w:rPr>
            <w:rFonts w:ascii="Arial" w:hAnsi="Arial" w:cs="Arial"/>
            <w:b/>
            <w:bCs/>
            <w:color w:val="993366"/>
          </w:rPr>
          <w:fldChar w:fldCharType="begin"/>
        </w:r>
        <w:r w:rsidRPr="00612765">
          <w:rPr>
            <w:rFonts w:ascii="Arial" w:hAnsi="Arial" w:cs="Arial"/>
            <w:b/>
            <w:bCs/>
            <w:color w:val="993366"/>
          </w:rPr>
          <w:instrText>NUMPAGES</w:instrText>
        </w:r>
        <w:r w:rsidRPr="00612765">
          <w:rPr>
            <w:rFonts w:ascii="Arial" w:hAnsi="Arial" w:cs="Arial"/>
            <w:b/>
            <w:bCs/>
            <w:color w:val="993366"/>
          </w:rPr>
          <w:fldChar w:fldCharType="separate"/>
        </w:r>
        <w:r w:rsidR="00E1205B">
          <w:rPr>
            <w:rFonts w:ascii="Arial" w:hAnsi="Arial" w:cs="Arial"/>
            <w:b/>
            <w:bCs/>
            <w:noProof/>
            <w:color w:val="993366"/>
          </w:rPr>
          <w:t>8</w:t>
        </w:r>
        <w:r w:rsidRPr="00612765">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7D3590" w14:textId="77777777" w:rsidR="00C54221" w:rsidRDefault="00C54221" w:rsidP="00124BD7">
      <w:pPr>
        <w:spacing w:before="0" w:after="0" w:line="240" w:lineRule="auto"/>
      </w:pPr>
      <w:r>
        <w:separator/>
      </w:r>
    </w:p>
  </w:footnote>
  <w:footnote w:type="continuationSeparator" w:id="0">
    <w:p w14:paraId="7B30812D" w14:textId="77777777" w:rsidR="00C54221" w:rsidRDefault="00C54221" w:rsidP="00124BD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50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843"/>
    </w:tblGrid>
    <w:tr w:rsidR="00124BD7" w:rsidRPr="005E43CB" w14:paraId="15EF1267" w14:textId="77777777" w:rsidTr="00F637D4">
      <w:tc>
        <w:tcPr>
          <w:tcW w:w="1418" w:type="dxa"/>
        </w:tcPr>
        <w:p w14:paraId="1D371CDF" w14:textId="77777777" w:rsidR="00124BD7" w:rsidRPr="005E43CB" w:rsidRDefault="00124BD7" w:rsidP="00124BD7">
          <w:pPr>
            <w:pStyle w:val="Encabezado"/>
            <w:ind w:left="-170"/>
            <w:jc w:val="left"/>
          </w:pPr>
          <w:r w:rsidRPr="005E43CB">
            <w:rPr>
              <w:b/>
              <w:noProof/>
              <w:sz w:val="32"/>
              <w:lang w:eastAsia="es-MX"/>
            </w:rPr>
            <w:drawing>
              <wp:inline distT="0" distB="0" distL="0" distR="0" wp14:anchorId="0FA1C7B9" wp14:editId="4C77B090">
                <wp:extent cx="1014331" cy="1199403"/>
                <wp:effectExtent l="0" t="0" r="0" b="1270"/>
                <wp:docPr id="3" name="Imagen 3" descr="Dibujo animado de un animal con la boca abie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20323" name="Imagen 1569620323" descr="Dibujo animado de un animal con la boca abiert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14:paraId="665B543A" w14:textId="77777777" w:rsidR="00124BD7" w:rsidRPr="00612765" w:rsidRDefault="00124BD7" w:rsidP="00124BD7">
          <w:pPr>
            <w:pStyle w:val="Encabezado"/>
            <w:spacing w:before="720"/>
            <w:jc w:val="center"/>
            <w:rPr>
              <w:rFonts w:ascii="Arial" w:hAnsi="Arial" w:cs="Arial"/>
              <w:b/>
              <w:bCs/>
              <w:sz w:val="25"/>
              <w:szCs w:val="25"/>
            </w:rPr>
          </w:pPr>
          <w:r w:rsidRPr="00612765">
            <w:rPr>
              <w:rFonts w:ascii="Arial" w:hAnsi="Arial" w:cs="Arial"/>
              <w:b/>
              <w:bCs/>
              <w:sz w:val="25"/>
              <w:szCs w:val="25"/>
            </w:rPr>
            <w:t>INSTITUTO ELECTORAL Y DE PARTICIPACIÓN CIUDADANA DE TABASCO</w:t>
          </w:r>
        </w:p>
        <w:p w14:paraId="58BB1E45" w14:textId="77777777" w:rsidR="00124BD7" w:rsidRPr="005E43CB" w:rsidRDefault="00124BD7" w:rsidP="00124BD7">
          <w:pPr>
            <w:pStyle w:val="Encabezado"/>
            <w:jc w:val="center"/>
            <w:rPr>
              <w:sz w:val="25"/>
              <w:szCs w:val="25"/>
            </w:rPr>
          </w:pPr>
          <w:r w:rsidRPr="00612765">
            <w:rPr>
              <w:rFonts w:ascii="Arial" w:hAnsi="Arial" w:cs="Arial"/>
              <w:sz w:val="25"/>
              <w:szCs w:val="25"/>
            </w:rPr>
            <w:t>JUNTA ESTATAL EJECUTIVA</w:t>
          </w:r>
        </w:p>
      </w:tc>
      <w:tc>
        <w:tcPr>
          <w:tcW w:w="1843" w:type="dxa"/>
        </w:tcPr>
        <w:p w14:paraId="1D8517CF" w14:textId="77777777" w:rsidR="00124BD7" w:rsidRPr="005E43CB" w:rsidRDefault="00124BD7" w:rsidP="00124BD7">
          <w:pPr>
            <w:pStyle w:val="Encabezado"/>
            <w:spacing w:before="480"/>
          </w:pPr>
          <w:r>
            <w:rPr>
              <w:noProof/>
              <w:lang w:eastAsia="es-MX"/>
            </w:rPr>
            <w:drawing>
              <wp:inline distT="0" distB="0" distL="0" distR="0" wp14:anchorId="26BD7289" wp14:editId="4CDFACAA">
                <wp:extent cx="942975" cy="774065"/>
                <wp:effectExtent l="0" t="0" r="9525" b="6985"/>
                <wp:docPr id="4" name="Imagen 4" descr="Logotipo, 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07626" name="Imagen 1830107626" descr="Logotipo, Icono&#10;&#10;El contenido generado por IA puede ser incorrecto."/>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14:paraId="658858FA" w14:textId="21110C45" w:rsidR="00124BD7" w:rsidRPr="00612765" w:rsidRDefault="00612765" w:rsidP="00612765">
    <w:pPr>
      <w:pStyle w:val="Encabezado"/>
      <w:jc w:val="right"/>
      <w:rPr>
        <w:rFonts w:ascii="Arial" w:hAnsi="Arial" w:cs="Arial"/>
        <w:b/>
      </w:rPr>
    </w:pPr>
    <w:r w:rsidRPr="00612765">
      <w:rPr>
        <w:rFonts w:ascii="Arial" w:hAnsi="Arial" w:cs="Arial"/>
        <w:b/>
      </w:rPr>
      <w:t>JEE/2025/005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9F0C87"/>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7DE928C5"/>
    <w:multiLevelType w:val="hybridMultilevel"/>
    <w:tmpl w:val="E6B8C93A"/>
    <w:lvl w:ilvl="0" w:tplc="1AB86D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6E0"/>
    <w:rsid w:val="0003582F"/>
    <w:rsid w:val="00075E70"/>
    <w:rsid w:val="00077C45"/>
    <w:rsid w:val="00124BD7"/>
    <w:rsid w:val="0012749D"/>
    <w:rsid w:val="001437D6"/>
    <w:rsid w:val="001800B3"/>
    <w:rsid w:val="001830EB"/>
    <w:rsid w:val="002819DD"/>
    <w:rsid w:val="002B60D8"/>
    <w:rsid w:val="002B7A3E"/>
    <w:rsid w:val="002C18C6"/>
    <w:rsid w:val="002D451F"/>
    <w:rsid w:val="002E36BC"/>
    <w:rsid w:val="003448B3"/>
    <w:rsid w:val="00373990"/>
    <w:rsid w:val="003875AC"/>
    <w:rsid w:val="003B26B3"/>
    <w:rsid w:val="00457CEE"/>
    <w:rsid w:val="004E4270"/>
    <w:rsid w:val="00507986"/>
    <w:rsid w:val="00522798"/>
    <w:rsid w:val="005655C6"/>
    <w:rsid w:val="00591BAB"/>
    <w:rsid w:val="005B3C98"/>
    <w:rsid w:val="005E3BB7"/>
    <w:rsid w:val="00612765"/>
    <w:rsid w:val="00677012"/>
    <w:rsid w:val="00685284"/>
    <w:rsid w:val="006A0A5E"/>
    <w:rsid w:val="006B34DF"/>
    <w:rsid w:val="006E5BBD"/>
    <w:rsid w:val="007157B6"/>
    <w:rsid w:val="007F7F7A"/>
    <w:rsid w:val="00842742"/>
    <w:rsid w:val="0094132A"/>
    <w:rsid w:val="0096038A"/>
    <w:rsid w:val="00A36F09"/>
    <w:rsid w:val="00A43FFA"/>
    <w:rsid w:val="00A95321"/>
    <w:rsid w:val="00B856E0"/>
    <w:rsid w:val="00BB432C"/>
    <w:rsid w:val="00C16F2C"/>
    <w:rsid w:val="00C54221"/>
    <w:rsid w:val="00C57BA1"/>
    <w:rsid w:val="00D647DB"/>
    <w:rsid w:val="00DA647D"/>
    <w:rsid w:val="00DB4782"/>
    <w:rsid w:val="00E029A4"/>
    <w:rsid w:val="00E1205B"/>
    <w:rsid w:val="00E80B17"/>
    <w:rsid w:val="00F47F3F"/>
    <w:rsid w:val="00F8708C"/>
    <w:rsid w:val="00FD37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DF3C1C"/>
  <w15:chartTrackingRefBased/>
  <w15:docId w15:val="{EA405A50-677A-4552-92B5-E95BD9117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7DB"/>
    <w:pPr>
      <w:spacing w:before="240" w:after="240" w:line="281" w:lineRule="auto"/>
      <w:jc w:val="both"/>
    </w:pPr>
    <w:rPr>
      <w:rFonts w:ascii="Exo" w:hAnsi="Exo"/>
    </w:rPr>
  </w:style>
  <w:style w:type="paragraph" w:styleId="Ttulo1">
    <w:name w:val="heading 1"/>
    <w:basedOn w:val="Normal"/>
    <w:next w:val="Normal"/>
    <w:link w:val="Ttulo1Car"/>
    <w:uiPriority w:val="9"/>
    <w:qFormat/>
    <w:rsid w:val="00D647DB"/>
    <w:pPr>
      <w:keepNext/>
      <w:keepLines/>
      <w:numPr>
        <w:numId w:val="2"/>
      </w:numPr>
      <w:spacing w:before="600" w:after="360"/>
      <w:jc w:val="center"/>
      <w:outlineLvl w:val="0"/>
    </w:pPr>
    <w:rPr>
      <w:rFonts w:eastAsiaTheme="majorEastAsia" w:cstheme="majorBidi"/>
      <w:b/>
      <w:bCs/>
      <w:color w:val="0F4761" w:themeColor="accent1" w:themeShade="BF"/>
      <w:sz w:val="28"/>
      <w:szCs w:val="28"/>
    </w:rPr>
  </w:style>
  <w:style w:type="paragraph" w:styleId="Ttulo2">
    <w:name w:val="heading 2"/>
    <w:basedOn w:val="Normal"/>
    <w:next w:val="Normal"/>
    <w:link w:val="Ttulo2Car"/>
    <w:uiPriority w:val="9"/>
    <w:unhideWhenUsed/>
    <w:qFormat/>
    <w:rsid w:val="00D647DB"/>
    <w:pPr>
      <w:keepNext/>
      <w:keepLines/>
      <w:numPr>
        <w:ilvl w:val="1"/>
        <w:numId w:val="2"/>
      </w:numPr>
      <w:spacing w:before="480"/>
      <w:outlineLvl w:val="1"/>
    </w:pPr>
    <w:rPr>
      <w:rFonts w:eastAsiaTheme="majorEastAsia" w:cstheme="majorBidi"/>
      <w:b/>
      <w:bCs/>
      <w:color w:val="0F4761" w:themeColor="accent1" w:themeShade="BF"/>
    </w:rPr>
  </w:style>
  <w:style w:type="paragraph" w:styleId="Ttulo3">
    <w:name w:val="heading 3"/>
    <w:basedOn w:val="Normal"/>
    <w:next w:val="Normal"/>
    <w:link w:val="Ttulo3Car"/>
    <w:uiPriority w:val="9"/>
    <w:semiHidden/>
    <w:unhideWhenUsed/>
    <w:qFormat/>
    <w:rsid w:val="00B856E0"/>
    <w:pPr>
      <w:keepNext/>
      <w:keepLines/>
      <w:numPr>
        <w:ilvl w:val="2"/>
        <w:numId w:val="2"/>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856E0"/>
    <w:pPr>
      <w:keepNext/>
      <w:keepLines/>
      <w:numPr>
        <w:ilvl w:val="3"/>
        <w:numId w:val="2"/>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856E0"/>
    <w:pPr>
      <w:keepNext/>
      <w:keepLines/>
      <w:numPr>
        <w:ilvl w:val="4"/>
        <w:numId w:val="2"/>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856E0"/>
    <w:pPr>
      <w:keepNext/>
      <w:keepLines/>
      <w:numPr>
        <w:ilvl w:val="5"/>
        <w:numId w:val="2"/>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856E0"/>
    <w:pPr>
      <w:keepNext/>
      <w:keepLines/>
      <w:numPr>
        <w:ilvl w:val="6"/>
        <w:numId w:val="2"/>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856E0"/>
    <w:pPr>
      <w:keepNext/>
      <w:keepLines/>
      <w:numPr>
        <w:ilvl w:val="7"/>
        <w:numId w:val="2"/>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856E0"/>
    <w:pPr>
      <w:keepNext/>
      <w:keepLines/>
      <w:numPr>
        <w:ilvl w:val="8"/>
        <w:numId w:val="2"/>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647DB"/>
    <w:rPr>
      <w:rFonts w:ascii="Exo" w:eastAsiaTheme="majorEastAsia" w:hAnsi="Exo" w:cstheme="majorBidi"/>
      <w:b/>
      <w:bCs/>
      <w:color w:val="0F4761" w:themeColor="accent1" w:themeShade="BF"/>
      <w:sz w:val="28"/>
      <w:szCs w:val="28"/>
    </w:rPr>
  </w:style>
  <w:style w:type="character" w:customStyle="1" w:styleId="Ttulo2Car">
    <w:name w:val="Título 2 Car"/>
    <w:basedOn w:val="Fuentedeprrafopredeter"/>
    <w:link w:val="Ttulo2"/>
    <w:uiPriority w:val="9"/>
    <w:rsid w:val="00D647DB"/>
    <w:rPr>
      <w:rFonts w:ascii="Exo" w:eastAsiaTheme="majorEastAsia" w:hAnsi="Exo" w:cstheme="majorBidi"/>
      <w:b/>
      <w:bCs/>
      <w:color w:val="0F4761" w:themeColor="accent1" w:themeShade="BF"/>
    </w:rPr>
  </w:style>
  <w:style w:type="character" w:customStyle="1" w:styleId="Ttulo3Car">
    <w:name w:val="Título 3 Car"/>
    <w:basedOn w:val="Fuentedeprrafopredeter"/>
    <w:link w:val="Ttulo3"/>
    <w:uiPriority w:val="9"/>
    <w:semiHidden/>
    <w:rsid w:val="00B856E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856E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856E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856E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856E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856E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856E0"/>
    <w:rPr>
      <w:rFonts w:eastAsiaTheme="majorEastAsia" w:cstheme="majorBidi"/>
      <w:color w:val="272727" w:themeColor="text1" w:themeTint="D8"/>
    </w:rPr>
  </w:style>
  <w:style w:type="paragraph" w:styleId="Ttulo">
    <w:name w:val="Title"/>
    <w:basedOn w:val="Normal"/>
    <w:next w:val="Normal"/>
    <w:link w:val="TtuloCar"/>
    <w:uiPriority w:val="10"/>
    <w:qFormat/>
    <w:rsid w:val="00B856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856E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856E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856E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856E0"/>
    <w:pPr>
      <w:spacing w:before="160"/>
      <w:jc w:val="center"/>
    </w:pPr>
    <w:rPr>
      <w:i/>
      <w:iCs/>
      <w:color w:val="404040" w:themeColor="text1" w:themeTint="BF"/>
    </w:rPr>
  </w:style>
  <w:style w:type="character" w:customStyle="1" w:styleId="CitaCar">
    <w:name w:val="Cita Car"/>
    <w:basedOn w:val="Fuentedeprrafopredeter"/>
    <w:link w:val="Cita"/>
    <w:uiPriority w:val="29"/>
    <w:rsid w:val="00B856E0"/>
    <w:rPr>
      <w:i/>
      <w:iCs/>
      <w:color w:val="404040" w:themeColor="text1" w:themeTint="BF"/>
    </w:rPr>
  </w:style>
  <w:style w:type="paragraph" w:styleId="Prrafodelista">
    <w:name w:val="List Paragraph"/>
    <w:basedOn w:val="Normal"/>
    <w:uiPriority w:val="34"/>
    <w:qFormat/>
    <w:rsid w:val="00B856E0"/>
    <w:pPr>
      <w:ind w:left="720"/>
      <w:contextualSpacing/>
    </w:pPr>
  </w:style>
  <w:style w:type="character" w:styleId="nfasisintenso">
    <w:name w:val="Intense Emphasis"/>
    <w:basedOn w:val="Fuentedeprrafopredeter"/>
    <w:uiPriority w:val="21"/>
    <w:qFormat/>
    <w:rsid w:val="00B856E0"/>
    <w:rPr>
      <w:i/>
      <w:iCs/>
      <w:color w:val="0F4761" w:themeColor="accent1" w:themeShade="BF"/>
    </w:rPr>
  </w:style>
  <w:style w:type="paragraph" w:styleId="Citadestacada">
    <w:name w:val="Intense Quote"/>
    <w:basedOn w:val="Normal"/>
    <w:next w:val="Normal"/>
    <w:link w:val="CitadestacadaCar"/>
    <w:uiPriority w:val="30"/>
    <w:qFormat/>
    <w:rsid w:val="00B856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856E0"/>
    <w:rPr>
      <w:i/>
      <w:iCs/>
      <w:color w:val="0F4761" w:themeColor="accent1" w:themeShade="BF"/>
    </w:rPr>
  </w:style>
  <w:style w:type="character" w:styleId="Referenciaintensa">
    <w:name w:val="Intense Reference"/>
    <w:basedOn w:val="Fuentedeprrafopredeter"/>
    <w:uiPriority w:val="32"/>
    <w:qFormat/>
    <w:rsid w:val="00B856E0"/>
    <w:rPr>
      <w:b/>
      <w:bCs/>
      <w:smallCaps/>
      <w:color w:val="0F4761" w:themeColor="accent1" w:themeShade="BF"/>
      <w:spacing w:val="5"/>
    </w:rPr>
  </w:style>
  <w:style w:type="table" w:styleId="Tablaconcuadrcula">
    <w:name w:val="Table Grid"/>
    <w:basedOn w:val="Tablanormal"/>
    <w:uiPriority w:val="39"/>
    <w:rsid w:val="005655C6"/>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24BD7"/>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124BD7"/>
    <w:rPr>
      <w:rFonts w:ascii="Exo" w:hAnsi="Exo"/>
    </w:rPr>
  </w:style>
  <w:style w:type="paragraph" w:styleId="Piedepgina">
    <w:name w:val="footer"/>
    <w:basedOn w:val="Normal"/>
    <w:link w:val="PiedepginaCar"/>
    <w:uiPriority w:val="99"/>
    <w:unhideWhenUsed/>
    <w:rsid w:val="00124BD7"/>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124BD7"/>
    <w:rPr>
      <w:rFonts w:ascii="Exo" w:hAnsi="Exo"/>
    </w:rPr>
  </w:style>
  <w:style w:type="paragraph" w:styleId="Textodeglobo">
    <w:name w:val="Balloon Text"/>
    <w:basedOn w:val="Normal"/>
    <w:link w:val="TextodegloboCar"/>
    <w:uiPriority w:val="99"/>
    <w:semiHidden/>
    <w:unhideWhenUsed/>
    <w:rsid w:val="007157B6"/>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57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77</TotalTime>
  <Pages>8</Pages>
  <Words>2462</Words>
  <Characters>13546</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Jaqueline del Carmen Carrillo Llergo</cp:lastModifiedBy>
  <cp:revision>41</cp:revision>
  <cp:lastPrinted>2025-03-21T16:43:00Z</cp:lastPrinted>
  <dcterms:created xsi:type="dcterms:W3CDTF">2025-03-17T04:20:00Z</dcterms:created>
  <dcterms:modified xsi:type="dcterms:W3CDTF">2025-03-21T16:44:00Z</dcterms:modified>
</cp:coreProperties>
</file>