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522E4" w14:textId="3473F6EC" w:rsidR="00154312" w:rsidRPr="003857AD" w:rsidRDefault="00154312" w:rsidP="00154312">
      <w:pPr>
        <w:spacing w:before="0" w:after="0"/>
        <w:rPr>
          <w:rFonts w:ascii="Arial" w:hAnsi="Arial" w:cs="Arial"/>
          <w:b/>
          <w:szCs w:val="24"/>
        </w:rPr>
      </w:pPr>
      <w:r w:rsidRPr="003857AD">
        <w:rPr>
          <w:rFonts w:ascii="Arial" w:hAnsi="Arial" w:cs="Arial"/>
          <w:b/>
          <w:szCs w:val="24"/>
        </w:rPr>
        <w:t xml:space="preserve">ACUERDO QUE EMITE LA JUNTA ESTATAL EJECUTIVA DEL INSTITUTO ELECTORAL Y DE PARTICIPACIÓN CIUDADANA DE TABASCO, </w:t>
      </w:r>
      <w:r w:rsidRPr="003857AD">
        <w:rPr>
          <w:rFonts w:ascii="Arial" w:hAnsi="Arial" w:cs="Arial"/>
          <w:b/>
          <w:bCs/>
        </w:rPr>
        <w:t>MEDIANTE EL CUAL DESIGNA A LAS Y LOS SERVIDORES PÚBLICOS QUE OCUPARÁN LAS VACANTES ORIGINADAS EN LOS ÓRGANOS CENTRALES DEL PROPIO INSTITUTO</w:t>
      </w:r>
    </w:p>
    <w:p w14:paraId="1AD880D6" w14:textId="77777777" w:rsidR="00154312" w:rsidRPr="00FB228F" w:rsidRDefault="00154312" w:rsidP="00154312">
      <w:pPr>
        <w:spacing w:before="0" w:after="0"/>
        <w:rPr>
          <w:rFonts w:ascii="Arial" w:hAnsi="Arial" w:cs="Arial"/>
          <w:b/>
          <w:color w:val="EE0000"/>
          <w:szCs w:val="24"/>
        </w:rPr>
      </w:pPr>
    </w:p>
    <w:p w14:paraId="7ED35CE4" w14:textId="77777777" w:rsidR="00154312" w:rsidRPr="00E867D6" w:rsidRDefault="00154312" w:rsidP="00154312">
      <w:pPr>
        <w:spacing w:before="0" w:after="0"/>
        <w:rPr>
          <w:rFonts w:ascii="Arial" w:hAnsi="Arial" w:cs="Arial"/>
          <w:sz w:val="22"/>
        </w:rPr>
      </w:pPr>
      <w:r w:rsidRPr="00E867D6">
        <w:rPr>
          <w:rFonts w:ascii="Arial" w:hAnsi="Arial" w:cs="Arial"/>
          <w:sz w:val="22"/>
        </w:rPr>
        <w:t>Para efectos del presente acuerdo se usarán las abreviaturas y definiciones siguientes:</w:t>
      </w:r>
    </w:p>
    <w:p w14:paraId="0D9F9E27" w14:textId="77777777" w:rsidR="00154312" w:rsidRPr="00EC1392" w:rsidRDefault="00154312" w:rsidP="00154312">
      <w:pPr>
        <w:spacing w:before="0" w:after="0"/>
        <w:rPr>
          <w:rFonts w:ascii="Arial" w:hAnsi="Arial" w:cs="Arial"/>
          <w:sz w:val="23"/>
          <w:szCs w:val="23"/>
        </w:rPr>
      </w:pPr>
    </w:p>
    <w:tbl>
      <w:tblPr>
        <w:tblStyle w:val="Tablaconcuadrcula"/>
        <w:tblW w:w="0" w:type="auto"/>
        <w:tblInd w:w="704" w:type="dxa"/>
        <w:tblLook w:val="04A0" w:firstRow="1" w:lastRow="0" w:firstColumn="1" w:lastColumn="0" w:noHBand="0" w:noVBand="1"/>
      </w:tblPr>
      <w:tblGrid>
        <w:gridCol w:w="2693"/>
        <w:gridCol w:w="4962"/>
      </w:tblGrid>
      <w:tr w:rsidR="00EC1392" w:rsidRPr="00EC1392" w14:paraId="39C005CD" w14:textId="77777777" w:rsidTr="006C44A4">
        <w:tc>
          <w:tcPr>
            <w:tcW w:w="2693" w:type="dxa"/>
            <w:vAlign w:val="center"/>
          </w:tcPr>
          <w:p w14:paraId="3F82F371" w14:textId="77777777" w:rsidR="00154312" w:rsidRPr="00EC1392" w:rsidRDefault="00154312" w:rsidP="006C44A4">
            <w:pPr>
              <w:spacing w:before="120" w:after="120" w:line="276" w:lineRule="auto"/>
              <w:jc w:val="right"/>
              <w:rPr>
                <w:rFonts w:ascii="Arial" w:hAnsi="Arial" w:cs="Arial"/>
                <w:b/>
                <w:sz w:val="20"/>
                <w:szCs w:val="20"/>
              </w:rPr>
            </w:pPr>
            <w:r w:rsidRPr="00EC1392">
              <w:rPr>
                <w:rFonts w:ascii="Arial" w:hAnsi="Arial" w:cs="Arial"/>
                <w:b/>
                <w:sz w:val="20"/>
                <w:szCs w:val="20"/>
              </w:rPr>
              <w:t>Consejo Estatal:</w:t>
            </w:r>
          </w:p>
        </w:tc>
        <w:tc>
          <w:tcPr>
            <w:tcW w:w="4962" w:type="dxa"/>
            <w:vAlign w:val="center"/>
          </w:tcPr>
          <w:p w14:paraId="1DC21583" w14:textId="77777777" w:rsidR="00154312" w:rsidRPr="00EC1392" w:rsidRDefault="00154312" w:rsidP="006C44A4">
            <w:pPr>
              <w:spacing w:before="120" w:after="120" w:line="276" w:lineRule="auto"/>
              <w:rPr>
                <w:rFonts w:ascii="Arial" w:hAnsi="Arial" w:cs="Arial"/>
                <w:sz w:val="20"/>
                <w:szCs w:val="20"/>
              </w:rPr>
            </w:pPr>
            <w:r w:rsidRPr="00EC1392">
              <w:rPr>
                <w:rFonts w:ascii="Arial" w:hAnsi="Arial" w:cs="Arial"/>
                <w:sz w:val="20"/>
                <w:szCs w:val="20"/>
              </w:rPr>
              <w:t>Consejo Estatal del Instituto Electoral y de Participación Ciudadana de Tabasco.</w:t>
            </w:r>
          </w:p>
        </w:tc>
      </w:tr>
      <w:tr w:rsidR="00EC1392" w:rsidRPr="00EC1392" w14:paraId="3FC71C83" w14:textId="77777777" w:rsidTr="006C44A4">
        <w:tc>
          <w:tcPr>
            <w:tcW w:w="2693" w:type="dxa"/>
            <w:vAlign w:val="center"/>
          </w:tcPr>
          <w:p w14:paraId="16AB60B1" w14:textId="77777777" w:rsidR="00154312" w:rsidRPr="00EC1392" w:rsidRDefault="00154312" w:rsidP="006C44A4">
            <w:pPr>
              <w:spacing w:before="120" w:after="120" w:line="276" w:lineRule="auto"/>
              <w:jc w:val="right"/>
              <w:rPr>
                <w:rFonts w:ascii="Arial" w:hAnsi="Arial" w:cs="Arial"/>
                <w:b/>
                <w:sz w:val="20"/>
                <w:szCs w:val="20"/>
              </w:rPr>
            </w:pPr>
            <w:r w:rsidRPr="00EC1392">
              <w:rPr>
                <w:rFonts w:ascii="Arial" w:hAnsi="Arial" w:cs="Arial"/>
                <w:b/>
                <w:sz w:val="20"/>
                <w:szCs w:val="20"/>
              </w:rPr>
              <w:t>Constitución Federal:</w:t>
            </w:r>
          </w:p>
        </w:tc>
        <w:tc>
          <w:tcPr>
            <w:tcW w:w="4962" w:type="dxa"/>
            <w:vAlign w:val="center"/>
          </w:tcPr>
          <w:p w14:paraId="47A92A43" w14:textId="77777777" w:rsidR="00154312" w:rsidRPr="00EC1392" w:rsidRDefault="00154312" w:rsidP="006C44A4">
            <w:pPr>
              <w:spacing w:before="120" w:after="120" w:line="276" w:lineRule="auto"/>
              <w:rPr>
                <w:rFonts w:ascii="Arial" w:hAnsi="Arial" w:cs="Arial"/>
                <w:sz w:val="20"/>
                <w:szCs w:val="20"/>
              </w:rPr>
            </w:pPr>
            <w:r w:rsidRPr="00EC1392">
              <w:rPr>
                <w:rFonts w:ascii="Arial" w:hAnsi="Arial" w:cs="Arial"/>
                <w:sz w:val="20"/>
                <w:szCs w:val="20"/>
              </w:rPr>
              <w:t>Constitución Política de los Estados Unidos Mexicanos.</w:t>
            </w:r>
          </w:p>
        </w:tc>
      </w:tr>
      <w:tr w:rsidR="00EC1392" w:rsidRPr="00EC1392" w14:paraId="215A8058" w14:textId="77777777" w:rsidTr="006C44A4">
        <w:tc>
          <w:tcPr>
            <w:tcW w:w="2693" w:type="dxa"/>
            <w:vAlign w:val="center"/>
          </w:tcPr>
          <w:p w14:paraId="549DB511" w14:textId="77777777" w:rsidR="00154312" w:rsidRPr="00EC1392" w:rsidRDefault="00154312" w:rsidP="006C44A4">
            <w:pPr>
              <w:spacing w:before="120" w:after="120" w:line="276" w:lineRule="auto"/>
              <w:jc w:val="right"/>
              <w:rPr>
                <w:rFonts w:ascii="Arial" w:hAnsi="Arial" w:cs="Arial"/>
                <w:b/>
                <w:sz w:val="20"/>
                <w:szCs w:val="20"/>
              </w:rPr>
            </w:pPr>
            <w:r w:rsidRPr="00EC1392">
              <w:rPr>
                <w:rFonts w:ascii="Arial" w:hAnsi="Arial" w:cs="Arial"/>
                <w:b/>
                <w:sz w:val="20"/>
                <w:szCs w:val="20"/>
              </w:rPr>
              <w:t>Constitución Local:</w:t>
            </w:r>
          </w:p>
        </w:tc>
        <w:tc>
          <w:tcPr>
            <w:tcW w:w="4962" w:type="dxa"/>
            <w:vAlign w:val="center"/>
          </w:tcPr>
          <w:p w14:paraId="41382119" w14:textId="77777777" w:rsidR="00154312" w:rsidRPr="00EC1392" w:rsidRDefault="00154312" w:rsidP="006C44A4">
            <w:pPr>
              <w:spacing w:before="120" w:after="120" w:line="276" w:lineRule="auto"/>
              <w:rPr>
                <w:rFonts w:ascii="Arial" w:hAnsi="Arial" w:cs="Arial"/>
                <w:sz w:val="20"/>
                <w:szCs w:val="20"/>
              </w:rPr>
            </w:pPr>
            <w:r w:rsidRPr="00EC1392">
              <w:rPr>
                <w:rFonts w:ascii="Arial" w:hAnsi="Arial" w:cs="Arial"/>
                <w:sz w:val="20"/>
                <w:szCs w:val="20"/>
              </w:rPr>
              <w:t>Constitución Política del Estado Libre y Soberano de Tabasco.</w:t>
            </w:r>
          </w:p>
        </w:tc>
      </w:tr>
      <w:tr w:rsidR="00EC1392" w:rsidRPr="00EC1392" w14:paraId="2DBC4ED0" w14:textId="77777777" w:rsidTr="006C44A4">
        <w:tc>
          <w:tcPr>
            <w:tcW w:w="2693" w:type="dxa"/>
            <w:vAlign w:val="center"/>
          </w:tcPr>
          <w:p w14:paraId="27FA75A7" w14:textId="77777777" w:rsidR="00154312" w:rsidRPr="00EC1392" w:rsidRDefault="00154312" w:rsidP="006C44A4">
            <w:pPr>
              <w:spacing w:before="120" w:after="120" w:line="276" w:lineRule="auto"/>
              <w:jc w:val="right"/>
              <w:rPr>
                <w:rFonts w:ascii="Arial" w:hAnsi="Arial" w:cs="Arial"/>
                <w:b/>
                <w:sz w:val="20"/>
                <w:szCs w:val="20"/>
              </w:rPr>
            </w:pPr>
            <w:r w:rsidRPr="00EC1392">
              <w:rPr>
                <w:rFonts w:ascii="Arial" w:hAnsi="Arial" w:cs="Arial"/>
                <w:b/>
                <w:sz w:val="20"/>
                <w:szCs w:val="20"/>
              </w:rPr>
              <w:t>INE:</w:t>
            </w:r>
          </w:p>
        </w:tc>
        <w:tc>
          <w:tcPr>
            <w:tcW w:w="4962" w:type="dxa"/>
            <w:vAlign w:val="center"/>
          </w:tcPr>
          <w:p w14:paraId="4E805EA9" w14:textId="77777777" w:rsidR="00154312" w:rsidRPr="00EC1392" w:rsidRDefault="00154312" w:rsidP="006C44A4">
            <w:pPr>
              <w:spacing w:before="120" w:after="120" w:line="276" w:lineRule="auto"/>
              <w:rPr>
                <w:rFonts w:ascii="Arial" w:hAnsi="Arial" w:cs="Arial"/>
                <w:sz w:val="20"/>
                <w:szCs w:val="20"/>
              </w:rPr>
            </w:pPr>
            <w:r w:rsidRPr="00EC1392">
              <w:rPr>
                <w:rFonts w:ascii="Arial" w:hAnsi="Arial" w:cs="Arial"/>
                <w:sz w:val="20"/>
                <w:szCs w:val="20"/>
              </w:rPr>
              <w:t>Instituto Nacional Electoral.</w:t>
            </w:r>
          </w:p>
        </w:tc>
      </w:tr>
      <w:tr w:rsidR="00EC1392" w:rsidRPr="00EC1392" w14:paraId="03BF3FD0" w14:textId="77777777" w:rsidTr="006C44A4">
        <w:tc>
          <w:tcPr>
            <w:tcW w:w="2693" w:type="dxa"/>
            <w:vAlign w:val="center"/>
          </w:tcPr>
          <w:p w14:paraId="2C285E1A" w14:textId="77777777" w:rsidR="00154312" w:rsidRPr="00EC1392" w:rsidRDefault="00154312" w:rsidP="006C44A4">
            <w:pPr>
              <w:spacing w:before="120" w:after="120" w:line="276" w:lineRule="auto"/>
              <w:jc w:val="right"/>
              <w:rPr>
                <w:rFonts w:ascii="Arial" w:hAnsi="Arial" w:cs="Arial"/>
                <w:b/>
                <w:sz w:val="20"/>
                <w:szCs w:val="20"/>
              </w:rPr>
            </w:pPr>
            <w:r w:rsidRPr="00EC1392">
              <w:rPr>
                <w:rFonts w:ascii="Arial" w:hAnsi="Arial" w:cs="Arial"/>
                <w:b/>
                <w:sz w:val="20"/>
                <w:szCs w:val="20"/>
              </w:rPr>
              <w:t>Instituto:</w:t>
            </w:r>
          </w:p>
        </w:tc>
        <w:tc>
          <w:tcPr>
            <w:tcW w:w="4962" w:type="dxa"/>
            <w:vAlign w:val="center"/>
          </w:tcPr>
          <w:p w14:paraId="23AECB70" w14:textId="77777777" w:rsidR="00154312" w:rsidRPr="00EC1392" w:rsidRDefault="00154312" w:rsidP="006C44A4">
            <w:pPr>
              <w:spacing w:before="120" w:after="120" w:line="276" w:lineRule="auto"/>
              <w:rPr>
                <w:rFonts w:ascii="Arial" w:hAnsi="Arial" w:cs="Arial"/>
                <w:sz w:val="20"/>
                <w:szCs w:val="20"/>
              </w:rPr>
            </w:pPr>
            <w:r w:rsidRPr="00EC1392">
              <w:rPr>
                <w:rFonts w:ascii="Arial" w:hAnsi="Arial" w:cs="Arial"/>
                <w:sz w:val="20"/>
                <w:szCs w:val="20"/>
              </w:rPr>
              <w:t>Instituto Electoral y de Participación Ciudadana de Tabasco.</w:t>
            </w:r>
          </w:p>
        </w:tc>
      </w:tr>
      <w:tr w:rsidR="00EC1392" w:rsidRPr="00EC1392" w14:paraId="573B9FFE" w14:textId="77777777" w:rsidTr="006C44A4">
        <w:tc>
          <w:tcPr>
            <w:tcW w:w="2693" w:type="dxa"/>
            <w:vAlign w:val="center"/>
          </w:tcPr>
          <w:p w14:paraId="5AFFC3E9" w14:textId="77777777" w:rsidR="00154312" w:rsidRPr="00EC1392" w:rsidRDefault="00154312" w:rsidP="006C44A4">
            <w:pPr>
              <w:spacing w:before="120" w:after="120" w:line="276" w:lineRule="auto"/>
              <w:jc w:val="right"/>
              <w:rPr>
                <w:rFonts w:ascii="Arial" w:hAnsi="Arial" w:cs="Arial"/>
                <w:b/>
                <w:sz w:val="20"/>
                <w:szCs w:val="20"/>
              </w:rPr>
            </w:pPr>
            <w:r w:rsidRPr="00EC1392">
              <w:rPr>
                <w:rFonts w:ascii="Arial" w:hAnsi="Arial" w:cs="Arial"/>
                <w:b/>
                <w:sz w:val="20"/>
                <w:szCs w:val="20"/>
              </w:rPr>
              <w:t>Junta Ejecutiva:</w:t>
            </w:r>
          </w:p>
        </w:tc>
        <w:tc>
          <w:tcPr>
            <w:tcW w:w="4962" w:type="dxa"/>
            <w:vAlign w:val="center"/>
          </w:tcPr>
          <w:p w14:paraId="210BA813" w14:textId="77777777" w:rsidR="00154312" w:rsidRPr="00EC1392" w:rsidRDefault="00154312" w:rsidP="006C44A4">
            <w:pPr>
              <w:spacing w:before="120" w:after="120" w:line="276" w:lineRule="auto"/>
              <w:rPr>
                <w:rFonts w:ascii="Arial" w:hAnsi="Arial" w:cs="Arial"/>
                <w:sz w:val="20"/>
                <w:szCs w:val="20"/>
              </w:rPr>
            </w:pPr>
            <w:r w:rsidRPr="00EC1392">
              <w:rPr>
                <w:rFonts w:ascii="Arial" w:hAnsi="Arial" w:cs="Arial"/>
                <w:sz w:val="20"/>
                <w:szCs w:val="20"/>
              </w:rPr>
              <w:t>Junta Estatal Ejecutiva del Instituto Electoral y de Participación Ciudadana de Tabasco.</w:t>
            </w:r>
          </w:p>
        </w:tc>
      </w:tr>
      <w:tr w:rsidR="00EC1392" w:rsidRPr="00EC1392" w14:paraId="6D6A78EC" w14:textId="77777777" w:rsidTr="006C44A4">
        <w:tc>
          <w:tcPr>
            <w:tcW w:w="2693" w:type="dxa"/>
            <w:vAlign w:val="center"/>
          </w:tcPr>
          <w:p w14:paraId="2575AADE" w14:textId="77777777" w:rsidR="00154312" w:rsidRPr="00EC1392" w:rsidRDefault="00154312" w:rsidP="006C44A4">
            <w:pPr>
              <w:spacing w:before="120" w:after="120" w:line="276" w:lineRule="auto"/>
              <w:jc w:val="right"/>
              <w:rPr>
                <w:rFonts w:ascii="Arial" w:hAnsi="Arial" w:cs="Arial"/>
                <w:b/>
                <w:sz w:val="20"/>
                <w:szCs w:val="20"/>
              </w:rPr>
            </w:pPr>
            <w:r w:rsidRPr="00EC1392">
              <w:rPr>
                <w:rFonts w:ascii="Arial" w:hAnsi="Arial" w:cs="Arial"/>
                <w:b/>
                <w:sz w:val="20"/>
                <w:szCs w:val="20"/>
              </w:rPr>
              <w:t>Ley Electoral:</w:t>
            </w:r>
          </w:p>
        </w:tc>
        <w:tc>
          <w:tcPr>
            <w:tcW w:w="4962" w:type="dxa"/>
            <w:vAlign w:val="center"/>
          </w:tcPr>
          <w:p w14:paraId="2E28C717" w14:textId="77777777" w:rsidR="00154312" w:rsidRPr="00EC1392" w:rsidRDefault="00154312" w:rsidP="006C44A4">
            <w:pPr>
              <w:spacing w:before="120" w:after="120" w:line="276" w:lineRule="auto"/>
              <w:rPr>
                <w:rFonts w:ascii="Arial" w:hAnsi="Arial" w:cs="Arial"/>
                <w:sz w:val="20"/>
                <w:szCs w:val="20"/>
              </w:rPr>
            </w:pPr>
            <w:r w:rsidRPr="00EC1392">
              <w:rPr>
                <w:rFonts w:ascii="Arial" w:hAnsi="Arial" w:cs="Arial"/>
                <w:sz w:val="20"/>
                <w:szCs w:val="20"/>
              </w:rPr>
              <w:t>Ley Electoral y de Partidos Políticos del Estado de Tabasco.</w:t>
            </w:r>
          </w:p>
        </w:tc>
      </w:tr>
      <w:tr w:rsidR="00EC1392" w:rsidRPr="00EC1392" w14:paraId="2B90E802" w14:textId="77777777" w:rsidTr="006C44A4">
        <w:tc>
          <w:tcPr>
            <w:tcW w:w="2693" w:type="dxa"/>
            <w:vAlign w:val="center"/>
          </w:tcPr>
          <w:p w14:paraId="6D27CF39" w14:textId="77777777" w:rsidR="00154312" w:rsidRPr="00EC1392" w:rsidRDefault="00154312" w:rsidP="006C44A4">
            <w:pPr>
              <w:spacing w:before="120" w:after="120" w:line="276" w:lineRule="auto"/>
              <w:jc w:val="right"/>
              <w:rPr>
                <w:rFonts w:ascii="Arial" w:hAnsi="Arial" w:cs="Arial"/>
                <w:b/>
                <w:sz w:val="20"/>
                <w:szCs w:val="20"/>
              </w:rPr>
            </w:pPr>
            <w:r w:rsidRPr="00EC1392">
              <w:rPr>
                <w:rFonts w:ascii="Arial" w:hAnsi="Arial" w:cs="Arial"/>
                <w:b/>
                <w:sz w:val="20"/>
                <w:szCs w:val="20"/>
              </w:rPr>
              <w:t>Reglamento interior:</w:t>
            </w:r>
          </w:p>
        </w:tc>
        <w:tc>
          <w:tcPr>
            <w:tcW w:w="4962" w:type="dxa"/>
            <w:vAlign w:val="center"/>
          </w:tcPr>
          <w:p w14:paraId="2B45B080" w14:textId="77777777" w:rsidR="00154312" w:rsidRPr="00EC1392" w:rsidRDefault="00154312" w:rsidP="006C44A4">
            <w:pPr>
              <w:spacing w:before="120" w:after="120" w:line="276" w:lineRule="auto"/>
              <w:rPr>
                <w:rFonts w:ascii="Arial" w:hAnsi="Arial" w:cs="Arial"/>
                <w:sz w:val="20"/>
                <w:szCs w:val="20"/>
              </w:rPr>
            </w:pPr>
            <w:r w:rsidRPr="00EC1392">
              <w:rPr>
                <w:rFonts w:ascii="Arial" w:hAnsi="Arial" w:cs="Arial"/>
                <w:sz w:val="20"/>
                <w:szCs w:val="20"/>
              </w:rPr>
              <w:t>Reglamento interior del Instituto Electoral y de Participación Ciudadana de Tabasco.</w:t>
            </w:r>
          </w:p>
        </w:tc>
      </w:tr>
      <w:tr w:rsidR="00EC1392" w:rsidRPr="00EC1392" w14:paraId="66BEC12B" w14:textId="77777777" w:rsidTr="006C44A4">
        <w:tc>
          <w:tcPr>
            <w:tcW w:w="2693" w:type="dxa"/>
            <w:vAlign w:val="center"/>
          </w:tcPr>
          <w:p w14:paraId="71214F78" w14:textId="77777777" w:rsidR="00154312" w:rsidRPr="00EC1392" w:rsidRDefault="00154312" w:rsidP="006C44A4">
            <w:pPr>
              <w:spacing w:before="120" w:after="120" w:line="276" w:lineRule="auto"/>
              <w:jc w:val="right"/>
              <w:rPr>
                <w:rFonts w:ascii="Arial" w:hAnsi="Arial" w:cs="Arial"/>
                <w:b/>
                <w:sz w:val="20"/>
                <w:szCs w:val="20"/>
              </w:rPr>
            </w:pPr>
            <w:r w:rsidRPr="00EC1392">
              <w:rPr>
                <w:rFonts w:ascii="Arial" w:hAnsi="Arial" w:cs="Arial"/>
                <w:b/>
                <w:sz w:val="20"/>
                <w:szCs w:val="20"/>
              </w:rPr>
              <w:t>Secretaría Ejecutiva:</w:t>
            </w:r>
          </w:p>
        </w:tc>
        <w:tc>
          <w:tcPr>
            <w:tcW w:w="4962" w:type="dxa"/>
            <w:vAlign w:val="center"/>
          </w:tcPr>
          <w:p w14:paraId="25F29805" w14:textId="18FC29AA" w:rsidR="00154312" w:rsidRPr="00EC1392" w:rsidRDefault="00154312" w:rsidP="00E867D6">
            <w:pPr>
              <w:spacing w:before="120" w:after="120" w:line="276" w:lineRule="auto"/>
              <w:rPr>
                <w:rFonts w:ascii="Arial" w:hAnsi="Arial" w:cs="Arial"/>
                <w:sz w:val="20"/>
                <w:szCs w:val="20"/>
              </w:rPr>
            </w:pPr>
            <w:r w:rsidRPr="00EC1392">
              <w:rPr>
                <w:rFonts w:ascii="Arial" w:hAnsi="Arial" w:cs="Arial"/>
                <w:sz w:val="20"/>
                <w:szCs w:val="20"/>
              </w:rPr>
              <w:t xml:space="preserve">Secretaría Ejecutiva del Instituto Electoral y de Participación Ciudadana de </w:t>
            </w:r>
            <w:r w:rsidR="004D71A9" w:rsidRPr="00EC1392">
              <w:rPr>
                <w:rFonts w:ascii="Arial" w:hAnsi="Arial" w:cs="Arial"/>
                <w:sz w:val="20"/>
                <w:szCs w:val="20"/>
              </w:rPr>
              <w:t>Tabasco</w:t>
            </w:r>
            <w:r w:rsidRPr="00EC1392">
              <w:rPr>
                <w:rFonts w:ascii="Arial" w:hAnsi="Arial" w:cs="Arial"/>
                <w:sz w:val="20"/>
                <w:szCs w:val="20"/>
              </w:rPr>
              <w:t>.</w:t>
            </w:r>
          </w:p>
        </w:tc>
      </w:tr>
    </w:tbl>
    <w:p w14:paraId="524531D5" w14:textId="15F489A1" w:rsidR="00154312" w:rsidRDefault="00154312" w:rsidP="00E867D6">
      <w:pPr>
        <w:pStyle w:val="Ttulo1"/>
        <w:numPr>
          <w:ilvl w:val="0"/>
          <w:numId w:val="6"/>
        </w:numPr>
        <w:rPr>
          <w:rFonts w:cs="Arial"/>
          <w:color w:val="auto"/>
          <w:sz w:val="24"/>
          <w:szCs w:val="24"/>
        </w:rPr>
      </w:pPr>
      <w:r w:rsidRPr="00EC1392">
        <w:rPr>
          <w:rFonts w:cs="Arial"/>
          <w:color w:val="auto"/>
          <w:sz w:val="24"/>
          <w:szCs w:val="24"/>
        </w:rPr>
        <w:t>Antecedentes</w:t>
      </w:r>
    </w:p>
    <w:p w14:paraId="4395A746" w14:textId="5846303D" w:rsidR="00154312" w:rsidRPr="00E867D6" w:rsidRDefault="00E867D6" w:rsidP="00E867D6">
      <w:pPr>
        <w:pStyle w:val="Ttulo2"/>
        <w:rPr>
          <w:rFonts w:cs="Arial"/>
          <w:color w:val="auto"/>
          <w:sz w:val="22"/>
          <w:szCs w:val="22"/>
        </w:rPr>
      </w:pPr>
      <w:r w:rsidRPr="00E867D6">
        <w:rPr>
          <w:rFonts w:cs="Arial"/>
          <w:color w:val="auto"/>
          <w:sz w:val="22"/>
          <w:szCs w:val="22"/>
        </w:rPr>
        <w:t xml:space="preserve">1.1 </w:t>
      </w:r>
      <w:r w:rsidR="00154312" w:rsidRPr="00E867D6">
        <w:rPr>
          <w:rFonts w:cs="Arial"/>
          <w:color w:val="auto"/>
          <w:sz w:val="22"/>
          <w:szCs w:val="22"/>
        </w:rPr>
        <w:t>Fines del Instituto</w:t>
      </w:r>
    </w:p>
    <w:p w14:paraId="5F3EFBAC" w14:textId="77777777" w:rsidR="00154312" w:rsidRPr="00E867D6" w:rsidRDefault="00154312" w:rsidP="00154312">
      <w:pPr>
        <w:rPr>
          <w:rFonts w:ascii="Arial" w:hAnsi="Arial" w:cs="Arial"/>
          <w:sz w:val="22"/>
        </w:rPr>
      </w:pPr>
      <w:r w:rsidRPr="00E867D6">
        <w:rPr>
          <w:rFonts w:ascii="Arial" w:hAnsi="Arial" w:cs="Arial"/>
          <w:sz w:val="22"/>
        </w:rPr>
        <w:t xml:space="preserve">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w:t>
      </w:r>
      <w:r w:rsidRPr="00E867D6">
        <w:rPr>
          <w:rFonts w:ascii="Arial" w:hAnsi="Arial" w:cs="Arial"/>
          <w:sz w:val="22"/>
        </w:rPr>
        <w:lastRenderedPageBreak/>
        <w:t>certeza, legalidad, independencia, inclusión, imparcialidad, máxima publicidad, transparencia, rendición de cuentas, objetividad, paridad, interculturalidad y las realizarán con perspectiva de género y enfoque de derechos humanos.</w:t>
      </w:r>
    </w:p>
    <w:p w14:paraId="0E49EE1F" w14:textId="77777777" w:rsidR="00154312" w:rsidRPr="00E867D6" w:rsidRDefault="00154312" w:rsidP="00154312">
      <w:pPr>
        <w:rPr>
          <w:rFonts w:ascii="Arial" w:hAnsi="Arial" w:cs="Arial"/>
          <w:sz w:val="22"/>
        </w:rPr>
      </w:pPr>
      <w:r w:rsidRPr="00E867D6">
        <w:rPr>
          <w:rFonts w:ascii="Arial" w:hAnsi="Arial" w:cs="Arial"/>
          <w:sz w:val="22"/>
        </w:rPr>
        <w:t>Además, es responsable de la organización de las elecciones estatales, distritales y municipales, así como la relativa a las personas titulares de las magistraturas del Tribunal de Disciplina Judicial y del Tribunal Superior de Justicia, y Juezas y Jueces del Poder Judicial del Estado de Tabasco.</w:t>
      </w:r>
    </w:p>
    <w:p w14:paraId="4540DFAC" w14:textId="77777777" w:rsidR="00154312" w:rsidRPr="00E867D6" w:rsidRDefault="00154312" w:rsidP="00154312">
      <w:pPr>
        <w:rPr>
          <w:rFonts w:ascii="Arial" w:hAnsi="Arial" w:cs="Arial"/>
          <w:sz w:val="22"/>
        </w:rPr>
      </w:pPr>
      <w:r w:rsidRPr="00E867D6">
        <w:rPr>
          <w:rFonts w:ascii="Arial" w:hAnsi="Arial" w:cs="Arial"/>
          <w:sz w:val="22"/>
        </w:rPr>
        <w:t>Las finalidades del Instituto, de acuerdo al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64D19D1A" w14:textId="6654E482" w:rsidR="00154312" w:rsidRPr="00E867D6" w:rsidRDefault="00154312" w:rsidP="00E867D6">
      <w:pPr>
        <w:pStyle w:val="Ttulo2"/>
        <w:numPr>
          <w:ilvl w:val="1"/>
          <w:numId w:val="6"/>
        </w:numPr>
        <w:ind w:left="284"/>
        <w:rPr>
          <w:rFonts w:cs="Arial"/>
          <w:color w:val="auto"/>
          <w:sz w:val="22"/>
          <w:szCs w:val="22"/>
        </w:rPr>
      </w:pPr>
      <w:r w:rsidRPr="00E867D6">
        <w:rPr>
          <w:rFonts w:cs="Arial"/>
          <w:color w:val="auto"/>
          <w:sz w:val="22"/>
          <w:szCs w:val="22"/>
        </w:rPr>
        <w:t>Estructura organizacional</w:t>
      </w:r>
    </w:p>
    <w:p w14:paraId="5884E38F" w14:textId="77777777" w:rsidR="00154312" w:rsidRPr="00E867D6" w:rsidRDefault="00154312" w:rsidP="00154312">
      <w:pPr>
        <w:rPr>
          <w:rFonts w:ascii="Arial" w:hAnsi="Arial" w:cs="Arial"/>
          <w:sz w:val="22"/>
        </w:rPr>
      </w:pPr>
      <w:r w:rsidRPr="00E867D6">
        <w:rPr>
          <w:rFonts w:ascii="Arial" w:hAnsi="Arial" w:cs="Arial"/>
          <w:sz w:val="22"/>
        </w:rPr>
        <w:t>El 05 de octubre de 2023, mediante acuerdo CE/2023/029 el Consejo Estatal modificó la estructura orgánica y aprobó el Reglamento Interior del propio Instituto, éste último tiene por objeto regular la estructura, organización y funcionamiento de los órganos centrales, así como de las direcciones y unidades administrativas del Instituto para el correcto ejercicio de sus atribuciones y el debido cumplimiento de sus fines.</w:t>
      </w:r>
    </w:p>
    <w:p w14:paraId="7D1ABB1D" w14:textId="2906E896" w:rsidR="00154312" w:rsidRPr="00E867D6" w:rsidRDefault="00154312" w:rsidP="00E867D6">
      <w:pPr>
        <w:pStyle w:val="Ttulo2"/>
        <w:numPr>
          <w:ilvl w:val="1"/>
          <w:numId w:val="6"/>
        </w:numPr>
        <w:ind w:left="284" w:hanging="284"/>
        <w:rPr>
          <w:rFonts w:cs="Arial"/>
          <w:color w:val="auto"/>
          <w:sz w:val="22"/>
          <w:szCs w:val="22"/>
        </w:rPr>
      </w:pPr>
      <w:r w:rsidRPr="00E867D6">
        <w:rPr>
          <w:rFonts w:cs="Arial"/>
          <w:color w:val="auto"/>
          <w:sz w:val="22"/>
          <w:szCs w:val="22"/>
        </w:rPr>
        <w:t>Órganos centrales del Instituto</w:t>
      </w:r>
    </w:p>
    <w:p w14:paraId="05894365" w14:textId="77777777" w:rsidR="00154312" w:rsidRPr="00E867D6" w:rsidRDefault="00154312" w:rsidP="00154312">
      <w:pPr>
        <w:rPr>
          <w:rFonts w:ascii="Arial" w:hAnsi="Arial" w:cs="Arial"/>
          <w:sz w:val="22"/>
        </w:rPr>
      </w:pPr>
      <w:r w:rsidRPr="00E867D6">
        <w:rPr>
          <w:rFonts w:ascii="Arial" w:hAnsi="Arial" w:cs="Arial"/>
          <w:sz w:val="22"/>
        </w:rPr>
        <w:t>Por su parte, el artículo 105 numeral 1 de la Ley Electoral los órganos centrales del Instituto son los siguientes:</w:t>
      </w:r>
    </w:p>
    <w:p w14:paraId="7DEB36E8" w14:textId="77777777" w:rsidR="00154312" w:rsidRPr="00E867D6" w:rsidRDefault="00154312" w:rsidP="00154312">
      <w:pPr>
        <w:pStyle w:val="Prrafodelista"/>
        <w:numPr>
          <w:ilvl w:val="0"/>
          <w:numId w:val="2"/>
        </w:numPr>
        <w:spacing w:line="276" w:lineRule="auto"/>
        <w:rPr>
          <w:rFonts w:ascii="Arial" w:hAnsi="Arial" w:cs="Arial"/>
          <w:sz w:val="22"/>
        </w:rPr>
      </w:pPr>
      <w:r w:rsidRPr="00E867D6">
        <w:rPr>
          <w:rFonts w:ascii="Arial" w:hAnsi="Arial" w:cs="Arial"/>
          <w:sz w:val="22"/>
        </w:rPr>
        <w:t>Consejo Estatal;</w:t>
      </w:r>
    </w:p>
    <w:p w14:paraId="43A64B7B" w14:textId="77777777" w:rsidR="00154312" w:rsidRPr="00E867D6" w:rsidRDefault="00154312" w:rsidP="00154312">
      <w:pPr>
        <w:pStyle w:val="Prrafodelista"/>
        <w:numPr>
          <w:ilvl w:val="0"/>
          <w:numId w:val="2"/>
        </w:numPr>
        <w:spacing w:line="276" w:lineRule="auto"/>
        <w:rPr>
          <w:rFonts w:ascii="Arial" w:hAnsi="Arial" w:cs="Arial"/>
          <w:sz w:val="22"/>
        </w:rPr>
      </w:pPr>
      <w:r w:rsidRPr="00E867D6">
        <w:rPr>
          <w:rFonts w:ascii="Arial" w:hAnsi="Arial" w:cs="Arial"/>
          <w:sz w:val="22"/>
        </w:rPr>
        <w:t>Presidencia del Consejo Estatal;</w:t>
      </w:r>
    </w:p>
    <w:p w14:paraId="5DAA886C" w14:textId="77777777" w:rsidR="00154312" w:rsidRPr="00E867D6" w:rsidRDefault="00154312" w:rsidP="00154312">
      <w:pPr>
        <w:pStyle w:val="Prrafodelista"/>
        <w:numPr>
          <w:ilvl w:val="0"/>
          <w:numId w:val="2"/>
        </w:numPr>
        <w:spacing w:line="276" w:lineRule="auto"/>
        <w:rPr>
          <w:rFonts w:ascii="Arial" w:hAnsi="Arial" w:cs="Arial"/>
          <w:sz w:val="22"/>
        </w:rPr>
      </w:pPr>
      <w:r w:rsidRPr="00E867D6">
        <w:rPr>
          <w:rFonts w:ascii="Arial" w:hAnsi="Arial" w:cs="Arial"/>
          <w:sz w:val="22"/>
        </w:rPr>
        <w:t>Junta Estatal Ejecutiva;</w:t>
      </w:r>
    </w:p>
    <w:p w14:paraId="72406FCC" w14:textId="77777777" w:rsidR="00154312" w:rsidRPr="00E867D6" w:rsidRDefault="00154312" w:rsidP="00154312">
      <w:pPr>
        <w:pStyle w:val="Prrafodelista"/>
        <w:numPr>
          <w:ilvl w:val="0"/>
          <w:numId w:val="2"/>
        </w:numPr>
        <w:spacing w:line="276" w:lineRule="auto"/>
        <w:rPr>
          <w:rFonts w:ascii="Arial" w:hAnsi="Arial" w:cs="Arial"/>
          <w:sz w:val="22"/>
        </w:rPr>
      </w:pPr>
      <w:r w:rsidRPr="00E867D6">
        <w:rPr>
          <w:rFonts w:ascii="Arial" w:hAnsi="Arial" w:cs="Arial"/>
          <w:sz w:val="22"/>
        </w:rPr>
        <w:t>Secretaría Ejecutiva, y</w:t>
      </w:r>
    </w:p>
    <w:p w14:paraId="2D0DD9C6" w14:textId="77777777" w:rsidR="00154312" w:rsidRPr="00E867D6" w:rsidRDefault="00154312" w:rsidP="00154312">
      <w:pPr>
        <w:pStyle w:val="Prrafodelista"/>
        <w:numPr>
          <w:ilvl w:val="0"/>
          <w:numId w:val="2"/>
        </w:numPr>
        <w:spacing w:line="276" w:lineRule="auto"/>
        <w:rPr>
          <w:rFonts w:ascii="Arial" w:hAnsi="Arial" w:cs="Arial"/>
          <w:sz w:val="22"/>
        </w:rPr>
      </w:pPr>
      <w:r w:rsidRPr="00E867D6">
        <w:rPr>
          <w:rFonts w:ascii="Arial" w:hAnsi="Arial" w:cs="Arial"/>
          <w:sz w:val="22"/>
        </w:rPr>
        <w:t>Órgano Técnico de Fiscalización</w:t>
      </w:r>
    </w:p>
    <w:p w14:paraId="076853BB" w14:textId="716A8043" w:rsidR="00154312" w:rsidRPr="00E867D6" w:rsidRDefault="00E867D6" w:rsidP="00E867D6">
      <w:pPr>
        <w:pStyle w:val="Ttulo2"/>
        <w:numPr>
          <w:ilvl w:val="1"/>
          <w:numId w:val="6"/>
        </w:numPr>
        <w:ind w:left="426" w:hanging="426"/>
        <w:rPr>
          <w:rFonts w:cs="Arial"/>
          <w:color w:val="auto"/>
          <w:sz w:val="22"/>
          <w:szCs w:val="22"/>
        </w:rPr>
      </w:pPr>
      <w:r w:rsidRPr="00E867D6">
        <w:rPr>
          <w:rFonts w:cs="Arial"/>
          <w:color w:val="auto"/>
          <w:sz w:val="22"/>
          <w:szCs w:val="22"/>
        </w:rPr>
        <w:lastRenderedPageBreak/>
        <w:t xml:space="preserve"> </w:t>
      </w:r>
      <w:r w:rsidR="00154312" w:rsidRPr="00E867D6">
        <w:rPr>
          <w:rFonts w:cs="Arial"/>
          <w:color w:val="auto"/>
          <w:sz w:val="22"/>
          <w:szCs w:val="22"/>
        </w:rPr>
        <w:t>Vacante</w:t>
      </w:r>
      <w:r w:rsidR="008B2935" w:rsidRPr="00E867D6">
        <w:rPr>
          <w:rFonts w:cs="Arial"/>
          <w:color w:val="auto"/>
          <w:sz w:val="22"/>
          <w:szCs w:val="22"/>
        </w:rPr>
        <w:t>s</w:t>
      </w:r>
      <w:r w:rsidR="00154312" w:rsidRPr="00E867D6">
        <w:rPr>
          <w:rFonts w:cs="Arial"/>
          <w:color w:val="auto"/>
          <w:sz w:val="22"/>
          <w:szCs w:val="22"/>
        </w:rPr>
        <w:t xml:space="preserve"> originada</w:t>
      </w:r>
      <w:r w:rsidR="008B2935" w:rsidRPr="00E867D6">
        <w:rPr>
          <w:rFonts w:cs="Arial"/>
          <w:color w:val="auto"/>
          <w:sz w:val="22"/>
          <w:szCs w:val="22"/>
        </w:rPr>
        <w:t>s</w:t>
      </w:r>
    </w:p>
    <w:p w14:paraId="17EDD048" w14:textId="51125436" w:rsidR="008B2935" w:rsidRPr="00E867D6" w:rsidRDefault="008B2935" w:rsidP="008B2935">
      <w:pPr>
        <w:rPr>
          <w:rFonts w:ascii="Arial" w:hAnsi="Arial" w:cs="Arial"/>
          <w:sz w:val="22"/>
        </w:rPr>
      </w:pPr>
      <w:r w:rsidRPr="00E867D6">
        <w:rPr>
          <w:rFonts w:ascii="Arial" w:hAnsi="Arial" w:cs="Arial"/>
          <w:sz w:val="22"/>
        </w:rPr>
        <w:t>A partir del 30 de septiembre y hasta el 03 de octubre de 2025, por diversas causas, quedaron vacantes las categorías de técnico, coordinador y secretar</w:t>
      </w:r>
      <w:r w:rsidR="00585F9C" w:rsidRPr="00E867D6">
        <w:rPr>
          <w:rFonts w:ascii="Arial" w:hAnsi="Arial" w:cs="Arial"/>
          <w:sz w:val="22"/>
        </w:rPr>
        <w:t>ía</w:t>
      </w:r>
      <w:r w:rsidRPr="00E867D6">
        <w:rPr>
          <w:rFonts w:ascii="Arial" w:hAnsi="Arial" w:cs="Arial"/>
          <w:sz w:val="22"/>
        </w:rPr>
        <w:t xml:space="preserve"> técnic</w:t>
      </w:r>
      <w:r w:rsidR="00585F9C" w:rsidRPr="00E867D6">
        <w:rPr>
          <w:rFonts w:ascii="Arial" w:hAnsi="Arial" w:cs="Arial"/>
          <w:sz w:val="22"/>
        </w:rPr>
        <w:t>a</w:t>
      </w:r>
      <w:r w:rsidRPr="00E867D6">
        <w:rPr>
          <w:rFonts w:ascii="Arial" w:hAnsi="Arial" w:cs="Arial"/>
          <w:sz w:val="22"/>
        </w:rPr>
        <w:t>, de acuerdo con lo siguiente:</w:t>
      </w:r>
    </w:p>
    <w:tbl>
      <w:tblPr>
        <w:tblStyle w:val="Tablaconcuadrcula"/>
        <w:tblW w:w="6379" w:type="dxa"/>
        <w:tblInd w:w="846" w:type="dxa"/>
        <w:tblLook w:val="04A0" w:firstRow="1" w:lastRow="0" w:firstColumn="1" w:lastColumn="0" w:noHBand="0" w:noVBand="1"/>
      </w:tblPr>
      <w:tblGrid>
        <w:gridCol w:w="3489"/>
        <w:gridCol w:w="2890"/>
      </w:tblGrid>
      <w:tr w:rsidR="00FB228F" w:rsidRPr="00FB228F" w14:paraId="277FB029" w14:textId="77777777" w:rsidTr="00DF0B6D">
        <w:tc>
          <w:tcPr>
            <w:tcW w:w="3489" w:type="dxa"/>
            <w:shd w:val="clear" w:color="auto" w:fill="990033"/>
            <w:vAlign w:val="center"/>
          </w:tcPr>
          <w:p w14:paraId="0DD52291" w14:textId="77777777" w:rsidR="008B2935" w:rsidRPr="00EC1392" w:rsidRDefault="008B2935" w:rsidP="006C44A4">
            <w:pPr>
              <w:spacing w:before="40" w:after="40"/>
              <w:jc w:val="center"/>
              <w:rPr>
                <w:rFonts w:ascii="Arial" w:hAnsi="Arial" w:cs="Arial"/>
                <w:b/>
                <w:color w:val="FFFFFF" w:themeColor="background1"/>
                <w:sz w:val="20"/>
                <w:szCs w:val="20"/>
              </w:rPr>
            </w:pPr>
            <w:r w:rsidRPr="00EC1392">
              <w:rPr>
                <w:rFonts w:ascii="Arial" w:hAnsi="Arial" w:cs="Arial"/>
                <w:b/>
                <w:color w:val="FFFFFF" w:themeColor="background1"/>
                <w:sz w:val="20"/>
                <w:szCs w:val="20"/>
              </w:rPr>
              <w:t>Cargo</w:t>
            </w:r>
          </w:p>
        </w:tc>
        <w:tc>
          <w:tcPr>
            <w:tcW w:w="2890" w:type="dxa"/>
            <w:shd w:val="clear" w:color="auto" w:fill="990033"/>
            <w:vAlign w:val="center"/>
          </w:tcPr>
          <w:p w14:paraId="449BC920" w14:textId="77777777" w:rsidR="008B2935" w:rsidRPr="00EC1392" w:rsidRDefault="008B2935" w:rsidP="006C44A4">
            <w:pPr>
              <w:spacing w:before="40" w:after="40"/>
              <w:jc w:val="center"/>
              <w:rPr>
                <w:rFonts w:ascii="Arial" w:hAnsi="Arial" w:cs="Arial"/>
                <w:b/>
                <w:color w:val="FFFFFF" w:themeColor="background1"/>
                <w:sz w:val="20"/>
                <w:szCs w:val="20"/>
              </w:rPr>
            </w:pPr>
            <w:r w:rsidRPr="00EC1392">
              <w:rPr>
                <w:rFonts w:ascii="Arial" w:hAnsi="Arial" w:cs="Arial"/>
                <w:b/>
                <w:color w:val="FFFFFF" w:themeColor="background1"/>
                <w:sz w:val="20"/>
                <w:szCs w:val="20"/>
              </w:rPr>
              <w:t>Adscripción</w:t>
            </w:r>
          </w:p>
        </w:tc>
      </w:tr>
      <w:tr w:rsidR="00585F9C" w:rsidRPr="00585F9C" w14:paraId="67955755" w14:textId="77777777" w:rsidTr="00DF0B6D">
        <w:tc>
          <w:tcPr>
            <w:tcW w:w="3489" w:type="dxa"/>
            <w:vAlign w:val="center"/>
          </w:tcPr>
          <w:p w14:paraId="6895DF12" w14:textId="77777777" w:rsidR="008B2935" w:rsidRPr="00585F9C" w:rsidRDefault="008B2935" w:rsidP="006C44A4">
            <w:pPr>
              <w:spacing w:before="40" w:after="40"/>
              <w:rPr>
                <w:rFonts w:ascii="Arial" w:hAnsi="Arial" w:cs="Arial"/>
                <w:sz w:val="20"/>
                <w:szCs w:val="20"/>
              </w:rPr>
            </w:pPr>
            <w:r w:rsidRPr="00585F9C">
              <w:rPr>
                <w:rFonts w:ascii="Arial" w:hAnsi="Arial" w:cs="Arial"/>
                <w:sz w:val="20"/>
                <w:szCs w:val="20"/>
              </w:rPr>
              <w:t>Coordinación</w:t>
            </w:r>
          </w:p>
        </w:tc>
        <w:tc>
          <w:tcPr>
            <w:tcW w:w="2890" w:type="dxa"/>
            <w:vAlign w:val="center"/>
          </w:tcPr>
          <w:p w14:paraId="589BAEFF" w14:textId="77777777" w:rsidR="008B2935" w:rsidRPr="00585F9C" w:rsidRDefault="008B2935" w:rsidP="006C44A4">
            <w:pPr>
              <w:spacing w:before="40" w:after="40"/>
              <w:rPr>
                <w:rFonts w:ascii="Arial" w:hAnsi="Arial" w:cs="Arial"/>
                <w:sz w:val="20"/>
                <w:szCs w:val="20"/>
              </w:rPr>
            </w:pPr>
            <w:r w:rsidRPr="00585F9C">
              <w:rPr>
                <w:rFonts w:ascii="Arial" w:hAnsi="Arial" w:cs="Arial"/>
                <w:sz w:val="20"/>
                <w:szCs w:val="20"/>
              </w:rPr>
              <w:t>Presidencia</w:t>
            </w:r>
          </w:p>
        </w:tc>
      </w:tr>
      <w:tr w:rsidR="00585F9C" w:rsidRPr="00585F9C" w14:paraId="2FC7699B" w14:textId="77777777" w:rsidTr="00DF0B6D">
        <w:tc>
          <w:tcPr>
            <w:tcW w:w="3489" w:type="dxa"/>
            <w:vAlign w:val="center"/>
          </w:tcPr>
          <w:p w14:paraId="67444AE4" w14:textId="2B92F2D3" w:rsidR="008B2935" w:rsidRPr="00585F9C" w:rsidRDefault="00585F9C" w:rsidP="006C44A4">
            <w:pPr>
              <w:spacing w:before="40" w:after="40"/>
              <w:rPr>
                <w:rFonts w:ascii="Arial" w:hAnsi="Arial" w:cs="Arial"/>
                <w:sz w:val="20"/>
                <w:szCs w:val="20"/>
              </w:rPr>
            </w:pPr>
            <w:r w:rsidRPr="00585F9C">
              <w:rPr>
                <w:rFonts w:ascii="Arial" w:hAnsi="Arial" w:cs="Arial"/>
                <w:sz w:val="20"/>
                <w:szCs w:val="20"/>
              </w:rPr>
              <w:t>Técnico</w:t>
            </w:r>
          </w:p>
        </w:tc>
        <w:tc>
          <w:tcPr>
            <w:tcW w:w="2890" w:type="dxa"/>
            <w:vAlign w:val="center"/>
          </w:tcPr>
          <w:p w14:paraId="41FA0610" w14:textId="591815E1" w:rsidR="008B2935" w:rsidRPr="00585F9C" w:rsidRDefault="00585F9C" w:rsidP="006C44A4">
            <w:pPr>
              <w:spacing w:before="40" w:after="40"/>
              <w:rPr>
                <w:rFonts w:ascii="Arial" w:hAnsi="Arial" w:cs="Arial"/>
                <w:sz w:val="20"/>
                <w:szCs w:val="20"/>
              </w:rPr>
            </w:pPr>
            <w:r w:rsidRPr="00585F9C">
              <w:rPr>
                <w:rFonts w:ascii="Arial" w:hAnsi="Arial" w:cs="Arial"/>
                <w:sz w:val="20"/>
                <w:szCs w:val="20"/>
              </w:rPr>
              <w:t>Presidencia</w:t>
            </w:r>
          </w:p>
        </w:tc>
      </w:tr>
      <w:tr w:rsidR="00585F9C" w:rsidRPr="00585F9C" w14:paraId="1548ECEA" w14:textId="77777777" w:rsidTr="00DF0B6D">
        <w:tc>
          <w:tcPr>
            <w:tcW w:w="3489" w:type="dxa"/>
            <w:vAlign w:val="center"/>
          </w:tcPr>
          <w:p w14:paraId="102B3854" w14:textId="47E8195A" w:rsidR="008B2935" w:rsidRPr="00585F9C" w:rsidRDefault="00585F9C" w:rsidP="006C44A4">
            <w:pPr>
              <w:spacing w:before="40" w:after="40"/>
              <w:rPr>
                <w:rFonts w:ascii="Arial" w:hAnsi="Arial" w:cs="Arial"/>
                <w:sz w:val="20"/>
                <w:szCs w:val="20"/>
              </w:rPr>
            </w:pPr>
            <w:r w:rsidRPr="00585F9C">
              <w:rPr>
                <w:rFonts w:ascii="Arial" w:hAnsi="Arial" w:cs="Arial"/>
                <w:sz w:val="20"/>
                <w:szCs w:val="20"/>
              </w:rPr>
              <w:t>Secretaría Técnica</w:t>
            </w:r>
          </w:p>
        </w:tc>
        <w:tc>
          <w:tcPr>
            <w:tcW w:w="2890" w:type="dxa"/>
            <w:vAlign w:val="center"/>
          </w:tcPr>
          <w:p w14:paraId="651C99E6" w14:textId="272A745A" w:rsidR="008B2935" w:rsidRPr="00585F9C" w:rsidRDefault="003B5AED" w:rsidP="006C44A4">
            <w:pPr>
              <w:spacing w:before="40" w:after="40"/>
              <w:rPr>
                <w:rFonts w:ascii="Arial" w:hAnsi="Arial" w:cs="Arial"/>
                <w:sz w:val="20"/>
                <w:szCs w:val="20"/>
              </w:rPr>
            </w:pPr>
            <w:r>
              <w:rPr>
                <w:rFonts w:ascii="Arial" w:hAnsi="Arial" w:cs="Arial"/>
                <w:sz w:val="20"/>
                <w:szCs w:val="20"/>
              </w:rPr>
              <w:t>Presidencia</w:t>
            </w:r>
          </w:p>
        </w:tc>
      </w:tr>
    </w:tbl>
    <w:p w14:paraId="4860D565" w14:textId="6B2CF1C0" w:rsidR="00154312" w:rsidRPr="00585F9C" w:rsidRDefault="00154312" w:rsidP="00E867D6">
      <w:pPr>
        <w:spacing w:before="0" w:after="0"/>
        <w:rPr>
          <w:rFonts w:ascii="Arial" w:hAnsi="Arial" w:cs="Arial"/>
          <w:sz w:val="23"/>
          <w:szCs w:val="23"/>
        </w:rPr>
      </w:pPr>
    </w:p>
    <w:p w14:paraId="1D9E5B28" w14:textId="2F44EEC3" w:rsidR="00E867D6" w:rsidRDefault="00E867D6" w:rsidP="00E867D6">
      <w:pPr>
        <w:pStyle w:val="Ttulo1"/>
        <w:spacing w:before="0" w:after="0" w:line="276" w:lineRule="auto"/>
        <w:ind w:left="791"/>
        <w:jc w:val="both"/>
        <w:rPr>
          <w:rFonts w:cs="Arial"/>
          <w:color w:val="auto"/>
          <w:sz w:val="24"/>
          <w:szCs w:val="24"/>
        </w:rPr>
      </w:pPr>
    </w:p>
    <w:p w14:paraId="34D48C29" w14:textId="77777777" w:rsidR="004D71A9" w:rsidRDefault="004D71A9" w:rsidP="004D71A9">
      <w:pPr>
        <w:pStyle w:val="Ttulo1"/>
        <w:spacing w:before="0" w:after="0" w:line="276" w:lineRule="auto"/>
        <w:ind w:left="791"/>
        <w:jc w:val="both"/>
        <w:rPr>
          <w:rFonts w:cs="Arial"/>
          <w:color w:val="auto"/>
          <w:sz w:val="24"/>
          <w:szCs w:val="24"/>
        </w:rPr>
      </w:pPr>
    </w:p>
    <w:p w14:paraId="45E760D4" w14:textId="27A30A72" w:rsidR="00154312" w:rsidRDefault="00E867D6" w:rsidP="00E867D6">
      <w:pPr>
        <w:pStyle w:val="Ttulo1"/>
        <w:numPr>
          <w:ilvl w:val="0"/>
          <w:numId w:val="6"/>
        </w:numPr>
        <w:spacing w:before="0" w:after="0" w:line="276" w:lineRule="auto"/>
        <w:rPr>
          <w:rFonts w:cs="Arial"/>
          <w:color w:val="auto"/>
          <w:sz w:val="24"/>
          <w:szCs w:val="24"/>
        </w:rPr>
      </w:pPr>
      <w:r>
        <w:rPr>
          <w:rFonts w:cs="Arial"/>
          <w:color w:val="auto"/>
          <w:sz w:val="24"/>
          <w:szCs w:val="24"/>
        </w:rPr>
        <w:t xml:space="preserve"> </w:t>
      </w:r>
      <w:r w:rsidR="00154312" w:rsidRPr="00FA2B26">
        <w:rPr>
          <w:rFonts w:cs="Arial"/>
          <w:color w:val="auto"/>
          <w:sz w:val="24"/>
          <w:szCs w:val="24"/>
        </w:rPr>
        <w:t>Considerando</w:t>
      </w:r>
    </w:p>
    <w:p w14:paraId="5A2B327A" w14:textId="396B53AF" w:rsidR="00E867D6" w:rsidRDefault="00E867D6" w:rsidP="00E867D6">
      <w:pPr>
        <w:spacing w:before="0" w:after="0"/>
      </w:pPr>
    </w:p>
    <w:p w14:paraId="587A7663" w14:textId="5D48013A" w:rsidR="00154312" w:rsidRPr="00FA2B26" w:rsidRDefault="00E867D6" w:rsidP="00E867D6">
      <w:pPr>
        <w:pStyle w:val="Ttulo2"/>
        <w:spacing w:before="0" w:after="0" w:line="276" w:lineRule="auto"/>
        <w:rPr>
          <w:rFonts w:cs="Arial"/>
          <w:color w:val="auto"/>
          <w:sz w:val="22"/>
        </w:rPr>
      </w:pPr>
      <w:r>
        <w:rPr>
          <w:rFonts w:cs="Arial"/>
          <w:color w:val="auto"/>
          <w:sz w:val="22"/>
        </w:rPr>
        <w:t xml:space="preserve">2.1 </w:t>
      </w:r>
      <w:r w:rsidR="00154312" w:rsidRPr="00FA2B26">
        <w:rPr>
          <w:rFonts w:cs="Arial"/>
          <w:color w:val="auto"/>
          <w:sz w:val="22"/>
        </w:rPr>
        <w:t>Competencia de la Junta Ejecutiva</w:t>
      </w:r>
    </w:p>
    <w:p w14:paraId="6D1C97D8" w14:textId="77777777" w:rsidR="00154312" w:rsidRPr="00E867D6" w:rsidRDefault="00154312" w:rsidP="00E867D6">
      <w:pPr>
        <w:spacing w:before="100" w:beforeAutospacing="1" w:after="0"/>
        <w:rPr>
          <w:rFonts w:ascii="Arial" w:hAnsi="Arial" w:cs="Arial"/>
          <w:sz w:val="22"/>
        </w:rPr>
      </w:pPr>
      <w:r w:rsidRPr="00E867D6">
        <w:rPr>
          <w:rFonts w:ascii="Arial" w:hAnsi="Arial" w:cs="Arial"/>
          <w:sz w:val="22"/>
        </w:rPr>
        <w:t>De acuerdo con el artículo 118 de la Ley Electoral se establece que la Junta Ejecutiva, será presidida por la Consejera o el Consejero Presidente y se integrará con la Secretaría Ejecutiva y con las personas titulares de las Direcciones de Organización Electoral y Educación Cívica; y de Administración. Además, sus atribuciones se prevén en los artículos119 de la Ley Electoral.</w:t>
      </w:r>
    </w:p>
    <w:p w14:paraId="7CFA182D" w14:textId="625D1C30" w:rsidR="00154312" w:rsidRPr="00E867D6" w:rsidRDefault="00154312" w:rsidP="00154312">
      <w:pPr>
        <w:rPr>
          <w:sz w:val="22"/>
        </w:rPr>
      </w:pPr>
      <w:r w:rsidRPr="00E867D6">
        <w:rPr>
          <w:rFonts w:ascii="Arial" w:hAnsi="Arial" w:cs="Arial"/>
          <w:sz w:val="22"/>
        </w:rPr>
        <w:t xml:space="preserve">Por otra parte, el artículo 16, fracción VI del Reglamento Interior </w:t>
      </w:r>
      <w:r w:rsidR="00FA2B26" w:rsidRPr="00E867D6">
        <w:rPr>
          <w:rFonts w:ascii="Arial" w:hAnsi="Arial" w:cs="Arial"/>
          <w:sz w:val="22"/>
        </w:rPr>
        <w:t>dispone</w:t>
      </w:r>
      <w:r w:rsidRPr="00E867D6">
        <w:rPr>
          <w:rFonts w:ascii="Arial" w:hAnsi="Arial" w:cs="Arial"/>
          <w:sz w:val="22"/>
        </w:rPr>
        <w:t xml:space="preserve"> que corresponde a la Junta Ejecutiva la designación del personal del Instituto con excepción de aquellos previstos en el Reglamento de Elecciones y del Servicio Profesional Electoral Nacional, conforme a las disposiciones aplicables.</w:t>
      </w:r>
    </w:p>
    <w:p w14:paraId="217E66F8" w14:textId="77777777" w:rsidR="00154312" w:rsidRPr="00E867D6" w:rsidRDefault="00154312" w:rsidP="00154312">
      <w:pPr>
        <w:spacing w:line="276" w:lineRule="auto"/>
        <w:rPr>
          <w:rFonts w:ascii="Arial" w:hAnsi="Arial" w:cs="Arial"/>
          <w:sz w:val="22"/>
        </w:rPr>
      </w:pPr>
      <w:r w:rsidRPr="00E867D6">
        <w:rPr>
          <w:rFonts w:ascii="Arial" w:hAnsi="Arial" w:cs="Arial"/>
          <w:sz w:val="22"/>
        </w:rPr>
        <w:t>Asu vez,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 de lo anterior, si bien de manera expresa no se indica que es para la Junta Ejecutiva, se puede advertir que de manera tácita le es aplicable a la misma, esto es así ya que la toma de decisiones que realice debe constar en acuerdos para su cumplimiento, lo cual se advierte en las facultades y obligaciones que le corresponden a la Coordinación Técnica, previstas en el artículo 19 del Reglamento Interior en el que se hace referencia a las obligaciones que tiene tanto para los acuerdos del Consejo Estatal como los de la Junta Ejecutiva.</w:t>
      </w:r>
    </w:p>
    <w:p w14:paraId="0940EBDF" w14:textId="42DFDE47" w:rsidR="00154312" w:rsidRPr="00E867D6" w:rsidRDefault="00154312" w:rsidP="00E867D6">
      <w:pPr>
        <w:pStyle w:val="Ttulo2"/>
        <w:numPr>
          <w:ilvl w:val="1"/>
          <w:numId w:val="6"/>
        </w:numPr>
        <w:spacing w:line="276" w:lineRule="auto"/>
        <w:ind w:left="284"/>
        <w:rPr>
          <w:rFonts w:cs="Arial"/>
          <w:color w:val="auto"/>
          <w:sz w:val="22"/>
          <w:szCs w:val="22"/>
        </w:rPr>
      </w:pPr>
      <w:r w:rsidRPr="00E867D6">
        <w:rPr>
          <w:rFonts w:cs="Arial"/>
          <w:color w:val="auto"/>
          <w:sz w:val="22"/>
          <w:szCs w:val="22"/>
        </w:rPr>
        <w:lastRenderedPageBreak/>
        <w:t>Estructura organizacional del Instituto</w:t>
      </w:r>
    </w:p>
    <w:p w14:paraId="1AA59132" w14:textId="77777777" w:rsidR="00154312" w:rsidRPr="00E867D6" w:rsidRDefault="00154312" w:rsidP="00154312">
      <w:pPr>
        <w:spacing w:line="276" w:lineRule="auto"/>
        <w:rPr>
          <w:rFonts w:ascii="Arial" w:hAnsi="Arial" w:cs="Arial"/>
          <w:sz w:val="22"/>
        </w:rPr>
      </w:pPr>
      <w:r w:rsidRPr="00E867D6">
        <w:rPr>
          <w:rFonts w:ascii="Arial" w:hAnsi="Arial" w:cs="Arial"/>
          <w:sz w:val="22"/>
        </w:rPr>
        <w:t>Que, a partir de la aprobación del Reglamento Interior, referida en los antecedentes, se determinó la estructura organizacional del Instituto, de la siguiente manera:</w:t>
      </w:r>
    </w:p>
    <w:p w14:paraId="5CBFF411" w14:textId="77777777" w:rsidR="00154312" w:rsidRPr="00E867D6" w:rsidRDefault="00154312" w:rsidP="00154312">
      <w:pPr>
        <w:pStyle w:val="Prrafodelista"/>
        <w:numPr>
          <w:ilvl w:val="0"/>
          <w:numId w:val="1"/>
        </w:numPr>
        <w:spacing w:line="276" w:lineRule="auto"/>
        <w:rPr>
          <w:rFonts w:ascii="Arial" w:hAnsi="Arial" w:cs="Arial"/>
          <w:b/>
          <w:bCs/>
          <w:sz w:val="22"/>
        </w:rPr>
      </w:pPr>
      <w:r w:rsidRPr="00E867D6">
        <w:rPr>
          <w:rFonts w:ascii="Arial" w:hAnsi="Arial" w:cs="Arial"/>
          <w:b/>
          <w:bCs/>
          <w:sz w:val="22"/>
        </w:rPr>
        <w:t>Presidencia del Instituto</w:t>
      </w:r>
    </w:p>
    <w:p w14:paraId="4B032643"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Secretaría Particular;</w:t>
      </w:r>
    </w:p>
    <w:p w14:paraId="52DFBC5E"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de Asesores;</w:t>
      </w:r>
    </w:p>
    <w:p w14:paraId="6C4A4ECB"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Secretaría Técnica;</w:t>
      </w:r>
    </w:p>
    <w:p w14:paraId="79BDAA1E"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Unidad de Igualdad de Género y No Discriminación</w:t>
      </w:r>
    </w:p>
    <w:p w14:paraId="7C344225"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Unidad de Comunicación Social;</w:t>
      </w:r>
    </w:p>
    <w:p w14:paraId="7BDA9261"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Unidad de Transparencia y Acceso a la Información Pública; y</w:t>
      </w:r>
    </w:p>
    <w:p w14:paraId="0B2E86B5"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Unidad de Logística.</w:t>
      </w:r>
    </w:p>
    <w:p w14:paraId="12F27DC9" w14:textId="77777777" w:rsidR="00154312" w:rsidRPr="00E867D6" w:rsidRDefault="00154312" w:rsidP="00154312">
      <w:pPr>
        <w:pStyle w:val="Prrafodelista"/>
        <w:numPr>
          <w:ilvl w:val="0"/>
          <w:numId w:val="1"/>
        </w:numPr>
        <w:spacing w:before="480" w:after="0" w:line="276" w:lineRule="auto"/>
        <w:ind w:left="714" w:hanging="357"/>
        <w:contextualSpacing w:val="0"/>
        <w:rPr>
          <w:rFonts w:ascii="Arial" w:hAnsi="Arial" w:cs="Arial"/>
          <w:b/>
          <w:bCs/>
          <w:sz w:val="22"/>
        </w:rPr>
      </w:pPr>
      <w:r w:rsidRPr="00E867D6">
        <w:rPr>
          <w:rFonts w:ascii="Arial" w:hAnsi="Arial" w:cs="Arial"/>
          <w:b/>
          <w:bCs/>
          <w:sz w:val="22"/>
        </w:rPr>
        <w:t>Órgano Técnico de Fiscalización</w:t>
      </w:r>
    </w:p>
    <w:p w14:paraId="7BD04C0D"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 xml:space="preserve">Coordinación de Normatividad, Archivo, Quejas y Denuncias en materia de fiscalización; y </w:t>
      </w:r>
    </w:p>
    <w:p w14:paraId="01028C3B"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de Fiscalización, Auditoria, Multas y Sanciones.</w:t>
      </w:r>
    </w:p>
    <w:p w14:paraId="59CA7080" w14:textId="77777777" w:rsidR="00154312" w:rsidRPr="00E867D6" w:rsidRDefault="00154312" w:rsidP="00154312">
      <w:pPr>
        <w:pStyle w:val="Prrafodelista"/>
        <w:numPr>
          <w:ilvl w:val="0"/>
          <w:numId w:val="1"/>
        </w:numPr>
        <w:spacing w:before="480" w:after="0" w:line="276" w:lineRule="auto"/>
        <w:ind w:left="714" w:hanging="357"/>
        <w:contextualSpacing w:val="0"/>
        <w:rPr>
          <w:rFonts w:ascii="Arial" w:hAnsi="Arial" w:cs="Arial"/>
          <w:b/>
          <w:bCs/>
          <w:sz w:val="22"/>
        </w:rPr>
      </w:pPr>
      <w:r w:rsidRPr="00E867D6">
        <w:rPr>
          <w:rFonts w:ascii="Arial" w:hAnsi="Arial" w:cs="Arial"/>
          <w:b/>
          <w:bCs/>
          <w:sz w:val="22"/>
        </w:rPr>
        <w:t>Secretaría Ejecutiva</w:t>
      </w:r>
    </w:p>
    <w:p w14:paraId="464AB9C4"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Secretaría Particular;</w:t>
      </w:r>
    </w:p>
    <w:p w14:paraId="3BC55C49"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Técnica;</w:t>
      </w:r>
    </w:p>
    <w:p w14:paraId="1D722C52"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de lo Contencioso Electoral;</w:t>
      </w:r>
    </w:p>
    <w:p w14:paraId="401B0A6C"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de Oficialía Electoral;</w:t>
      </w:r>
    </w:p>
    <w:p w14:paraId="686BB9C2"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de Vinculación con el INE;</w:t>
      </w:r>
    </w:p>
    <w:p w14:paraId="07C2303B"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de Archivo;</w:t>
      </w:r>
    </w:p>
    <w:p w14:paraId="3FC0F85D"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Unidad de Planeación y Evaluación;</w:t>
      </w:r>
    </w:p>
    <w:p w14:paraId="6904D2B6"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Unidad de Tecnologías de la Información y Comunicación.</w:t>
      </w:r>
    </w:p>
    <w:p w14:paraId="79148288" w14:textId="77777777" w:rsidR="00154312" w:rsidRPr="00E867D6" w:rsidRDefault="00154312" w:rsidP="00154312">
      <w:pPr>
        <w:pStyle w:val="Prrafodelista"/>
        <w:numPr>
          <w:ilvl w:val="0"/>
          <w:numId w:val="1"/>
        </w:numPr>
        <w:spacing w:before="480" w:after="0" w:line="276" w:lineRule="auto"/>
        <w:ind w:left="714" w:hanging="357"/>
        <w:contextualSpacing w:val="0"/>
        <w:rPr>
          <w:rFonts w:ascii="Arial" w:hAnsi="Arial" w:cs="Arial"/>
          <w:b/>
          <w:bCs/>
          <w:sz w:val="22"/>
        </w:rPr>
      </w:pPr>
      <w:r w:rsidRPr="00E867D6">
        <w:rPr>
          <w:rFonts w:ascii="Arial" w:hAnsi="Arial" w:cs="Arial"/>
          <w:b/>
          <w:bCs/>
          <w:sz w:val="22"/>
        </w:rPr>
        <w:t>Dirección de Organización Electoral y Educación Cívica</w:t>
      </w:r>
    </w:p>
    <w:p w14:paraId="22E08342"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de Organización Electoral;</w:t>
      </w:r>
    </w:p>
    <w:p w14:paraId="1A184B87"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de Educación Cívica;</w:t>
      </w:r>
    </w:p>
    <w:p w14:paraId="311637A3"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 xml:space="preserve">Coordinación de Participación Ciudadana; y </w:t>
      </w:r>
    </w:p>
    <w:p w14:paraId="3C612788"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de Prerrogativas y Partidos Políticos.</w:t>
      </w:r>
    </w:p>
    <w:p w14:paraId="76365289" w14:textId="77777777" w:rsidR="00154312" w:rsidRPr="00E867D6" w:rsidRDefault="00154312" w:rsidP="00154312">
      <w:pPr>
        <w:pStyle w:val="Prrafodelista"/>
        <w:numPr>
          <w:ilvl w:val="0"/>
          <w:numId w:val="1"/>
        </w:numPr>
        <w:spacing w:before="480" w:after="0" w:line="276" w:lineRule="auto"/>
        <w:ind w:left="714" w:hanging="357"/>
        <w:contextualSpacing w:val="0"/>
        <w:rPr>
          <w:rFonts w:ascii="Arial" w:hAnsi="Arial" w:cs="Arial"/>
          <w:b/>
          <w:bCs/>
          <w:sz w:val="22"/>
        </w:rPr>
      </w:pPr>
      <w:r w:rsidRPr="00E867D6">
        <w:rPr>
          <w:rFonts w:ascii="Arial" w:hAnsi="Arial" w:cs="Arial"/>
          <w:b/>
          <w:bCs/>
          <w:sz w:val="22"/>
        </w:rPr>
        <w:t>Dirección de Administración</w:t>
      </w:r>
    </w:p>
    <w:p w14:paraId="1D095293"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Subdirección de Administración;</w:t>
      </w:r>
    </w:p>
    <w:p w14:paraId="09B18E2C"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de Recursos Financieros;</w:t>
      </w:r>
    </w:p>
    <w:p w14:paraId="7BA7ED5F"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de Recursos Humanos;</w:t>
      </w:r>
    </w:p>
    <w:p w14:paraId="744A48F9"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de Recursos Materiales;</w:t>
      </w:r>
    </w:p>
    <w:p w14:paraId="60DE7536"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de Servicios Generales; y</w:t>
      </w:r>
    </w:p>
    <w:p w14:paraId="51438317"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lastRenderedPageBreak/>
        <w:t>Coordinación de Almacén.</w:t>
      </w:r>
    </w:p>
    <w:p w14:paraId="2608E778" w14:textId="77777777" w:rsidR="00154312" w:rsidRPr="00E867D6" w:rsidRDefault="00154312" w:rsidP="00154312">
      <w:pPr>
        <w:pStyle w:val="Prrafodelista"/>
        <w:numPr>
          <w:ilvl w:val="0"/>
          <w:numId w:val="1"/>
        </w:numPr>
        <w:spacing w:before="480" w:after="0" w:line="276" w:lineRule="auto"/>
        <w:ind w:left="714" w:hanging="357"/>
        <w:contextualSpacing w:val="0"/>
        <w:rPr>
          <w:rFonts w:ascii="Arial" w:hAnsi="Arial" w:cs="Arial"/>
          <w:b/>
          <w:bCs/>
          <w:sz w:val="22"/>
        </w:rPr>
      </w:pPr>
      <w:r w:rsidRPr="00E867D6">
        <w:rPr>
          <w:rFonts w:ascii="Arial" w:hAnsi="Arial" w:cs="Arial"/>
          <w:b/>
          <w:bCs/>
          <w:sz w:val="22"/>
        </w:rPr>
        <w:t>Dirección Jurídica</w:t>
      </w:r>
    </w:p>
    <w:p w14:paraId="3EA49F77" w14:textId="77777777" w:rsidR="00154312" w:rsidRPr="00E867D6" w:rsidRDefault="00154312" w:rsidP="00154312">
      <w:pPr>
        <w:pStyle w:val="Prrafodelista"/>
        <w:numPr>
          <w:ilvl w:val="1"/>
          <w:numId w:val="1"/>
        </w:numPr>
        <w:spacing w:line="276" w:lineRule="auto"/>
        <w:rPr>
          <w:rFonts w:ascii="Arial" w:hAnsi="Arial" w:cs="Arial"/>
          <w:sz w:val="22"/>
        </w:rPr>
      </w:pPr>
      <w:r w:rsidRPr="00E867D6">
        <w:rPr>
          <w:rFonts w:ascii="Arial" w:hAnsi="Arial" w:cs="Arial"/>
          <w:sz w:val="22"/>
        </w:rPr>
        <w:t>Coordinación Jurídica</w:t>
      </w:r>
    </w:p>
    <w:p w14:paraId="4C866CE6" w14:textId="77777777" w:rsidR="00154312" w:rsidRPr="00E867D6" w:rsidRDefault="00154312" w:rsidP="00154312">
      <w:pPr>
        <w:spacing w:after="0"/>
        <w:rPr>
          <w:sz w:val="22"/>
        </w:rPr>
      </w:pPr>
      <w:r w:rsidRPr="00E867D6">
        <w:rPr>
          <w:rFonts w:ascii="Arial" w:hAnsi="Arial" w:cs="Arial"/>
          <w:sz w:val="22"/>
        </w:rPr>
        <w:t>Cabe mencionar que, la Coordinación de lo Contencioso Electoral, de Vinculación con el INE y la totalidad de las Coordinaciones adscritas a la Dirección de Organización Electoral y Educación Cívica forman parte del Servicio Profesional Electoral Nacional, por lo que, su designación está sujeta a las reglas y criterios que al efecto emita el INE. Asimismo, las unidades administrativas señaladas cuentan con personal técnico para el desarrollo de sus funciones y actividades.</w:t>
      </w:r>
    </w:p>
    <w:p w14:paraId="5C0C9722" w14:textId="0DB97C63" w:rsidR="00154312" w:rsidRPr="00E867D6" w:rsidRDefault="00E867D6" w:rsidP="00E867D6">
      <w:pPr>
        <w:pStyle w:val="Ttulo2"/>
        <w:spacing w:line="276" w:lineRule="auto"/>
        <w:rPr>
          <w:rFonts w:cs="Arial"/>
          <w:sz w:val="22"/>
          <w:szCs w:val="22"/>
        </w:rPr>
      </w:pPr>
      <w:r>
        <w:rPr>
          <w:rFonts w:cs="Arial"/>
          <w:color w:val="auto"/>
          <w:sz w:val="22"/>
          <w:szCs w:val="22"/>
        </w:rPr>
        <w:t xml:space="preserve">2.3 </w:t>
      </w:r>
      <w:r w:rsidR="008B14E8" w:rsidRPr="00E867D6">
        <w:rPr>
          <w:rFonts w:cs="Arial"/>
          <w:color w:val="auto"/>
          <w:sz w:val="22"/>
          <w:szCs w:val="22"/>
        </w:rPr>
        <w:t>Designación de servidoras y servidores públicos</w:t>
      </w:r>
      <w:r w:rsidR="00154312" w:rsidRPr="00E867D6">
        <w:rPr>
          <w:rFonts w:cs="Arial"/>
          <w:sz w:val="22"/>
          <w:szCs w:val="22"/>
        </w:rPr>
        <w:t xml:space="preserve"> </w:t>
      </w:r>
    </w:p>
    <w:p w14:paraId="63E760DA" w14:textId="79EE702D" w:rsidR="008B14E8" w:rsidRPr="00E867D6" w:rsidRDefault="008B14E8" w:rsidP="008B14E8">
      <w:pPr>
        <w:rPr>
          <w:rFonts w:ascii="Arial" w:hAnsi="Arial" w:cs="Arial"/>
          <w:sz w:val="22"/>
        </w:rPr>
      </w:pPr>
      <w:r w:rsidRPr="00E867D6">
        <w:rPr>
          <w:rFonts w:ascii="Arial" w:hAnsi="Arial" w:cs="Arial"/>
          <w:sz w:val="22"/>
        </w:rPr>
        <w:t>Que, en virtud de las vacantes</w:t>
      </w:r>
      <w:r w:rsidR="00FA2B26" w:rsidRPr="00E867D6">
        <w:rPr>
          <w:rFonts w:ascii="Arial" w:hAnsi="Arial" w:cs="Arial"/>
          <w:sz w:val="22"/>
        </w:rPr>
        <w:t xml:space="preserve"> de Presidencia</w:t>
      </w:r>
      <w:r w:rsidRPr="00E867D6">
        <w:rPr>
          <w:rFonts w:ascii="Arial" w:hAnsi="Arial" w:cs="Arial"/>
          <w:sz w:val="22"/>
        </w:rPr>
        <w:t>, resulta</w:t>
      </w:r>
      <w:r w:rsidR="003B5AED" w:rsidRPr="00E867D6">
        <w:rPr>
          <w:rFonts w:ascii="Arial" w:hAnsi="Arial" w:cs="Arial"/>
          <w:sz w:val="22"/>
        </w:rPr>
        <w:t>n</w:t>
      </w:r>
      <w:r w:rsidRPr="00E867D6">
        <w:rPr>
          <w:rFonts w:ascii="Arial" w:hAnsi="Arial" w:cs="Arial"/>
          <w:sz w:val="22"/>
        </w:rPr>
        <w:t xml:space="preserve"> necesaria la designación de las personas que deberán continuar ejerciendo las funciones y auxiliando a las áreas administrativas mencionadas.</w:t>
      </w:r>
    </w:p>
    <w:p w14:paraId="572FE7F6" w14:textId="36072D46" w:rsidR="00154312" w:rsidRPr="00FA2B26" w:rsidRDefault="008B14E8" w:rsidP="008B14E8">
      <w:pPr>
        <w:rPr>
          <w:rFonts w:ascii="Arial" w:hAnsi="Arial" w:cs="Arial"/>
        </w:rPr>
      </w:pPr>
      <w:r w:rsidRPr="00E867D6">
        <w:rPr>
          <w:rFonts w:ascii="Arial" w:hAnsi="Arial" w:cs="Arial"/>
          <w:sz w:val="22"/>
        </w:rPr>
        <w:t>En ese contexto, de conformidad con el artículo 116 de la Ley Electoral, la Presidencia en coordinación con las y los titulares de los órganos centrales, propuso a las siguientes personas para cubrir las vacantes señaladas de acuerdo con lo siguiente</w:t>
      </w:r>
      <w:r w:rsidRPr="00FA2B26">
        <w:rPr>
          <w:rFonts w:ascii="Arial" w:hAnsi="Arial" w:cs="Arial"/>
          <w:sz w:val="23"/>
          <w:szCs w:val="23"/>
        </w:rPr>
        <w:t>:</w:t>
      </w:r>
    </w:p>
    <w:tbl>
      <w:tblPr>
        <w:tblStyle w:val="Tablaconcuadrcula"/>
        <w:tblW w:w="0" w:type="auto"/>
        <w:tblLook w:val="04A0" w:firstRow="1" w:lastRow="0" w:firstColumn="1" w:lastColumn="0" w:noHBand="0" w:noVBand="1"/>
      </w:tblPr>
      <w:tblGrid>
        <w:gridCol w:w="3569"/>
        <w:gridCol w:w="2518"/>
        <w:gridCol w:w="2550"/>
      </w:tblGrid>
      <w:tr w:rsidR="00154312" w:rsidRPr="00CC67E2" w14:paraId="4DF17B30" w14:textId="77777777" w:rsidTr="006C44A4">
        <w:tc>
          <w:tcPr>
            <w:tcW w:w="3569" w:type="dxa"/>
            <w:shd w:val="clear" w:color="auto" w:fill="993366"/>
            <w:vAlign w:val="center"/>
          </w:tcPr>
          <w:p w14:paraId="63E2A0EE" w14:textId="77777777" w:rsidR="00154312" w:rsidRPr="0078771A" w:rsidRDefault="00154312" w:rsidP="006C44A4">
            <w:pPr>
              <w:spacing w:before="40" w:after="40" w:line="276" w:lineRule="auto"/>
              <w:jc w:val="center"/>
              <w:rPr>
                <w:rFonts w:ascii="Arial" w:hAnsi="Arial" w:cs="Arial"/>
                <w:b/>
                <w:color w:val="FFFFFF" w:themeColor="background1"/>
                <w:sz w:val="20"/>
                <w:szCs w:val="24"/>
              </w:rPr>
            </w:pPr>
            <w:r w:rsidRPr="0078771A">
              <w:rPr>
                <w:rFonts w:ascii="Arial" w:hAnsi="Arial" w:cs="Arial"/>
                <w:b/>
                <w:color w:val="FFFFFF" w:themeColor="background1"/>
                <w:sz w:val="20"/>
                <w:szCs w:val="24"/>
              </w:rPr>
              <w:t>Nombre</w:t>
            </w:r>
          </w:p>
        </w:tc>
        <w:tc>
          <w:tcPr>
            <w:tcW w:w="2518" w:type="dxa"/>
            <w:shd w:val="clear" w:color="auto" w:fill="993366"/>
            <w:vAlign w:val="center"/>
          </w:tcPr>
          <w:p w14:paraId="0844BF21" w14:textId="77777777" w:rsidR="00154312" w:rsidRPr="0078771A" w:rsidRDefault="00154312" w:rsidP="006C44A4">
            <w:pPr>
              <w:spacing w:before="40" w:after="40" w:line="276" w:lineRule="auto"/>
              <w:jc w:val="center"/>
              <w:rPr>
                <w:rFonts w:ascii="Arial" w:hAnsi="Arial" w:cs="Arial"/>
                <w:b/>
                <w:color w:val="FFFFFF" w:themeColor="background1"/>
                <w:sz w:val="20"/>
                <w:szCs w:val="24"/>
              </w:rPr>
            </w:pPr>
            <w:r w:rsidRPr="0078771A">
              <w:rPr>
                <w:rFonts w:ascii="Arial" w:hAnsi="Arial" w:cs="Arial"/>
                <w:b/>
                <w:color w:val="FFFFFF" w:themeColor="background1"/>
                <w:sz w:val="20"/>
                <w:szCs w:val="24"/>
              </w:rPr>
              <w:t>Cargo/Categoría</w:t>
            </w:r>
          </w:p>
        </w:tc>
        <w:tc>
          <w:tcPr>
            <w:tcW w:w="2550" w:type="dxa"/>
            <w:shd w:val="clear" w:color="auto" w:fill="993366"/>
            <w:vAlign w:val="center"/>
          </w:tcPr>
          <w:p w14:paraId="50650158" w14:textId="77777777" w:rsidR="00154312" w:rsidRPr="0078771A" w:rsidRDefault="00154312" w:rsidP="006C44A4">
            <w:pPr>
              <w:spacing w:before="40" w:after="40" w:line="276" w:lineRule="auto"/>
              <w:jc w:val="center"/>
              <w:rPr>
                <w:rFonts w:ascii="Arial" w:hAnsi="Arial" w:cs="Arial"/>
                <w:b/>
                <w:color w:val="FFFFFF" w:themeColor="background1"/>
                <w:sz w:val="20"/>
                <w:szCs w:val="24"/>
              </w:rPr>
            </w:pPr>
            <w:r w:rsidRPr="0078771A">
              <w:rPr>
                <w:rFonts w:ascii="Arial" w:hAnsi="Arial" w:cs="Arial"/>
                <w:b/>
                <w:color w:val="FFFFFF" w:themeColor="background1"/>
                <w:sz w:val="20"/>
                <w:szCs w:val="24"/>
              </w:rPr>
              <w:t>Adscripción</w:t>
            </w:r>
          </w:p>
        </w:tc>
      </w:tr>
      <w:tr w:rsidR="00154312" w:rsidRPr="00CC67E2" w14:paraId="170B5B10" w14:textId="77777777" w:rsidTr="006C44A4">
        <w:tc>
          <w:tcPr>
            <w:tcW w:w="3569" w:type="dxa"/>
            <w:vAlign w:val="center"/>
          </w:tcPr>
          <w:p w14:paraId="440FC1B2" w14:textId="50F6269D" w:rsidR="00154312" w:rsidRPr="00CC67E2" w:rsidRDefault="00FA2B26" w:rsidP="006C44A4">
            <w:pPr>
              <w:spacing w:before="40" w:after="40" w:line="276" w:lineRule="auto"/>
              <w:rPr>
                <w:rFonts w:ascii="Arial" w:hAnsi="Arial" w:cs="Arial"/>
                <w:color w:val="000000" w:themeColor="text1"/>
                <w:sz w:val="20"/>
                <w:szCs w:val="24"/>
              </w:rPr>
            </w:pPr>
            <w:r>
              <w:rPr>
                <w:rFonts w:ascii="Arial" w:hAnsi="Arial" w:cs="Arial"/>
                <w:color w:val="000000" w:themeColor="text1"/>
                <w:sz w:val="20"/>
                <w:szCs w:val="24"/>
              </w:rPr>
              <w:t>Maria del Carmen Álvarez Ballesteros</w:t>
            </w:r>
          </w:p>
        </w:tc>
        <w:tc>
          <w:tcPr>
            <w:tcW w:w="2518" w:type="dxa"/>
            <w:vAlign w:val="center"/>
          </w:tcPr>
          <w:p w14:paraId="2B869AAA" w14:textId="10EFE806" w:rsidR="00154312" w:rsidRPr="00CC67E2" w:rsidRDefault="00FA2B26" w:rsidP="00FA2B26">
            <w:pPr>
              <w:spacing w:before="40" w:after="40" w:line="276" w:lineRule="auto"/>
              <w:jc w:val="center"/>
              <w:rPr>
                <w:rFonts w:ascii="Arial" w:hAnsi="Arial" w:cs="Arial"/>
                <w:color w:val="000000" w:themeColor="text1"/>
                <w:sz w:val="20"/>
                <w:szCs w:val="24"/>
              </w:rPr>
            </w:pPr>
            <w:r>
              <w:rPr>
                <w:rFonts w:ascii="Arial" w:hAnsi="Arial" w:cs="Arial"/>
                <w:color w:val="000000" w:themeColor="text1"/>
                <w:sz w:val="20"/>
                <w:szCs w:val="24"/>
              </w:rPr>
              <w:t>Coordinadora</w:t>
            </w:r>
          </w:p>
        </w:tc>
        <w:tc>
          <w:tcPr>
            <w:tcW w:w="2550" w:type="dxa"/>
            <w:vAlign w:val="center"/>
          </w:tcPr>
          <w:p w14:paraId="65E82CCB" w14:textId="0DC8B826" w:rsidR="00154312" w:rsidRPr="00CC67E2" w:rsidRDefault="00FA2B26" w:rsidP="00FA2B26">
            <w:pPr>
              <w:spacing w:before="40" w:after="40" w:line="276" w:lineRule="auto"/>
              <w:jc w:val="center"/>
              <w:rPr>
                <w:rFonts w:ascii="Arial" w:hAnsi="Arial" w:cs="Arial"/>
                <w:color w:val="000000" w:themeColor="text1"/>
                <w:sz w:val="20"/>
                <w:szCs w:val="24"/>
              </w:rPr>
            </w:pPr>
            <w:r>
              <w:rPr>
                <w:rFonts w:ascii="Arial" w:hAnsi="Arial" w:cs="Arial"/>
                <w:color w:val="000000" w:themeColor="text1"/>
                <w:sz w:val="20"/>
                <w:szCs w:val="24"/>
              </w:rPr>
              <w:t>Presidencia</w:t>
            </w:r>
          </w:p>
        </w:tc>
      </w:tr>
      <w:tr w:rsidR="008B14E8" w:rsidRPr="00CC67E2" w14:paraId="64BBDC3A" w14:textId="77777777" w:rsidTr="006C44A4">
        <w:tc>
          <w:tcPr>
            <w:tcW w:w="3569" w:type="dxa"/>
            <w:vAlign w:val="center"/>
          </w:tcPr>
          <w:p w14:paraId="2B8A325B" w14:textId="2F14B455" w:rsidR="008B14E8" w:rsidRDefault="00FA2B26" w:rsidP="006C44A4">
            <w:pPr>
              <w:spacing w:before="40" w:after="40" w:line="276" w:lineRule="auto"/>
              <w:rPr>
                <w:rFonts w:ascii="Arial" w:hAnsi="Arial" w:cs="Arial"/>
                <w:color w:val="000000" w:themeColor="text1"/>
                <w:sz w:val="20"/>
                <w:szCs w:val="24"/>
              </w:rPr>
            </w:pPr>
            <w:r>
              <w:rPr>
                <w:rFonts w:ascii="Arial" w:hAnsi="Arial" w:cs="Arial"/>
                <w:color w:val="000000" w:themeColor="text1"/>
                <w:sz w:val="20"/>
                <w:szCs w:val="24"/>
              </w:rPr>
              <w:t>Luis Roberto Solís Correa</w:t>
            </w:r>
          </w:p>
        </w:tc>
        <w:tc>
          <w:tcPr>
            <w:tcW w:w="2518" w:type="dxa"/>
            <w:vAlign w:val="center"/>
          </w:tcPr>
          <w:p w14:paraId="6FBA8F11" w14:textId="7E028242" w:rsidR="008B14E8" w:rsidRPr="00CC67E2" w:rsidRDefault="00FA2B26" w:rsidP="00FA2B26">
            <w:pPr>
              <w:spacing w:before="40" w:after="40" w:line="276" w:lineRule="auto"/>
              <w:jc w:val="center"/>
              <w:rPr>
                <w:rFonts w:ascii="Arial" w:hAnsi="Arial" w:cs="Arial"/>
                <w:color w:val="000000" w:themeColor="text1"/>
                <w:sz w:val="20"/>
                <w:szCs w:val="24"/>
              </w:rPr>
            </w:pPr>
            <w:r>
              <w:rPr>
                <w:rFonts w:ascii="Arial" w:hAnsi="Arial" w:cs="Arial"/>
                <w:color w:val="000000" w:themeColor="text1"/>
                <w:sz w:val="20"/>
                <w:szCs w:val="24"/>
              </w:rPr>
              <w:t>Técnico</w:t>
            </w:r>
          </w:p>
        </w:tc>
        <w:tc>
          <w:tcPr>
            <w:tcW w:w="2550" w:type="dxa"/>
            <w:vAlign w:val="center"/>
          </w:tcPr>
          <w:p w14:paraId="630F805A" w14:textId="092DBC94" w:rsidR="008B14E8" w:rsidRPr="00CC67E2" w:rsidRDefault="00FA2B26" w:rsidP="00FA2B26">
            <w:pPr>
              <w:spacing w:before="40" w:after="40" w:line="276" w:lineRule="auto"/>
              <w:jc w:val="center"/>
              <w:rPr>
                <w:rFonts w:ascii="Arial" w:hAnsi="Arial" w:cs="Arial"/>
                <w:color w:val="000000" w:themeColor="text1"/>
                <w:sz w:val="20"/>
                <w:szCs w:val="24"/>
              </w:rPr>
            </w:pPr>
            <w:r>
              <w:rPr>
                <w:rFonts w:ascii="Arial" w:hAnsi="Arial" w:cs="Arial"/>
                <w:color w:val="000000" w:themeColor="text1"/>
                <w:sz w:val="20"/>
                <w:szCs w:val="24"/>
              </w:rPr>
              <w:t>Presidencia</w:t>
            </w:r>
          </w:p>
        </w:tc>
      </w:tr>
      <w:tr w:rsidR="008B14E8" w:rsidRPr="00CC67E2" w14:paraId="6AFFE02B" w14:textId="77777777" w:rsidTr="006C44A4">
        <w:tc>
          <w:tcPr>
            <w:tcW w:w="3569" w:type="dxa"/>
            <w:vAlign w:val="center"/>
          </w:tcPr>
          <w:p w14:paraId="6A384C41" w14:textId="5E853204" w:rsidR="008B14E8" w:rsidRDefault="00FA2B26" w:rsidP="006C44A4">
            <w:pPr>
              <w:spacing w:before="40" w:after="40" w:line="276" w:lineRule="auto"/>
              <w:rPr>
                <w:rFonts w:ascii="Arial" w:hAnsi="Arial" w:cs="Arial"/>
                <w:color w:val="000000" w:themeColor="text1"/>
                <w:sz w:val="20"/>
                <w:szCs w:val="24"/>
              </w:rPr>
            </w:pPr>
            <w:r>
              <w:rPr>
                <w:rFonts w:ascii="Arial" w:hAnsi="Arial" w:cs="Arial"/>
                <w:color w:val="000000" w:themeColor="text1"/>
                <w:sz w:val="20"/>
                <w:szCs w:val="24"/>
              </w:rPr>
              <w:t>Paulina Salazar Medina</w:t>
            </w:r>
          </w:p>
        </w:tc>
        <w:tc>
          <w:tcPr>
            <w:tcW w:w="2518" w:type="dxa"/>
            <w:vAlign w:val="center"/>
          </w:tcPr>
          <w:p w14:paraId="0CD24F67" w14:textId="470616B2" w:rsidR="008B14E8" w:rsidRPr="00CC67E2" w:rsidRDefault="00FA2B26" w:rsidP="00FA2B26">
            <w:pPr>
              <w:spacing w:before="40" w:after="40" w:line="276" w:lineRule="auto"/>
              <w:jc w:val="center"/>
              <w:rPr>
                <w:rFonts w:ascii="Arial" w:hAnsi="Arial" w:cs="Arial"/>
                <w:color w:val="000000" w:themeColor="text1"/>
                <w:sz w:val="20"/>
                <w:szCs w:val="24"/>
              </w:rPr>
            </w:pPr>
            <w:r>
              <w:rPr>
                <w:rFonts w:ascii="Arial" w:hAnsi="Arial" w:cs="Arial"/>
                <w:color w:val="000000" w:themeColor="text1"/>
                <w:sz w:val="20"/>
                <w:szCs w:val="24"/>
              </w:rPr>
              <w:t>Secretaria Técnica</w:t>
            </w:r>
          </w:p>
        </w:tc>
        <w:tc>
          <w:tcPr>
            <w:tcW w:w="2550" w:type="dxa"/>
            <w:vAlign w:val="center"/>
          </w:tcPr>
          <w:p w14:paraId="7B3CEA92" w14:textId="42A6B1BA" w:rsidR="008B14E8" w:rsidRPr="00CC67E2" w:rsidRDefault="003B5AED" w:rsidP="00FA2B26">
            <w:pPr>
              <w:spacing w:before="40" w:after="40" w:line="276" w:lineRule="auto"/>
              <w:jc w:val="center"/>
              <w:rPr>
                <w:rFonts w:ascii="Arial" w:hAnsi="Arial" w:cs="Arial"/>
                <w:color w:val="000000" w:themeColor="text1"/>
                <w:sz w:val="20"/>
                <w:szCs w:val="24"/>
              </w:rPr>
            </w:pPr>
            <w:r>
              <w:rPr>
                <w:rFonts w:ascii="Arial" w:hAnsi="Arial" w:cs="Arial"/>
                <w:color w:val="000000" w:themeColor="text1"/>
                <w:sz w:val="20"/>
                <w:szCs w:val="24"/>
              </w:rPr>
              <w:t>Presidencia</w:t>
            </w:r>
          </w:p>
        </w:tc>
      </w:tr>
    </w:tbl>
    <w:p w14:paraId="28B7BD43" w14:textId="77777777" w:rsidR="008B14E8" w:rsidRPr="00E867D6" w:rsidRDefault="008B14E8" w:rsidP="008B14E8">
      <w:pPr>
        <w:rPr>
          <w:rFonts w:ascii="Arial" w:hAnsi="Arial" w:cs="Arial"/>
          <w:sz w:val="22"/>
        </w:rPr>
      </w:pPr>
      <w:r w:rsidRPr="00E867D6">
        <w:rPr>
          <w:rFonts w:ascii="Arial" w:hAnsi="Arial" w:cs="Arial"/>
          <w:sz w:val="22"/>
        </w:rPr>
        <w:t>De acuerdo con la documentación presentada, las personas propuestas cumplen con los requisitos que están previstos en el artículo 110 de los Estatutos del Servicio Profesional Electoral del propio Instituto, es decir, son ciudadanas mexicanas; están en pleno ejercicio de sus derechos civiles y políticos; gozan de prestigio y/o buena fama pública; cuentan con los conocimientos, experiencias y habilidades requeridas para ingresar al Instituto; tienen la escolaridad mínima establecida en el Catálogo; y no están inhabilitadas para ocupar cargo o puesto público.</w:t>
      </w:r>
    </w:p>
    <w:p w14:paraId="2BE47CF5" w14:textId="77777777" w:rsidR="008B14E8" w:rsidRPr="00E867D6" w:rsidRDefault="008B14E8" w:rsidP="008B14E8">
      <w:pPr>
        <w:rPr>
          <w:rFonts w:ascii="Arial" w:hAnsi="Arial" w:cs="Arial"/>
          <w:sz w:val="22"/>
        </w:rPr>
      </w:pPr>
      <w:r w:rsidRPr="00E867D6">
        <w:rPr>
          <w:rFonts w:ascii="Arial" w:hAnsi="Arial" w:cs="Arial"/>
          <w:sz w:val="22"/>
        </w:rPr>
        <w:t>Asimismo, en virtud de que se tratan de personas propuestas a invitación de la Presidencia del Instituto y los titulares de los órganos centrales, no están sujetas a exámenes de ingreso.</w:t>
      </w:r>
    </w:p>
    <w:p w14:paraId="0C9F3879" w14:textId="2E6BD6C6" w:rsidR="00154312" w:rsidRPr="00E867D6" w:rsidRDefault="008B14E8" w:rsidP="00154312">
      <w:pPr>
        <w:rPr>
          <w:rFonts w:ascii="Arial" w:hAnsi="Arial" w:cs="Arial"/>
          <w:sz w:val="22"/>
        </w:rPr>
      </w:pPr>
      <w:r w:rsidRPr="00E867D6">
        <w:rPr>
          <w:rFonts w:ascii="Arial" w:hAnsi="Arial" w:cs="Arial"/>
          <w:sz w:val="22"/>
        </w:rPr>
        <w:t>Por lo anterior, esta Junta Ejecutiva no advierte imposibilidad alguna, por lo que, considera viable las designaciones conforme a los cargos y categorías</w:t>
      </w:r>
      <w:r w:rsidR="00FA2B26" w:rsidRPr="00E867D6">
        <w:rPr>
          <w:rFonts w:ascii="Arial" w:hAnsi="Arial" w:cs="Arial"/>
          <w:sz w:val="22"/>
        </w:rPr>
        <w:t xml:space="preserve"> </w:t>
      </w:r>
      <w:r w:rsidRPr="00E867D6">
        <w:rPr>
          <w:rFonts w:ascii="Arial" w:hAnsi="Arial" w:cs="Arial"/>
          <w:sz w:val="22"/>
        </w:rPr>
        <w:t xml:space="preserve">determinadas en el presente acuerdo. En ese tenor, las designaciones tendrán efecto a partir del </w:t>
      </w:r>
      <w:r w:rsidR="00FA2B26" w:rsidRPr="00E867D6">
        <w:rPr>
          <w:rFonts w:ascii="Arial" w:hAnsi="Arial" w:cs="Arial"/>
          <w:sz w:val="22"/>
        </w:rPr>
        <w:t>01</w:t>
      </w:r>
      <w:r w:rsidRPr="00E867D6">
        <w:rPr>
          <w:rFonts w:ascii="Arial" w:hAnsi="Arial" w:cs="Arial"/>
          <w:sz w:val="22"/>
        </w:rPr>
        <w:t xml:space="preserve"> de </w:t>
      </w:r>
      <w:r w:rsidR="00FA2B26" w:rsidRPr="00E867D6">
        <w:rPr>
          <w:rFonts w:ascii="Arial" w:hAnsi="Arial" w:cs="Arial"/>
          <w:sz w:val="22"/>
        </w:rPr>
        <w:t>octubre de 2025</w:t>
      </w:r>
      <w:r w:rsidRPr="00E867D6">
        <w:rPr>
          <w:rFonts w:ascii="Arial" w:hAnsi="Arial" w:cs="Arial"/>
          <w:sz w:val="22"/>
        </w:rPr>
        <w:t>, con excepción de la persona designada</w:t>
      </w:r>
      <w:r w:rsidR="003B5AED" w:rsidRPr="00E867D6">
        <w:rPr>
          <w:rFonts w:ascii="Arial" w:hAnsi="Arial" w:cs="Arial"/>
          <w:sz w:val="22"/>
        </w:rPr>
        <w:t xml:space="preserve"> como Secretaria Técnica</w:t>
      </w:r>
      <w:r w:rsidRPr="00E867D6">
        <w:rPr>
          <w:rFonts w:ascii="Arial" w:hAnsi="Arial" w:cs="Arial"/>
          <w:sz w:val="22"/>
        </w:rPr>
        <w:t>, cuya propuesta se presentó</w:t>
      </w:r>
      <w:r w:rsidR="00FA2B26" w:rsidRPr="00E867D6">
        <w:rPr>
          <w:rFonts w:ascii="Arial" w:hAnsi="Arial" w:cs="Arial"/>
          <w:sz w:val="22"/>
        </w:rPr>
        <w:t xml:space="preserve"> </w:t>
      </w:r>
      <w:r w:rsidR="00FA2B26" w:rsidRPr="00E867D6">
        <w:rPr>
          <w:rFonts w:ascii="Arial" w:hAnsi="Arial" w:cs="Arial"/>
          <w:sz w:val="22"/>
        </w:rPr>
        <w:lastRenderedPageBreak/>
        <w:t>posteriormente</w:t>
      </w:r>
      <w:r w:rsidRPr="00E867D6">
        <w:rPr>
          <w:rFonts w:ascii="Arial" w:hAnsi="Arial" w:cs="Arial"/>
          <w:sz w:val="22"/>
        </w:rPr>
        <w:t xml:space="preserve">, de ahí que su nombramiento tenga efectos a partir del </w:t>
      </w:r>
      <w:r w:rsidR="00FA2B26" w:rsidRPr="00E867D6">
        <w:rPr>
          <w:rFonts w:ascii="Arial" w:hAnsi="Arial" w:cs="Arial"/>
          <w:sz w:val="22"/>
        </w:rPr>
        <w:t>04</w:t>
      </w:r>
      <w:r w:rsidRPr="00E867D6">
        <w:rPr>
          <w:rFonts w:ascii="Arial" w:hAnsi="Arial" w:cs="Arial"/>
          <w:sz w:val="22"/>
        </w:rPr>
        <w:t xml:space="preserve"> de </w:t>
      </w:r>
      <w:r w:rsidR="00FA2B26" w:rsidRPr="00E867D6">
        <w:rPr>
          <w:rFonts w:ascii="Arial" w:hAnsi="Arial" w:cs="Arial"/>
          <w:sz w:val="22"/>
        </w:rPr>
        <w:t>octubre de</w:t>
      </w:r>
      <w:r w:rsidRPr="00E867D6">
        <w:rPr>
          <w:rFonts w:ascii="Arial" w:hAnsi="Arial" w:cs="Arial"/>
          <w:sz w:val="22"/>
        </w:rPr>
        <w:t xml:space="preserve"> la presente anualidad</w:t>
      </w:r>
      <w:r w:rsidR="002D3799" w:rsidRPr="00E867D6">
        <w:rPr>
          <w:rFonts w:ascii="Arial" w:hAnsi="Arial" w:cs="Arial"/>
          <w:sz w:val="22"/>
        </w:rPr>
        <w:t xml:space="preserve">; las </w:t>
      </w:r>
      <w:r w:rsidR="002D3799" w:rsidRPr="00E867D6">
        <w:rPr>
          <w:rFonts w:ascii="Arial" w:hAnsi="Arial" w:cs="Arial"/>
          <w:color w:val="000000" w:themeColor="text1"/>
          <w:sz w:val="22"/>
        </w:rPr>
        <w:t>remuneraciones de las personas designadas será</w:t>
      </w:r>
      <w:r w:rsidR="00DF0B6D" w:rsidRPr="00E867D6">
        <w:rPr>
          <w:rFonts w:ascii="Arial" w:hAnsi="Arial" w:cs="Arial"/>
          <w:color w:val="000000" w:themeColor="text1"/>
          <w:sz w:val="22"/>
        </w:rPr>
        <w:t>n</w:t>
      </w:r>
      <w:r w:rsidR="002D3799" w:rsidRPr="00E867D6">
        <w:rPr>
          <w:rFonts w:ascii="Arial" w:hAnsi="Arial" w:cs="Arial"/>
          <w:color w:val="000000" w:themeColor="text1"/>
          <w:sz w:val="22"/>
        </w:rPr>
        <w:t xml:space="preserve"> conforme a lo previsto en el artículo 10 del Manual de Administración de Remuneraciones del Instituto.</w:t>
      </w:r>
    </w:p>
    <w:p w14:paraId="53463D9E" w14:textId="3CA6F14F" w:rsidR="00154312" w:rsidRPr="00E867D6" w:rsidRDefault="008B14E8" w:rsidP="004D71A9">
      <w:pPr>
        <w:spacing w:before="0" w:after="0"/>
        <w:rPr>
          <w:rFonts w:ascii="Arial" w:hAnsi="Arial" w:cs="Arial"/>
          <w:color w:val="000000" w:themeColor="text1"/>
          <w:sz w:val="22"/>
        </w:rPr>
      </w:pPr>
      <w:bookmarkStart w:id="0" w:name="_Hlk211511373"/>
      <w:r w:rsidRPr="00E867D6">
        <w:rPr>
          <w:rFonts w:ascii="Arial" w:hAnsi="Arial" w:cs="Arial"/>
          <w:color w:val="000000" w:themeColor="text1"/>
          <w:sz w:val="22"/>
        </w:rPr>
        <w:t>En atención a los antecedentes y considerandos</w:t>
      </w:r>
      <w:bookmarkEnd w:id="0"/>
      <w:r w:rsidR="00022F62" w:rsidRPr="00E867D6">
        <w:rPr>
          <w:rFonts w:ascii="Arial" w:hAnsi="Arial" w:cs="Arial"/>
          <w:color w:val="000000" w:themeColor="text1"/>
          <w:sz w:val="22"/>
        </w:rPr>
        <w:t xml:space="preserve"> anteriores</w:t>
      </w:r>
      <w:r w:rsidR="00154312" w:rsidRPr="00E867D6">
        <w:rPr>
          <w:rFonts w:ascii="Arial" w:hAnsi="Arial" w:cs="Arial"/>
          <w:color w:val="000000" w:themeColor="text1"/>
          <w:sz w:val="22"/>
        </w:rPr>
        <w:t xml:space="preserve">, esta Junta Ejecutiva </w:t>
      </w:r>
      <w:bookmarkStart w:id="1" w:name="_Hlk211511362"/>
      <w:r w:rsidR="00154312" w:rsidRPr="00E867D6">
        <w:rPr>
          <w:rFonts w:ascii="Arial" w:hAnsi="Arial" w:cs="Arial"/>
          <w:color w:val="000000" w:themeColor="text1"/>
          <w:sz w:val="22"/>
        </w:rPr>
        <w:t xml:space="preserve">emite </w:t>
      </w:r>
      <w:r w:rsidR="00022F62" w:rsidRPr="00E867D6">
        <w:rPr>
          <w:rFonts w:ascii="Arial" w:hAnsi="Arial" w:cs="Arial"/>
          <w:color w:val="000000" w:themeColor="text1"/>
          <w:sz w:val="22"/>
        </w:rPr>
        <w:t>los siguientes puntos de</w:t>
      </w:r>
      <w:bookmarkEnd w:id="1"/>
      <w:r w:rsidR="00154312" w:rsidRPr="00E867D6">
        <w:rPr>
          <w:rFonts w:ascii="Arial" w:hAnsi="Arial" w:cs="Arial"/>
          <w:color w:val="000000" w:themeColor="text1"/>
          <w:sz w:val="22"/>
        </w:rPr>
        <w:t>:</w:t>
      </w:r>
    </w:p>
    <w:p w14:paraId="6B842A21" w14:textId="53DB455E" w:rsidR="00E867D6" w:rsidRDefault="00E867D6" w:rsidP="004D71A9">
      <w:pPr>
        <w:spacing w:before="0" w:after="0"/>
        <w:rPr>
          <w:rFonts w:ascii="Arial" w:hAnsi="Arial" w:cs="Arial"/>
          <w:color w:val="000000" w:themeColor="text1"/>
          <w:sz w:val="23"/>
          <w:szCs w:val="23"/>
        </w:rPr>
      </w:pPr>
    </w:p>
    <w:p w14:paraId="1E01094F" w14:textId="77777777" w:rsidR="004D71A9" w:rsidRPr="00CC67E2" w:rsidRDefault="004D71A9" w:rsidP="004D71A9">
      <w:pPr>
        <w:spacing w:before="0" w:after="0"/>
        <w:rPr>
          <w:rFonts w:ascii="Arial" w:hAnsi="Arial" w:cs="Arial"/>
          <w:color w:val="000000" w:themeColor="text1"/>
          <w:sz w:val="23"/>
          <w:szCs w:val="23"/>
        </w:rPr>
      </w:pPr>
    </w:p>
    <w:p w14:paraId="48B6B110" w14:textId="63AF64CF" w:rsidR="00154312" w:rsidRDefault="00154312" w:rsidP="004D71A9">
      <w:pPr>
        <w:pStyle w:val="Ttulo1"/>
        <w:numPr>
          <w:ilvl w:val="0"/>
          <w:numId w:val="6"/>
        </w:numPr>
        <w:spacing w:before="0" w:after="0"/>
        <w:rPr>
          <w:rFonts w:cs="Arial"/>
          <w:sz w:val="24"/>
          <w:szCs w:val="24"/>
        </w:rPr>
      </w:pPr>
      <w:r w:rsidRPr="007E2311">
        <w:rPr>
          <w:rFonts w:cs="Arial"/>
          <w:sz w:val="24"/>
          <w:szCs w:val="24"/>
        </w:rPr>
        <w:t>Acuerdo</w:t>
      </w:r>
    </w:p>
    <w:p w14:paraId="6E42FCA8" w14:textId="3BA958C8" w:rsidR="00E867D6" w:rsidRDefault="00E867D6" w:rsidP="004D71A9">
      <w:pPr>
        <w:spacing w:before="0" w:after="0"/>
      </w:pPr>
    </w:p>
    <w:p w14:paraId="23B38469" w14:textId="0E95F82C" w:rsidR="00154312" w:rsidRDefault="00154312" w:rsidP="00E867D6">
      <w:pPr>
        <w:spacing w:before="0" w:after="0"/>
        <w:rPr>
          <w:rFonts w:ascii="Arial" w:hAnsi="Arial" w:cs="Arial"/>
          <w:color w:val="000000" w:themeColor="text1"/>
          <w:sz w:val="22"/>
        </w:rPr>
      </w:pPr>
      <w:r w:rsidRPr="00E867D6">
        <w:rPr>
          <w:rFonts w:ascii="Arial" w:hAnsi="Arial" w:cs="Arial"/>
          <w:b/>
          <w:color w:val="000000" w:themeColor="text1"/>
          <w:sz w:val="22"/>
        </w:rPr>
        <w:t xml:space="preserve">Primero. </w:t>
      </w:r>
      <w:r w:rsidRPr="00E867D6">
        <w:rPr>
          <w:rFonts w:ascii="Arial" w:hAnsi="Arial" w:cs="Arial"/>
          <w:color w:val="000000" w:themeColor="text1"/>
          <w:sz w:val="22"/>
        </w:rPr>
        <w:t xml:space="preserve">En términos del artículo 16, fracción VI del Reglamento Interior del Instituto Electoral y de Participación Ciudadana de Tabasco </w:t>
      </w:r>
      <w:r w:rsidR="008B14E8" w:rsidRPr="00E867D6">
        <w:rPr>
          <w:rFonts w:ascii="Arial" w:hAnsi="Arial" w:cs="Arial"/>
          <w:sz w:val="22"/>
        </w:rPr>
        <w:t xml:space="preserve">se designan a las siguientes personas, como servidores públicos del propio Instituto, con efectos a partir de lo previsto en el considerando </w:t>
      </w:r>
      <w:r w:rsidR="00EB3476">
        <w:rPr>
          <w:rFonts w:ascii="Arial" w:hAnsi="Arial" w:cs="Arial"/>
          <w:sz w:val="22"/>
        </w:rPr>
        <w:t>2.</w:t>
      </w:r>
      <w:r w:rsidR="008B14E8" w:rsidRPr="00E867D6">
        <w:rPr>
          <w:rFonts w:ascii="Arial" w:hAnsi="Arial" w:cs="Arial"/>
          <w:sz w:val="22"/>
        </w:rPr>
        <w:t>3, de acuerdo con lo siguiente</w:t>
      </w:r>
      <w:r w:rsidRPr="00E867D6">
        <w:rPr>
          <w:rFonts w:ascii="Arial" w:hAnsi="Arial" w:cs="Arial"/>
          <w:color w:val="000000" w:themeColor="text1"/>
          <w:sz w:val="22"/>
        </w:rPr>
        <w:t>:</w:t>
      </w:r>
    </w:p>
    <w:p w14:paraId="4A12CC84" w14:textId="77777777" w:rsidR="004D71A9" w:rsidRPr="00E867D6" w:rsidRDefault="004D71A9" w:rsidP="00E867D6">
      <w:pPr>
        <w:spacing w:before="0" w:after="0"/>
        <w:rPr>
          <w:rFonts w:ascii="Arial" w:hAnsi="Arial" w:cs="Arial"/>
          <w:color w:val="000000" w:themeColor="text1"/>
          <w:sz w:val="22"/>
        </w:rPr>
      </w:pPr>
    </w:p>
    <w:tbl>
      <w:tblPr>
        <w:tblStyle w:val="Tablaconcuadrcula"/>
        <w:tblW w:w="0" w:type="auto"/>
        <w:tblLook w:val="04A0" w:firstRow="1" w:lastRow="0" w:firstColumn="1" w:lastColumn="0" w:noHBand="0" w:noVBand="1"/>
      </w:tblPr>
      <w:tblGrid>
        <w:gridCol w:w="3823"/>
        <w:gridCol w:w="2260"/>
        <w:gridCol w:w="2554"/>
      </w:tblGrid>
      <w:tr w:rsidR="00154312" w:rsidRPr="007E2311" w14:paraId="3AC4C973" w14:textId="77777777" w:rsidTr="00022F62">
        <w:tc>
          <w:tcPr>
            <w:tcW w:w="3823" w:type="dxa"/>
            <w:shd w:val="clear" w:color="auto" w:fill="993366"/>
            <w:vAlign w:val="center"/>
          </w:tcPr>
          <w:p w14:paraId="38EB8291" w14:textId="77777777" w:rsidR="00154312" w:rsidRPr="0078771A" w:rsidRDefault="00154312" w:rsidP="006C44A4">
            <w:pPr>
              <w:spacing w:before="40" w:after="40" w:line="276" w:lineRule="auto"/>
              <w:jc w:val="center"/>
              <w:rPr>
                <w:rFonts w:ascii="Arial" w:hAnsi="Arial" w:cs="Arial"/>
                <w:b/>
                <w:color w:val="FFFFFF" w:themeColor="background1"/>
                <w:sz w:val="18"/>
                <w:szCs w:val="24"/>
              </w:rPr>
            </w:pPr>
            <w:r w:rsidRPr="0078771A">
              <w:rPr>
                <w:rFonts w:ascii="Arial" w:hAnsi="Arial" w:cs="Arial"/>
                <w:b/>
                <w:color w:val="FFFFFF" w:themeColor="background1"/>
                <w:sz w:val="18"/>
                <w:szCs w:val="24"/>
              </w:rPr>
              <w:t>Nombre</w:t>
            </w:r>
          </w:p>
        </w:tc>
        <w:tc>
          <w:tcPr>
            <w:tcW w:w="2260" w:type="dxa"/>
            <w:shd w:val="clear" w:color="auto" w:fill="993366"/>
            <w:vAlign w:val="center"/>
          </w:tcPr>
          <w:p w14:paraId="3DFCC706" w14:textId="77777777" w:rsidR="00154312" w:rsidRPr="0078771A" w:rsidRDefault="00154312" w:rsidP="006C44A4">
            <w:pPr>
              <w:spacing w:before="40" w:after="40" w:line="276" w:lineRule="auto"/>
              <w:jc w:val="center"/>
              <w:rPr>
                <w:rFonts w:ascii="Arial" w:hAnsi="Arial" w:cs="Arial"/>
                <w:b/>
                <w:color w:val="FFFFFF" w:themeColor="background1"/>
                <w:sz w:val="18"/>
                <w:szCs w:val="24"/>
              </w:rPr>
            </w:pPr>
            <w:r w:rsidRPr="0078771A">
              <w:rPr>
                <w:rFonts w:ascii="Arial" w:hAnsi="Arial" w:cs="Arial"/>
                <w:b/>
                <w:color w:val="FFFFFF" w:themeColor="background1"/>
                <w:sz w:val="18"/>
                <w:szCs w:val="24"/>
              </w:rPr>
              <w:t>Cargo/Categoría</w:t>
            </w:r>
          </w:p>
        </w:tc>
        <w:tc>
          <w:tcPr>
            <w:tcW w:w="2554" w:type="dxa"/>
            <w:shd w:val="clear" w:color="auto" w:fill="993366"/>
            <w:vAlign w:val="center"/>
          </w:tcPr>
          <w:p w14:paraId="256BFC8F" w14:textId="77777777" w:rsidR="00154312" w:rsidRPr="0078771A" w:rsidRDefault="00154312" w:rsidP="006C44A4">
            <w:pPr>
              <w:spacing w:before="40" w:after="40" w:line="276" w:lineRule="auto"/>
              <w:jc w:val="center"/>
              <w:rPr>
                <w:rFonts w:ascii="Arial" w:hAnsi="Arial" w:cs="Arial"/>
                <w:b/>
                <w:color w:val="FFFFFF" w:themeColor="background1"/>
                <w:sz w:val="18"/>
                <w:szCs w:val="24"/>
              </w:rPr>
            </w:pPr>
            <w:r w:rsidRPr="0078771A">
              <w:rPr>
                <w:rFonts w:ascii="Arial" w:hAnsi="Arial" w:cs="Arial"/>
                <w:b/>
                <w:color w:val="FFFFFF" w:themeColor="background1"/>
                <w:sz w:val="18"/>
                <w:szCs w:val="24"/>
              </w:rPr>
              <w:t>Adscripción</w:t>
            </w:r>
          </w:p>
        </w:tc>
      </w:tr>
      <w:tr w:rsidR="00FA2B26" w:rsidRPr="007E2311" w14:paraId="07C763B2" w14:textId="77777777" w:rsidTr="00022F62">
        <w:tc>
          <w:tcPr>
            <w:tcW w:w="3823" w:type="dxa"/>
            <w:vAlign w:val="center"/>
          </w:tcPr>
          <w:p w14:paraId="2A710FE7" w14:textId="5C6EA138" w:rsidR="00FA2B26" w:rsidRPr="00022F62" w:rsidRDefault="00FA2B26" w:rsidP="00FA2B26">
            <w:pPr>
              <w:spacing w:before="40" w:after="40" w:line="276" w:lineRule="auto"/>
              <w:rPr>
                <w:rFonts w:ascii="Arial" w:hAnsi="Arial" w:cs="Arial"/>
                <w:b/>
                <w:bCs/>
                <w:color w:val="000000" w:themeColor="text1"/>
                <w:sz w:val="20"/>
                <w:szCs w:val="24"/>
              </w:rPr>
            </w:pPr>
            <w:r w:rsidRPr="00022F62">
              <w:rPr>
                <w:rFonts w:ascii="Arial" w:hAnsi="Arial" w:cs="Arial"/>
                <w:b/>
                <w:bCs/>
                <w:color w:val="000000" w:themeColor="text1"/>
                <w:sz w:val="20"/>
                <w:szCs w:val="24"/>
              </w:rPr>
              <w:t>Maria del Carmen Álvarez Ballesteros</w:t>
            </w:r>
          </w:p>
        </w:tc>
        <w:tc>
          <w:tcPr>
            <w:tcW w:w="2260" w:type="dxa"/>
            <w:vAlign w:val="center"/>
          </w:tcPr>
          <w:p w14:paraId="4E7BE390" w14:textId="1B2BDB2E" w:rsidR="00FA2B26" w:rsidRPr="00022F62" w:rsidRDefault="00FA2B26" w:rsidP="009D674F">
            <w:pPr>
              <w:spacing w:before="40" w:after="40" w:line="276" w:lineRule="auto"/>
              <w:jc w:val="center"/>
              <w:rPr>
                <w:rFonts w:ascii="Arial" w:hAnsi="Arial" w:cs="Arial"/>
                <w:b/>
                <w:bCs/>
                <w:color w:val="000000" w:themeColor="text1"/>
                <w:sz w:val="20"/>
                <w:szCs w:val="24"/>
              </w:rPr>
            </w:pPr>
            <w:r w:rsidRPr="00022F62">
              <w:rPr>
                <w:rFonts w:ascii="Arial" w:hAnsi="Arial" w:cs="Arial"/>
                <w:b/>
                <w:bCs/>
                <w:color w:val="000000" w:themeColor="text1"/>
                <w:sz w:val="20"/>
                <w:szCs w:val="24"/>
              </w:rPr>
              <w:t>Coordinadora</w:t>
            </w:r>
          </w:p>
        </w:tc>
        <w:tc>
          <w:tcPr>
            <w:tcW w:w="2554" w:type="dxa"/>
            <w:vAlign w:val="center"/>
          </w:tcPr>
          <w:p w14:paraId="01D5F291" w14:textId="7C843485" w:rsidR="00FA2B26" w:rsidRPr="00022F62" w:rsidRDefault="00FA2B26" w:rsidP="009D674F">
            <w:pPr>
              <w:spacing w:before="40" w:after="40" w:line="276" w:lineRule="auto"/>
              <w:jc w:val="center"/>
              <w:rPr>
                <w:rFonts w:ascii="Arial" w:hAnsi="Arial" w:cs="Arial"/>
                <w:b/>
                <w:bCs/>
                <w:color w:val="000000" w:themeColor="text1"/>
                <w:sz w:val="20"/>
                <w:szCs w:val="24"/>
              </w:rPr>
            </w:pPr>
            <w:r w:rsidRPr="00022F62">
              <w:rPr>
                <w:rFonts w:ascii="Arial" w:hAnsi="Arial" w:cs="Arial"/>
                <w:b/>
                <w:bCs/>
                <w:color w:val="000000" w:themeColor="text1"/>
                <w:sz w:val="20"/>
                <w:szCs w:val="24"/>
              </w:rPr>
              <w:t>Presidencia</w:t>
            </w:r>
          </w:p>
        </w:tc>
      </w:tr>
      <w:tr w:rsidR="00FA2B26" w:rsidRPr="007E2311" w14:paraId="04D86FE8" w14:textId="77777777" w:rsidTr="00022F62">
        <w:tc>
          <w:tcPr>
            <w:tcW w:w="3823" w:type="dxa"/>
            <w:vAlign w:val="center"/>
          </w:tcPr>
          <w:p w14:paraId="6C14F652" w14:textId="76DFD716" w:rsidR="00FA2B26" w:rsidRPr="00022F62" w:rsidRDefault="00FA2B26" w:rsidP="00FA2B26">
            <w:pPr>
              <w:spacing w:before="40" w:after="40" w:line="276" w:lineRule="auto"/>
              <w:rPr>
                <w:rFonts w:ascii="Arial" w:hAnsi="Arial" w:cs="Arial"/>
                <w:b/>
                <w:bCs/>
                <w:color w:val="000000" w:themeColor="text1"/>
                <w:sz w:val="20"/>
                <w:szCs w:val="24"/>
              </w:rPr>
            </w:pPr>
            <w:r w:rsidRPr="00022F62">
              <w:rPr>
                <w:rFonts w:ascii="Arial" w:hAnsi="Arial" w:cs="Arial"/>
                <w:b/>
                <w:bCs/>
                <w:color w:val="000000" w:themeColor="text1"/>
                <w:sz w:val="20"/>
                <w:szCs w:val="24"/>
              </w:rPr>
              <w:t>Luis Roberto Solís Correa</w:t>
            </w:r>
          </w:p>
        </w:tc>
        <w:tc>
          <w:tcPr>
            <w:tcW w:w="2260" w:type="dxa"/>
            <w:vAlign w:val="center"/>
          </w:tcPr>
          <w:p w14:paraId="7B3A8C0A" w14:textId="044B621A" w:rsidR="00FA2B26" w:rsidRPr="00022F62" w:rsidRDefault="00FA2B26" w:rsidP="009D674F">
            <w:pPr>
              <w:spacing w:before="40" w:after="40" w:line="276" w:lineRule="auto"/>
              <w:jc w:val="center"/>
              <w:rPr>
                <w:rFonts w:ascii="Arial" w:hAnsi="Arial" w:cs="Arial"/>
                <w:b/>
                <w:bCs/>
                <w:color w:val="000000" w:themeColor="text1"/>
                <w:sz w:val="20"/>
                <w:szCs w:val="24"/>
              </w:rPr>
            </w:pPr>
            <w:r w:rsidRPr="00022F62">
              <w:rPr>
                <w:rFonts w:ascii="Arial" w:hAnsi="Arial" w:cs="Arial"/>
                <w:b/>
                <w:bCs/>
                <w:color w:val="000000" w:themeColor="text1"/>
                <w:sz w:val="20"/>
                <w:szCs w:val="24"/>
              </w:rPr>
              <w:t>Técnico</w:t>
            </w:r>
          </w:p>
        </w:tc>
        <w:tc>
          <w:tcPr>
            <w:tcW w:w="2554" w:type="dxa"/>
            <w:vAlign w:val="center"/>
          </w:tcPr>
          <w:p w14:paraId="101B5D56" w14:textId="5AFF43B4" w:rsidR="00FA2B26" w:rsidRPr="00022F62" w:rsidRDefault="00FA2B26" w:rsidP="009D674F">
            <w:pPr>
              <w:spacing w:before="40" w:after="40" w:line="276" w:lineRule="auto"/>
              <w:jc w:val="center"/>
              <w:rPr>
                <w:rFonts w:ascii="Arial" w:hAnsi="Arial" w:cs="Arial"/>
                <w:b/>
                <w:bCs/>
                <w:color w:val="000000" w:themeColor="text1"/>
                <w:sz w:val="20"/>
                <w:szCs w:val="24"/>
              </w:rPr>
            </w:pPr>
            <w:r w:rsidRPr="00022F62">
              <w:rPr>
                <w:rFonts w:ascii="Arial" w:hAnsi="Arial" w:cs="Arial"/>
                <w:b/>
                <w:bCs/>
                <w:color w:val="000000" w:themeColor="text1"/>
                <w:sz w:val="20"/>
                <w:szCs w:val="24"/>
              </w:rPr>
              <w:t>Presidencia</w:t>
            </w:r>
          </w:p>
        </w:tc>
      </w:tr>
      <w:tr w:rsidR="00FA2B26" w:rsidRPr="007E2311" w14:paraId="3860DE76" w14:textId="77777777" w:rsidTr="00022F62">
        <w:tc>
          <w:tcPr>
            <w:tcW w:w="3823" w:type="dxa"/>
            <w:vAlign w:val="center"/>
          </w:tcPr>
          <w:p w14:paraId="4E361391" w14:textId="0DD53C71" w:rsidR="00FA2B26" w:rsidRPr="00022F62" w:rsidRDefault="00FA2B26" w:rsidP="00FA2B26">
            <w:pPr>
              <w:spacing w:before="40" w:after="40" w:line="276" w:lineRule="auto"/>
              <w:rPr>
                <w:rFonts w:ascii="Arial" w:hAnsi="Arial" w:cs="Arial"/>
                <w:b/>
                <w:bCs/>
                <w:color w:val="000000" w:themeColor="text1"/>
                <w:sz w:val="20"/>
                <w:szCs w:val="24"/>
              </w:rPr>
            </w:pPr>
            <w:r w:rsidRPr="00022F62">
              <w:rPr>
                <w:rFonts w:ascii="Arial" w:hAnsi="Arial" w:cs="Arial"/>
                <w:b/>
                <w:bCs/>
                <w:color w:val="000000" w:themeColor="text1"/>
                <w:sz w:val="20"/>
                <w:szCs w:val="24"/>
              </w:rPr>
              <w:t>Paulina Salazar Medina</w:t>
            </w:r>
          </w:p>
        </w:tc>
        <w:tc>
          <w:tcPr>
            <w:tcW w:w="2260" w:type="dxa"/>
            <w:vAlign w:val="center"/>
          </w:tcPr>
          <w:p w14:paraId="0B996FE8" w14:textId="487C6BAE" w:rsidR="00FA2B26" w:rsidRPr="00022F62" w:rsidRDefault="00FA2B26" w:rsidP="009D674F">
            <w:pPr>
              <w:spacing w:before="40" w:after="40" w:line="276" w:lineRule="auto"/>
              <w:jc w:val="center"/>
              <w:rPr>
                <w:rFonts w:ascii="Arial" w:hAnsi="Arial" w:cs="Arial"/>
                <w:b/>
                <w:bCs/>
                <w:color w:val="000000" w:themeColor="text1"/>
                <w:sz w:val="20"/>
                <w:szCs w:val="24"/>
              </w:rPr>
            </w:pPr>
            <w:r w:rsidRPr="00022F62">
              <w:rPr>
                <w:rFonts w:ascii="Arial" w:hAnsi="Arial" w:cs="Arial"/>
                <w:b/>
                <w:bCs/>
                <w:color w:val="000000" w:themeColor="text1"/>
                <w:sz w:val="20"/>
                <w:szCs w:val="24"/>
              </w:rPr>
              <w:t>Secretaria Técnica</w:t>
            </w:r>
          </w:p>
        </w:tc>
        <w:tc>
          <w:tcPr>
            <w:tcW w:w="2554" w:type="dxa"/>
            <w:vAlign w:val="center"/>
          </w:tcPr>
          <w:p w14:paraId="1866BCAC" w14:textId="6DB5675C" w:rsidR="00FA2B26" w:rsidRPr="00022F62" w:rsidRDefault="003B5AED" w:rsidP="009D674F">
            <w:pPr>
              <w:spacing w:before="40" w:after="40" w:line="276" w:lineRule="auto"/>
              <w:jc w:val="center"/>
              <w:rPr>
                <w:rFonts w:ascii="Arial" w:hAnsi="Arial" w:cs="Arial"/>
                <w:b/>
                <w:bCs/>
                <w:color w:val="000000" w:themeColor="text1"/>
                <w:sz w:val="20"/>
                <w:szCs w:val="24"/>
              </w:rPr>
            </w:pPr>
            <w:r>
              <w:rPr>
                <w:rFonts w:ascii="Arial" w:hAnsi="Arial" w:cs="Arial"/>
                <w:b/>
                <w:bCs/>
                <w:color w:val="000000" w:themeColor="text1"/>
                <w:sz w:val="20"/>
                <w:szCs w:val="24"/>
              </w:rPr>
              <w:t>Presidencia</w:t>
            </w:r>
          </w:p>
        </w:tc>
      </w:tr>
    </w:tbl>
    <w:p w14:paraId="07484DEE" w14:textId="5547C4AD" w:rsidR="00154312" w:rsidRPr="00E867D6" w:rsidRDefault="00154312" w:rsidP="00154312">
      <w:pPr>
        <w:rPr>
          <w:rFonts w:ascii="Arial" w:hAnsi="Arial" w:cs="Arial"/>
          <w:color w:val="000000" w:themeColor="text1"/>
          <w:sz w:val="22"/>
        </w:rPr>
      </w:pPr>
      <w:r w:rsidRPr="007E2311">
        <w:rPr>
          <w:rFonts w:ascii="Arial" w:hAnsi="Arial" w:cs="Arial"/>
          <w:b/>
          <w:color w:val="000000" w:themeColor="text1"/>
          <w:sz w:val="23"/>
          <w:szCs w:val="23"/>
        </w:rPr>
        <w:t xml:space="preserve">Segundo. </w:t>
      </w:r>
      <w:r w:rsidRPr="00E867D6">
        <w:rPr>
          <w:rFonts w:ascii="Arial" w:hAnsi="Arial" w:cs="Arial"/>
          <w:color w:val="000000" w:themeColor="text1"/>
          <w:sz w:val="22"/>
        </w:rPr>
        <w:t xml:space="preserve">Se instruye a la Secretaría Ejecutiva expida </w:t>
      </w:r>
      <w:r w:rsidR="00022F62" w:rsidRPr="00E867D6">
        <w:rPr>
          <w:rFonts w:ascii="Arial" w:hAnsi="Arial" w:cs="Arial"/>
          <w:color w:val="000000" w:themeColor="text1"/>
          <w:sz w:val="22"/>
        </w:rPr>
        <w:t>los</w:t>
      </w:r>
      <w:r w:rsidRPr="00E867D6">
        <w:rPr>
          <w:rFonts w:ascii="Arial" w:hAnsi="Arial" w:cs="Arial"/>
          <w:color w:val="000000" w:themeColor="text1"/>
          <w:sz w:val="22"/>
        </w:rPr>
        <w:t xml:space="preserve"> nombramiento</w:t>
      </w:r>
      <w:r w:rsidR="00022F62" w:rsidRPr="00E867D6">
        <w:rPr>
          <w:rFonts w:ascii="Arial" w:hAnsi="Arial" w:cs="Arial"/>
          <w:color w:val="000000" w:themeColor="text1"/>
          <w:sz w:val="22"/>
        </w:rPr>
        <w:t>s</w:t>
      </w:r>
      <w:r w:rsidRPr="00E867D6">
        <w:rPr>
          <w:rFonts w:ascii="Arial" w:hAnsi="Arial" w:cs="Arial"/>
          <w:color w:val="000000" w:themeColor="text1"/>
          <w:sz w:val="22"/>
        </w:rPr>
        <w:t xml:space="preserve"> correspondiente</w:t>
      </w:r>
      <w:r w:rsidR="00022F62" w:rsidRPr="00E867D6">
        <w:rPr>
          <w:rFonts w:ascii="Arial" w:hAnsi="Arial" w:cs="Arial"/>
          <w:color w:val="000000" w:themeColor="text1"/>
          <w:sz w:val="22"/>
        </w:rPr>
        <w:t>s</w:t>
      </w:r>
      <w:r w:rsidRPr="00E867D6">
        <w:rPr>
          <w:rFonts w:ascii="Arial" w:hAnsi="Arial" w:cs="Arial"/>
          <w:color w:val="000000" w:themeColor="text1"/>
          <w:sz w:val="22"/>
        </w:rPr>
        <w:t xml:space="preserve">, e indique los trámites administrativos necesarios para dar cumplimiento al presente acuerdo. </w:t>
      </w:r>
    </w:p>
    <w:p w14:paraId="7BE258A6" w14:textId="0EA4EB37" w:rsidR="00154312" w:rsidRPr="00E867D6" w:rsidRDefault="00154312" w:rsidP="00154312">
      <w:pPr>
        <w:spacing w:after="0"/>
        <w:rPr>
          <w:rFonts w:ascii="Arial" w:hAnsi="Arial" w:cs="Arial"/>
          <w:color w:val="000000" w:themeColor="text1"/>
          <w:sz w:val="22"/>
        </w:rPr>
      </w:pPr>
      <w:r w:rsidRPr="00E867D6">
        <w:rPr>
          <w:rFonts w:ascii="Arial" w:hAnsi="Arial" w:cs="Arial"/>
          <w:color w:val="000000" w:themeColor="text1"/>
          <w:sz w:val="22"/>
        </w:rPr>
        <w:t xml:space="preserve">El presente acuerdo fue aprobado en sesión </w:t>
      </w:r>
      <w:r w:rsidR="00DE32B4" w:rsidRPr="00E867D6">
        <w:rPr>
          <w:rFonts w:ascii="Arial" w:hAnsi="Arial" w:cs="Arial"/>
          <w:color w:val="000000" w:themeColor="text1"/>
          <w:sz w:val="22"/>
        </w:rPr>
        <w:t>extra</w:t>
      </w:r>
      <w:r w:rsidRPr="00E867D6">
        <w:rPr>
          <w:rFonts w:ascii="Arial" w:hAnsi="Arial" w:cs="Arial"/>
          <w:color w:val="000000" w:themeColor="text1"/>
          <w:sz w:val="22"/>
        </w:rPr>
        <w:t xml:space="preserve">ordinaria efectuada el día </w:t>
      </w:r>
      <w:r w:rsidR="00DE32B4" w:rsidRPr="00E867D6">
        <w:rPr>
          <w:rFonts w:ascii="Arial" w:hAnsi="Arial" w:cs="Arial"/>
          <w:color w:val="000000" w:themeColor="text1"/>
          <w:sz w:val="22"/>
        </w:rPr>
        <w:t>trece</w:t>
      </w:r>
      <w:r w:rsidRPr="00E867D6">
        <w:rPr>
          <w:rFonts w:ascii="Arial" w:hAnsi="Arial" w:cs="Arial"/>
          <w:color w:val="000000" w:themeColor="text1"/>
          <w:sz w:val="22"/>
        </w:rPr>
        <w:t xml:space="preserve"> de</w:t>
      </w:r>
      <w:r w:rsidR="00DE32B4" w:rsidRPr="00E867D6">
        <w:rPr>
          <w:rFonts w:ascii="Arial" w:hAnsi="Arial" w:cs="Arial"/>
          <w:color w:val="000000" w:themeColor="text1"/>
          <w:sz w:val="22"/>
        </w:rPr>
        <w:t xml:space="preserve"> octubre</w:t>
      </w:r>
      <w:r w:rsidRPr="00E867D6">
        <w:rPr>
          <w:rFonts w:ascii="Arial" w:hAnsi="Arial" w:cs="Arial"/>
          <w:color w:val="000000" w:themeColor="text1"/>
          <w:sz w:val="22"/>
        </w:rPr>
        <w:t xml:space="preserve"> del año dos mil veinticinco, por votación unánime de la y los integrantes de la Junta Estatal Ejecutiva del Instituto Electoral y de Participación Ciudadana de Tabasco: Mtro. Paul Alejandro González Torruco, Director de Administración; L</w:t>
      </w:r>
      <w:bookmarkStart w:id="2" w:name="_GoBack"/>
      <w:bookmarkEnd w:id="2"/>
      <w:r w:rsidRPr="00E867D6">
        <w:rPr>
          <w:rFonts w:ascii="Arial" w:hAnsi="Arial" w:cs="Arial"/>
          <w:color w:val="000000" w:themeColor="text1"/>
          <w:sz w:val="22"/>
        </w:rPr>
        <w:t>ic. Ricardo Araiza González, Director de Organización Electoral y Educación Cívica, Lic. Jorge Alberto Zavala Frías, Secretario Ejecutivo y Mtra. Elizabeth Nava Gutiérrez, Presidenta de la Junta Estatal Ejecutiva.</w:t>
      </w:r>
    </w:p>
    <w:p w14:paraId="356FC7E7" w14:textId="5A871527" w:rsidR="00154312" w:rsidRDefault="00154312" w:rsidP="00154312">
      <w:pPr>
        <w:spacing w:after="0"/>
        <w:rPr>
          <w:rFonts w:ascii="Arial" w:hAnsi="Arial" w:cs="Arial"/>
          <w:color w:val="000000" w:themeColor="text1"/>
          <w:sz w:val="22"/>
        </w:rPr>
      </w:pPr>
    </w:p>
    <w:p w14:paraId="0B434CF1" w14:textId="1A754DE3" w:rsidR="00E867D6" w:rsidRDefault="00E867D6" w:rsidP="00154312">
      <w:pPr>
        <w:spacing w:after="0"/>
        <w:rPr>
          <w:rFonts w:ascii="Arial" w:hAnsi="Arial" w:cs="Arial"/>
          <w:color w:val="000000" w:themeColor="text1"/>
          <w:sz w:val="22"/>
        </w:rPr>
      </w:pPr>
    </w:p>
    <w:p w14:paraId="2139C087" w14:textId="77777777" w:rsidR="004D71A9" w:rsidRDefault="004D71A9" w:rsidP="00154312">
      <w:pPr>
        <w:spacing w:after="0"/>
        <w:rPr>
          <w:rFonts w:ascii="Arial" w:hAnsi="Arial" w:cs="Arial"/>
          <w:color w:val="000000" w:themeColor="text1"/>
          <w:sz w:val="22"/>
        </w:rPr>
      </w:pPr>
    </w:p>
    <w:tbl>
      <w:tblPr>
        <w:tblStyle w:val="Tablaconcuadrcula"/>
        <w:tblW w:w="9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764"/>
        <w:gridCol w:w="4326"/>
      </w:tblGrid>
      <w:tr w:rsidR="00154312" w:rsidRPr="00A9223C" w14:paraId="68732BF8" w14:textId="77777777" w:rsidTr="00E867D6">
        <w:trPr>
          <w:trHeight w:val="549"/>
        </w:trPr>
        <w:tc>
          <w:tcPr>
            <w:tcW w:w="4426" w:type="dxa"/>
          </w:tcPr>
          <w:p w14:paraId="78C674E8" w14:textId="77777777" w:rsidR="00154312" w:rsidRPr="00231982" w:rsidRDefault="00154312" w:rsidP="006C44A4">
            <w:pPr>
              <w:spacing w:before="0" w:after="0" w:line="281" w:lineRule="auto"/>
              <w:jc w:val="center"/>
              <w:rPr>
                <w:rFonts w:ascii="Arial" w:hAnsi="Arial" w:cs="Arial"/>
                <w:b/>
                <w:sz w:val="22"/>
              </w:rPr>
            </w:pPr>
            <w:r w:rsidRPr="00231982">
              <w:rPr>
                <w:rFonts w:ascii="Arial" w:hAnsi="Arial" w:cs="Arial"/>
                <w:b/>
                <w:sz w:val="22"/>
              </w:rPr>
              <w:t>MTRA. ELIZABETH NAVA GUTIÉRREZ</w:t>
            </w:r>
          </w:p>
          <w:p w14:paraId="707FE46F" w14:textId="77777777" w:rsidR="00154312" w:rsidRPr="00231982" w:rsidRDefault="00154312" w:rsidP="006C44A4">
            <w:pPr>
              <w:spacing w:before="0" w:after="0" w:line="281" w:lineRule="auto"/>
              <w:jc w:val="center"/>
              <w:rPr>
                <w:rFonts w:ascii="Arial" w:hAnsi="Arial" w:cs="Arial"/>
                <w:b/>
                <w:sz w:val="22"/>
              </w:rPr>
            </w:pPr>
            <w:r w:rsidRPr="00231982">
              <w:rPr>
                <w:rFonts w:ascii="Arial" w:hAnsi="Arial" w:cs="Arial"/>
                <w:b/>
                <w:sz w:val="22"/>
              </w:rPr>
              <w:t>CONSEJERA PRESIDENTA</w:t>
            </w:r>
          </w:p>
        </w:tc>
        <w:tc>
          <w:tcPr>
            <w:tcW w:w="764" w:type="dxa"/>
          </w:tcPr>
          <w:p w14:paraId="756B75C6" w14:textId="77777777" w:rsidR="00154312" w:rsidRPr="00A36C59" w:rsidRDefault="00154312" w:rsidP="006C44A4">
            <w:pPr>
              <w:spacing w:before="0" w:after="0" w:line="281" w:lineRule="auto"/>
              <w:jc w:val="center"/>
              <w:rPr>
                <w:rFonts w:ascii="Arial" w:hAnsi="Arial" w:cs="Arial"/>
                <w:b/>
                <w:color w:val="EE0000"/>
                <w:sz w:val="22"/>
              </w:rPr>
            </w:pPr>
          </w:p>
        </w:tc>
        <w:tc>
          <w:tcPr>
            <w:tcW w:w="4326" w:type="dxa"/>
          </w:tcPr>
          <w:p w14:paraId="36922C15" w14:textId="77777777" w:rsidR="00154312" w:rsidRPr="00231982" w:rsidRDefault="00154312" w:rsidP="006C44A4">
            <w:pPr>
              <w:spacing w:before="0" w:after="0" w:line="281" w:lineRule="auto"/>
              <w:jc w:val="center"/>
              <w:rPr>
                <w:rFonts w:ascii="Arial" w:hAnsi="Arial" w:cs="Arial"/>
                <w:b/>
                <w:sz w:val="22"/>
              </w:rPr>
            </w:pPr>
            <w:r w:rsidRPr="00231982">
              <w:rPr>
                <w:rFonts w:ascii="Arial" w:hAnsi="Arial" w:cs="Arial"/>
                <w:b/>
                <w:sz w:val="22"/>
              </w:rPr>
              <w:t>LIC. JORGE ALBERTO ZAVALA FRÍAS</w:t>
            </w:r>
          </w:p>
          <w:p w14:paraId="20B204E9" w14:textId="77777777" w:rsidR="00154312" w:rsidRPr="00231982" w:rsidRDefault="00154312" w:rsidP="006C44A4">
            <w:pPr>
              <w:spacing w:before="0" w:after="0" w:line="281" w:lineRule="auto"/>
              <w:jc w:val="center"/>
              <w:rPr>
                <w:rFonts w:ascii="Arial" w:hAnsi="Arial" w:cs="Arial"/>
                <w:b/>
                <w:sz w:val="22"/>
              </w:rPr>
            </w:pPr>
            <w:r w:rsidRPr="00231982">
              <w:rPr>
                <w:rFonts w:ascii="Arial" w:hAnsi="Arial" w:cs="Arial"/>
                <w:b/>
                <w:sz w:val="22"/>
              </w:rPr>
              <w:t>SECRETARIO EJECUTIVO</w:t>
            </w:r>
          </w:p>
        </w:tc>
      </w:tr>
    </w:tbl>
    <w:p w14:paraId="48C001E2" w14:textId="77777777" w:rsidR="00D3718E" w:rsidRDefault="00D3718E"/>
    <w:sectPr w:rsidR="00D3718E" w:rsidSect="00E867D6">
      <w:headerReference w:type="default" r:id="rId7"/>
      <w:footerReference w:type="default" r:id="rId8"/>
      <w:pgSz w:w="12240" w:h="15840" w:code="1"/>
      <w:pgMar w:top="2836" w:right="1467"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C52D2" w14:textId="77777777" w:rsidR="004F063B" w:rsidRDefault="004F063B">
      <w:pPr>
        <w:spacing w:before="0" w:after="0" w:line="240" w:lineRule="auto"/>
      </w:pPr>
      <w:r>
        <w:separator/>
      </w:r>
    </w:p>
  </w:endnote>
  <w:endnote w:type="continuationSeparator" w:id="0">
    <w:p w14:paraId="6F67F5C1" w14:textId="77777777" w:rsidR="004F063B" w:rsidRDefault="004F06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xo">
    <w:altName w:val="Times New Roman"/>
    <w:charset w:val="00"/>
    <w:family w:val="auto"/>
    <w:pitch w:val="variable"/>
    <w:sig w:usb0="A00000FF" w:usb1="4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bCs/>
        <w:color w:val="660033"/>
        <w:lang w:val="es-ES"/>
      </w:rPr>
      <w:id w:val="1809668500"/>
      <w:docPartObj>
        <w:docPartGallery w:val="Page Numbers (Bottom of Page)"/>
        <w:docPartUnique/>
      </w:docPartObj>
    </w:sdtPr>
    <w:sdtEndPr>
      <w:rPr>
        <w:szCs w:val="20"/>
      </w:rPr>
    </w:sdtEndPr>
    <w:sdtContent>
      <w:p w14:paraId="6C52AD70" w14:textId="76948017" w:rsidR="00154312" w:rsidRPr="004C0D83" w:rsidRDefault="00154312" w:rsidP="0063799F">
        <w:pPr>
          <w:pStyle w:val="Piedepgina"/>
          <w:jc w:val="right"/>
          <w:rPr>
            <w:rFonts w:ascii="Arial" w:hAnsi="Arial" w:cs="Arial"/>
            <w:b/>
            <w:bCs/>
            <w:color w:val="660033"/>
            <w:szCs w:val="20"/>
            <w:lang w:val="es-ES"/>
          </w:rPr>
        </w:pPr>
        <w:r w:rsidRPr="004C0D83">
          <w:rPr>
            <w:rFonts w:ascii="Arial" w:hAnsi="Arial" w:cs="Arial"/>
            <w:b/>
            <w:bCs/>
            <w:color w:val="660033"/>
            <w:szCs w:val="20"/>
            <w:lang w:val="es-ES"/>
          </w:rPr>
          <w:t xml:space="preserve">Página  </w:t>
        </w:r>
        <w:r w:rsidRPr="004C0D83">
          <w:rPr>
            <w:rFonts w:ascii="Arial" w:hAnsi="Arial" w:cs="Arial"/>
            <w:b/>
            <w:bCs/>
            <w:color w:val="660033"/>
            <w:szCs w:val="20"/>
          </w:rPr>
          <w:fldChar w:fldCharType="begin"/>
        </w:r>
        <w:r w:rsidRPr="004C0D83">
          <w:rPr>
            <w:rFonts w:ascii="Arial" w:hAnsi="Arial" w:cs="Arial"/>
            <w:b/>
            <w:bCs/>
            <w:color w:val="660033"/>
            <w:szCs w:val="20"/>
          </w:rPr>
          <w:instrText>PAGE   \* MERGEFORMAT</w:instrText>
        </w:r>
        <w:r w:rsidRPr="004C0D83">
          <w:rPr>
            <w:rFonts w:ascii="Arial" w:hAnsi="Arial" w:cs="Arial"/>
            <w:b/>
            <w:bCs/>
            <w:color w:val="660033"/>
            <w:szCs w:val="20"/>
          </w:rPr>
          <w:fldChar w:fldCharType="separate"/>
        </w:r>
        <w:r w:rsidR="00EB3476">
          <w:rPr>
            <w:rFonts w:ascii="Arial" w:hAnsi="Arial" w:cs="Arial"/>
            <w:b/>
            <w:bCs/>
            <w:noProof/>
            <w:color w:val="660033"/>
            <w:szCs w:val="20"/>
          </w:rPr>
          <w:t>4</w:t>
        </w:r>
        <w:r w:rsidRPr="004C0D83">
          <w:rPr>
            <w:rFonts w:ascii="Arial" w:hAnsi="Arial" w:cs="Arial"/>
            <w:b/>
            <w:bCs/>
            <w:color w:val="660033"/>
            <w:szCs w:val="20"/>
          </w:rPr>
          <w:fldChar w:fldCharType="end"/>
        </w:r>
        <w:r w:rsidRPr="004C0D83">
          <w:rPr>
            <w:rFonts w:ascii="Arial" w:hAnsi="Arial" w:cs="Arial"/>
            <w:b/>
            <w:bCs/>
            <w:color w:val="660033"/>
            <w:szCs w:val="20"/>
            <w:lang w:val="es-ES"/>
          </w:rPr>
          <w:t xml:space="preserve"> | </w:t>
        </w:r>
        <w:r w:rsidRPr="004C0D83">
          <w:rPr>
            <w:rFonts w:ascii="Arial" w:hAnsi="Arial" w:cs="Arial"/>
            <w:b/>
            <w:bCs/>
            <w:color w:val="660033"/>
            <w:szCs w:val="20"/>
            <w:lang w:val="es-ES"/>
          </w:rPr>
          <w:fldChar w:fldCharType="begin"/>
        </w:r>
        <w:r w:rsidRPr="004C0D83">
          <w:rPr>
            <w:rFonts w:ascii="Arial" w:hAnsi="Arial" w:cs="Arial"/>
            <w:b/>
            <w:bCs/>
            <w:color w:val="660033"/>
            <w:szCs w:val="20"/>
            <w:lang w:val="es-ES"/>
          </w:rPr>
          <w:instrText xml:space="preserve"> NUMPAGES   \* MERGEFORMAT </w:instrText>
        </w:r>
        <w:r w:rsidRPr="004C0D83">
          <w:rPr>
            <w:rFonts w:ascii="Arial" w:hAnsi="Arial" w:cs="Arial"/>
            <w:b/>
            <w:bCs/>
            <w:color w:val="660033"/>
            <w:szCs w:val="20"/>
            <w:lang w:val="es-ES"/>
          </w:rPr>
          <w:fldChar w:fldCharType="separate"/>
        </w:r>
        <w:r w:rsidR="00EB3476">
          <w:rPr>
            <w:rFonts w:ascii="Arial" w:hAnsi="Arial" w:cs="Arial"/>
            <w:b/>
            <w:bCs/>
            <w:noProof/>
            <w:color w:val="660033"/>
            <w:szCs w:val="20"/>
            <w:lang w:val="es-ES"/>
          </w:rPr>
          <w:t>6</w:t>
        </w:r>
        <w:r w:rsidRPr="004C0D83">
          <w:rPr>
            <w:rFonts w:ascii="Arial" w:hAnsi="Arial" w:cs="Arial"/>
            <w:b/>
            <w:bCs/>
            <w:color w:val="660033"/>
            <w:szCs w:val="20"/>
            <w:lang w:val="es-ES"/>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7ADE6" w14:textId="77777777" w:rsidR="004F063B" w:rsidRDefault="004F063B">
      <w:pPr>
        <w:spacing w:before="0" w:after="0" w:line="240" w:lineRule="auto"/>
      </w:pPr>
      <w:r>
        <w:separator/>
      </w:r>
    </w:p>
  </w:footnote>
  <w:footnote w:type="continuationSeparator" w:id="0">
    <w:p w14:paraId="0CDCCDA5" w14:textId="77777777" w:rsidR="004F063B" w:rsidRDefault="004F06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37"/>
      <w:gridCol w:w="1701"/>
    </w:tblGrid>
    <w:tr w:rsidR="00154312" w:rsidRPr="00CD4F78" w14:paraId="5ADAF28F" w14:textId="77777777" w:rsidTr="00166A61">
      <w:tc>
        <w:tcPr>
          <w:tcW w:w="1418" w:type="dxa"/>
        </w:tcPr>
        <w:p w14:paraId="09945E7F" w14:textId="77777777" w:rsidR="00154312" w:rsidRPr="00CD4F78" w:rsidRDefault="00154312" w:rsidP="0063799F">
          <w:pPr>
            <w:pStyle w:val="Encabezado"/>
            <w:ind w:left="-170"/>
            <w:rPr>
              <w:rFonts w:ascii="Arial" w:hAnsi="Arial"/>
            </w:rPr>
          </w:pPr>
          <w:r w:rsidRPr="00CD4F78">
            <w:rPr>
              <w:rFonts w:ascii="Arial" w:hAnsi="Arial"/>
              <w:b/>
              <w:noProof/>
              <w:sz w:val="32"/>
              <w:lang w:eastAsia="es-MX"/>
            </w:rPr>
            <w:drawing>
              <wp:inline distT="0" distB="0" distL="0" distR="0" wp14:anchorId="19DC25D5" wp14:editId="2DA419AC">
                <wp:extent cx="1014331" cy="1199403"/>
                <wp:effectExtent l="0" t="0" r="0" b="127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AB_Color.png"/>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37" w:type="dxa"/>
        </w:tcPr>
        <w:p w14:paraId="1BF9E42A" w14:textId="77777777" w:rsidR="00154312" w:rsidRPr="004C0D83" w:rsidRDefault="00154312" w:rsidP="0063799F">
          <w:pPr>
            <w:pStyle w:val="Encabezado"/>
            <w:spacing w:before="720"/>
            <w:jc w:val="center"/>
            <w:rPr>
              <w:rFonts w:ascii="Arial" w:hAnsi="Arial" w:cs="Arial"/>
              <w:b/>
              <w:bCs/>
              <w:szCs w:val="24"/>
            </w:rPr>
          </w:pPr>
          <w:r w:rsidRPr="004C0D83">
            <w:rPr>
              <w:rFonts w:ascii="Arial" w:hAnsi="Arial" w:cs="Arial"/>
              <w:b/>
              <w:bCs/>
              <w:szCs w:val="24"/>
            </w:rPr>
            <w:t>INSTITUTO ELECTORAL Y DE PARTICIPACIÓN CIUDADANA DE TABASCO</w:t>
          </w:r>
        </w:p>
        <w:p w14:paraId="5CB2D14F" w14:textId="77777777" w:rsidR="00154312" w:rsidRPr="00CD4F78" w:rsidRDefault="00154312" w:rsidP="0063799F">
          <w:pPr>
            <w:pStyle w:val="Encabezado"/>
            <w:jc w:val="center"/>
            <w:rPr>
              <w:rFonts w:ascii="Arial" w:hAnsi="Arial"/>
              <w:sz w:val="25"/>
              <w:szCs w:val="25"/>
            </w:rPr>
          </w:pPr>
          <w:r w:rsidRPr="004C0D83">
            <w:rPr>
              <w:rFonts w:ascii="Arial" w:hAnsi="Arial" w:cs="Arial"/>
              <w:szCs w:val="24"/>
            </w:rPr>
            <w:t>JUNTA ESTATAL EJECUTIVA</w:t>
          </w:r>
        </w:p>
      </w:tc>
      <w:tc>
        <w:tcPr>
          <w:tcW w:w="1701" w:type="dxa"/>
        </w:tcPr>
        <w:p w14:paraId="5314AA6D" w14:textId="77777777" w:rsidR="00154312" w:rsidRPr="00CD4F78" w:rsidRDefault="00154312" w:rsidP="0063799F">
          <w:pPr>
            <w:pStyle w:val="Encabezado"/>
            <w:spacing w:before="480"/>
            <w:rPr>
              <w:rFonts w:ascii="Arial" w:hAnsi="Arial"/>
            </w:rPr>
          </w:pPr>
          <w:r>
            <w:rPr>
              <w:rFonts w:ascii="Arial" w:hAnsi="Arial"/>
              <w:noProof/>
              <w:lang w:eastAsia="es-MX"/>
            </w:rPr>
            <w:drawing>
              <wp:inline distT="0" distB="0" distL="0" distR="0" wp14:anchorId="0B79A54B" wp14:editId="54C6DE80">
                <wp:extent cx="942975" cy="774065"/>
                <wp:effectExtent l="0" t="0" r="9525" b="6985"/>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PCT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2975" cy="774065"/>
                        </a:xfrm>
                        <a:prstGeom prst="rect">
                          <a:avLst/>
                        </a:prstGeom>
                      </pic:spPr>
                    </pic:pic>
                  </a:graphicData>
                </a:graphic>
              </wp:inline>
            </w:drawing>
          </w:r>
        </w:p>
      </w:tc>
    </w:tr>
  </w:tbl>
  <w:p w14:paraId="1C98456C" w14:textId="45D3B066" w:rsidR="00154312" w:rsidRPr="004C0D83" w:rsidRDefault="00154312" w:rsidP="004C0D83">
    <w:pPr>
      <w:pStyle w:val="Encabezado"/>
      <w:jc w:val="right"/>
      <w:rPr>
        <w:rFonts w:ascii="Arial" w:hAnsi="Arial" w:cs="Arial"/>
        <w:b/>
      </w:rPr>
    </w:pPr>
    <w:proofErr w:type="spellStart"/>
    <w:r>
      <w:rPr>
        <w:rFonts w:ascii="Arial" w:hAnsi="Arial" w:cs="Arial"/>
        <w:b/>
      </w:rPr>
      <w:t>JEE</w:t>
    </w:r>
    <w:proofErr w:type="spellEnd"/>
    <w:r>
      <w:rPr>
        <w:rFonts w:ascii="Arial" w:hAnsi="Arial" w:cs="Arial"/>
        <w:b/>
      </w:rPr>
      <w:t>/2025/0</w:t>
    </w:r>
    <w:r w:rsidR="00E867D6">
      <w:rPr>
        <w:rFonts w:ascii="Arial" w:hAnsi="Arial" w:cs="Arial"/>
        <w:b/>
      </w:rPr>
      <w:t>32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418F3"/>
    <w:multiLevelType w:val="multilevel"/>
    <w:tmpl w:val="C39CD052"/>
    <w:lvl w:ilvl="0">
      <w:start w:val="1"/>
      <w:numFmt w:val="decimal"/>
      <w:lvlText w:val="%1"/>
      <w:lvlJc w:val="left"/>
      <w:pPr>
        <w:ind w:left="791" w:hanging="360"/>
      </w:pPr>
      <w:rPr>
        <w:rFonts w:hint="default"/>
      </w:rPr>
    </w:lvl>
    <w:lvl w:ilvl="1">
      <w:start w:val="2"/>
      <w:numFmt w:val="decimal"/>
      <w:isLgl/>
      <w:lvlText w:val="%1.%2"/>
      <w:lvlJc w:val="left"/>
      <w:pPr>
        <w:ind w:left="791" w:hanging="360"/>
      </w:pPr>
      <w:rPr>
        <w:rFonts w:hint="default"/>
      </w:rPr>
    </w:lvl>
    <w:lvl w:ilvl="2">
      <w:start w:val="1"/>
      <w:numFmt w:val="decimal"/>
      <w:isLgl/>
      <w:lvlText w:val="%1.%2.%3"/>
      <w:lvlJc w:val="left"/>
      <w:pPr>
        <w:ind w:left="1151" w:hanging="720"/>
      </w:pPr>
      <w:rPr>
        <w:rFonts w:hint="default"/>
      </w:rPr>
    </w:lvl>
    <w:lvl w:ilvl="3">
      <w:start w:val="1"/>
      <w:numFmt w:val="decimal"/>
      <w:isLgl/>
      <w:lvlText w:val="%1.%2.%3.%4"/>
      <w:lvlJc w:val="left"/>
      <w:pPr>
        <w:ind w:left="1151" w:hanging="720"/>
      </w:pPr>
      <w:rPr>
        <w:rFonts w:hint="default"/>
      </w:rPr>
    </w:lvl>
    <w:lvl w:ilvl="4">
      <w:start w:val="1"/>
      <w:numFmt w:val="decimal"/>
      <w:isLgl/>
      <w:lvlText w:val="%1.%2.%3.%4.%5"/>
      <w:lvlJc w:val="left"/>
      <w:pPr>
        <w:ind w:left="1511" w:hanging="1080"/>
      </w:pPr>
      <w:rPr>
        <w:rFonts w:hint="default"/>
      </w:rPr>
    </w:lvl>
    <w:lvl w:ilvl="5">
      <w:start w:val="1"/>
      <w:numFmt w:val="decimal"/>
      <w:isLgl/>
      <w:lvlText w:val="%1.%2.%3.%4.%5.%6"/>
      <w:lvlJc w:val="left"/>
      <w:pPr>
        <w:ind w:left="1871" w:hanging="1440"/>
      </w:pPr>
      <w:rPr>
        <w:rFonts w:hint="default"/>
      </w:rPr>
    </w:lvl>
    <w:lvl w:ilvl="6">
      <w:start w:val="1"/>
      <w:numFmt w:val="decimal"/>
      <w:isLgl/>
      <w:lvlText w:val="%1.%2.%3.%4.%5.%6.%7"/>
      <w:lvlJc w:val="left"/>
      <w:pPr>
        <w:ind w:left="1871" w:hanging="1440"/>
      </w:pPr>
      <w:rPr>
        <w:rFonts w:hint="default"/>
      </w:rPr>
    </w:lvl>
    <w:lvl w:ilvl="7">
      <w:start w:val="1"/>
      <w:numFmt w:val="decimal"/>
      <w:isLgl/>
      <w:lvlText w:val="%1.%2.%3.%4.%5.%6.%7.%8"/>
      <w:lvlJc w:val="left"/>
      <w:pPr>
        <w:ind w:left="2231" w:hanging="1800"/>
      </w:pPr>
      <w:rPr>
        <w:rFonts w:hint="default"/>
      </w:rPr>
    </w:lvl>
    <w:lvl w:ilvl="8">
      <w:start w:val="1"/>
      <w:numFmt w:val="decimal"/>
      <w:isLgl/>
      <w:lvlText w:val="%1.%2.%3.%4.%5.%6.%7.%8.%9"/>
      <w:lvlJc w:val="left"/>
      <w:pPr>
        <w:ind w:left="2231" w:hanging="1800"/>
      </w:pPr>
      <w:rPr>
        <w:rFonts w:hint="default"/>
      </w:rPr>
    </w:lvl>
  </w:abstractNum>
  <w:abstractNum w:abstractNumId="1" w15:restartNumberingAfterBreak="0">
    <w:nsid w:val="177802A3"/>
    <w:multiLevelType w:val="hybridMultilevel"/>
    <w:tmpl w:val="94449D4A"/>
    <w:lvl w:ilvl="0" w:tplc="133C4C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3A06E6"/>
    <w:multiLevelType w:val="hybridMultilevel"/>
    <w:tmpl w:val="7B004E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671CC1"/>
    <w:multiLevelType w:val="hybridMultilevel"/>
    <w:tmpl w:val="0A469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93403D"/>
    <w:multiLevelType w:val="hybridMultilevel"/>
    <w:tmpl w:val="FCA62AD4"/>
    <w:lvl w:ilvl="0" w:tplc="080A0017">
      <w:start w:val="1"/>
      <w:numFmt w:val="lowerLetter"/>
      <w:lvlText w:val="%1)"/>
      <w:lvlJc w:val="left"/>
      <w:pPr>
        <w:ind w:left="720" w:hanging="360"/>
      </w:pPr>
      <w:rPr>
        <w:rFonts w:hint="default"/>
      </w:rPr>
    </w:lvl>
    <w:lvl w:ilvl="1" w:tplc="9BBACE5E">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DEB1AB0"/>
    <w:multiLevelType w:val="hybridMultilevel"/>
    <w:tmpl w:val="0A106CF8"/>
    <w:lvl w:ilvl="0" w:tplc="8D2696C0">
      <w:start w:val="4"/>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12"/>
    <w:rsid w:val="00022F62"/>
    <w:rsid w:val="00154312"/>
    <w:rsid w:val="001A204E"/>
    <w:rsid w:val="001C7162"/>
    <w:rsid w:val="002D3799"/>
    <w:rsid w:val="003857AD"/>
    <w:rsid w:val="003B5AED"/>
    <w:rsid w:val="004D71A9"/>
    <w:rsid w:val="004F063B"/>
    <w:rsid w:val="00585F9C"/>
    <w:rsid w:val="006849C8"/>
    <w:rsid w:val="00692A3D"/>
    <w:rsid w:val="006B7F36"/>
    <w:rsid w:val="006E62C4"/>
    <w:rsid w:val="00713ECC"/>
    <w:rsid w:val="008B14E8"/>
    <w:rsid w:val="008B2935"/>
    <w:rsid w:val="009D674F"/>
    <w:rsid w:val="00B32004"/>
    <w:rsid w:val="00C4180D"/>
    <w:rsid w:val="00D3718E"/>
    <w:rsid w:val="00DE32B4"/>
    <w:rsid w:val="00DF0B6D"/>
    <w:rsid w:val="00E77DDF"/>
    <w:rsid w:val="00E867D6"/>
    <w:rsid w:val="00EB3476"/>
    <w:rsid w:val="00EC1392"/>
    <w:rsid w:val="00FA2B26"/>
    <w:rsid w:val="00FB22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A441"/>
  <w15:chartTrackingRefBased/>
  <w15:docId w15:val="{7AD2BCD3-B96C-4798-9802-EA49E84D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312"/>
    <w:pPr>
      <w:spacing w:before="240" w:after="240"/>
      <w:jc w:val="both"/>
    </w:pPr>
    <w:rPr>
      <w:rFonts w:ascii="Exo" w:hAnsi="Exo"/>
      <w:sz w:val="24"/>
    </w:rPr>
  </w:style>
  <w:style w:type="paragraph" w:styleId="Ttulo1">
    <w:name w:val="heading 1"/>
    <w:basedOn w:val="Normal"/>
    <w:next w:val="Normal"/>
    <w:link w:val="Ttulo1Car"/>
    <w:uiPriority w:val="9"/>
    <w:qFormat/>
    <w:rsid w:val="00154312"/>
    <w:pPr>
      <w:keepNext/>
      <w:keepLines/>
      <w:spacing w:before="360" w:after="80"/>
      <w:jc w:val="center"/>
      <w:outlineLvl w:val="0"/>
    </w:pPr>
    <w:rPr>
      <w:rFonts w:ascii="Arial" w:eastAsiaTheme="majorEastAsia" w:hAnsi="Arial" w:cstheme="majorBidi"/>
      <w:b/>
      <w:color w:val="000000" w:themeColor="text1"/>
      <w:sz w:val="28"/>
      <w:szCs w:val="40"/>
    </w:rPr>
  </w:style>
  <w:style w:type="paragraph" w:styleId="Ttulo2">
    <w:name w:val="heading 2"/>
    <w:basedOn w:val="Normal"/>
    <w:next w:val="Normal"/>
    <w:link w:val="Ttulo2Car"/>
    <w:uiPriority w:val="9"/>
    <w:unhideWhenUsed/>
    <w:qFormat/>
    <w:rsid w:val="00154312"/>
    <w:pPr>
      <w:keepNext/>
      <w:keepLines/>
      <w:spacing w:before="160" w:after="80"/>
      <w:outlineLvl w:val="1"/>
    </w:pPr>
    <w:rPr>
      <w:rFonts w:ascii="Arial" w:eastAsiaTheme="majorEastAsia" w:hAnsi="Arial" w:cstheme="majorBidi"/>
      <w:b/>
      <w:color w:val="000000" w:themeColor="text1"/>
      <w:szCs w:val="32"/>
    </w:rPr>
  </w:style>
  <w:style w:type="paragraph" w:styleId="Ttulo3">
    <w:name w:val="heading 3"/>
    <w:basedOn w:val="Normal"/>
    <w:next w:val="Normal"/>
    <w:link w:val="Ttulo3Car"/>
    <w:uiPriority w:val="9"/>
    <w:semiHidden/>
    <w:unhideWhenUsed/>
    <w:qFormat/>
    <w:rsid w:val="00154312"/>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154312"/>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154312"/>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1543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43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43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43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4312"/>
    <w:rPr>
      <w:rFonts w:ascii="Arial" w:eastAsiaTheme="majorEastAsia" w:hAnsi="Arial" w:cstheme="majorBidi"/>
      <w:b/>
      <w:color w:val="000000" w:themeColor="text1"/>
      <w:sz w:val="28"/>
      <w:szCs w:val="40"/>
    </w:rPr>
  </w:style>
  <w:style w:type="character" w:customStyle="1" w:styleId="Ttulo2Car">
    <w:name w:val="Título 2 Car"/>
    <w:basedOn w:val="Fuentedeprrafopredeter"/>
    <w:link w:val="Ttulo2"/>
    <w:uiPriority w:val="9"/>
    <w:rsid w:val="00154312"/>
    <w:rPr>
      <w:rFonts w:ascii="Arial" w:eastAsiaTheme="majorEastAsia" w:hAnsi="Arial" w:cstheme="majorBidi"/>
      <w:b/>
      <w:color w:val="000000" w:themeColor="text1"/>
      <w:sz w:val="24"/>
      <w:szCs w:val="32"/>
    </w:rPr>
  </w:style>
  <w:style w:type="character" w:customStyle="1" w:styleId="Ttulo3Car">
    <w:name w:val="Título 3 Car"/>
    <w:basedOn w:val="Fuentedeprrafopredeter"/>
    <w:link w:val="Ttulo3"/>
    <w:uiPriority w:val="9"/>
    <w:semiHidden/>
    <w:rsid w:val="00154312"/>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154312"/>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154312"/>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1543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43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43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4312"/>
    <w:rPr>
      <w:rFonts w:eastAsiaTheme="majorEastAsia" w:cstheme="majorBidi"/>
      <w:color w:val="272727" w:themeColor="text1" w:themeTint="D8"/>
    </w:rPr>
  </w:style>
  <w:style w:type="paragraph" w:styleId="Ttulo">
    <w:name w:val="Title"/>
    <w:basedOn w:val="Normal"/>
    <w:next w:val="Normal"/>
    <w:link w:val="TtuloCar"/>
    <w:uiPriority w:val="10"/>
    <w:qFormat/>
    <w:rsid w:val="00154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43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43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43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4312"/>
    <w:pPr>
      <w:spacing w:before="160"/>
      <w:jc w:val="center"/>
    </w:pPr>
    <w:rPr>
      <w:i/>
      <w:iCs/>
      <w:color w:val="404040" w:themeColor="text1" w:themeTint="BF"/>
    </w:rPr>
  </w:style>
  <w:style w:type="character" w:customStyle="1" w:styleId="CitaCar">
    <w:name w:val="Cita Car"/>
    <w:basedOn w:val="Fuentedeprrafopredeter"/>
    <w:link w:val="Cita"/>
    <w:uiPriority w:val="29"/>
    <w:rsid w:val="00154312"/>
    <w:rPr>
      <w:i/>
      <w:iCs/>
      <w:color w:val="404040" w:themeColor="text1" w:themeTint="BF"/>
    </w:rPr>
  </w:style>
  <w:style w:type="paragraph" w:styleId="Prrafodelista">
    <w:name w:val="List Paragraph"/>
    <w:basedOn w:val="Normal"/>
    <w:uiPriority w:val="34"/>
    <w:qFormat/>
    <w:rsid w:val="00154312"/>
    <w:pPr>
      <w:ind w:left="720"/>
      <w:contextualSpacing/>
    </w:pPr>
  </w:style>
  <w:style w:type="character" w:styleId="nfasisintenso">
    <w:name w:val="Intense Emphasis"/>
    <w:basedOn w:val="Fuentedeprrafopredeter"/>
    <w:uiPriority w:val="21"/>
    <w:qFormat/>
    <w:rsid w:val="00154312"/>
    <w:rPr>
      <w:i/>
      <w:iCs/>
      <w:color w:val="2E74B5" w:themeColor="accent1" w:themeShade="BF"/>
    </w:rPr>
  </w:style>
  <w:style w:type="paragraph" w:styleId="Citadestacada">
    <w:name w:val="Intense Quote"/>
    <w:basedOn w:val="Normal"/>
    <w:next w:val="Normal"/>
    <w:link w:val="CitadestacadaCar"/>
    <w:uiPriority w:val="30"/>
    <w:qFormat/>
    <w:rsid w:val="001543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154312"/>
    <w:rPr>
      <w:i/>
      <w:iCs/>
      <w:color w:val="2E74B5" w:themeColor="accent1" w:themeShade="BF"/>
    </w:rPr>
  </w:style>
  <w:style w:type="character" w:styleId="Referenciaintensa">
    <w:name w:val="Intense Reference"/>
    <w:basedOn w:val="Fuentedeprrafopredeter"/>
    <w:uiPriority w:val="32"/>
    <w:qFormat/>
    <w:rsid w:val="00154312"/>
    <w:rPr>
      <w:b/>
      <w:bCs/>
      <w:smallCaps/>
      <w:color w:val="2E74B5" w:themeColor="accent1" w:themeShade="BF"/>
      <w:spacing w:val="5"/>
    </w:rPr>
  </w:style>
  <w:style w:type="table" w:styleId="Tablaconcuadrcula">
    <w:name w:val="Table Grid"/>
    <w:basedOn w:val="Tablanormal"/>
    <w:uiPriority w:val="39"/>
    <w:rsid w:val="00154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4312"/>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154312"/>
    <w:rPr>
      <w:rFonts w:ascii="Exo" w:hAnsi="Exo"/>
      <w:sz w:val="24"/>
    </w:rPr>
  </w:style>
  <w:style w:type="paragraph" w:styleId="Piedepgina">
    <w:name w:val="footer"/>
    <w:basedOn w:val="Normal"/>
    <w:link w:val="PiedepginaCar"/>
    <w:uiPriority w:val="99"/>
    <w:unhideWhenUsed/>
    <w:rsid w:val="00154312"/>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154312"/>
    <w:rPr>
      <w:rFonts w:ascii="Exo" w:hAnsi="Exo"/>
      <w:sz w:val="24"/>
    </w:rPr>
  </w:style>
  <w:style w:type="paragraph" w:styleId="Textodeglobo">
    <w:name w:val="Balloon Text"/>
    <w:basedOn w:val="Normal"/>
    <w:link w:val="TextodegloboCar"/>
    <w:uiPriority w:val="99"/>
    <w:semiHidden/>
    <w:unhideWhenUsed/>
    <w:rsid w:val="004D71A9"/>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71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6</Pages>
  <Words>1741</Words>
  <Characters>9578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Jaqueline del Carmen Carrillo Llergo</cp:lastModifiedBy>
  <cp:revision>9</cp:revision>
  <cp:lastPrinted>2025-10-23T15:53:00Z</cp:lastPrinted>
  <dcterms:created xsi:type="dcterms:W3CDTF">2025-10-15T20:24:00Z</dcterms:created>
  <dcterms:modified xsi:type="dcterms:W3CDTF">2025-10-23T15:58:00Z</dcterms:modified>
</cp:coreProperties>
</file>