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03120" w14:textId="2F48750A" w:rsidR="002C3F67" w:rsidRPr="00E816AE" w:rsidRDefault="00E816AE" w:rsidP="002C3F67">
      <w:pPr>
        <w:rPr>
          <w:rFonts w:ascii="Arial" w:hAnsi="Arial" w:cs="Arial"/>
          <w:b/>
          <w:bCs/>
        </w:rPr>
      </w:pPr>
      <w:r w:rsidRPr="00E816AE">
        <w:rPr>
          <w:rFonts w:ascii="Arial" w:hAnsi="Arial" w:cs="Arial"/>
          <w:b/>
          <w:bCs/>
        </w:rPr>
        <w:t xml:space="preserve">ACUERDO QUE, EN CUMPLIMIENTO AL ACUERDO CE/2025/017 APROBADO POR EL CONSEJO ESTATAL, EMITE LA JUNTA ESTATAL EJECUTIVA DEL INSTITUTO ELECTORAL Y DE PARTICIPACIÓN CIUDADANA DE TABASCO, POR EL QUE HOMOLOGA EL SALARIO DE LAS CATEGORÍAS DE COORDINADOR/A “D” </w:t>
      </w:r>
      <w:proofErr w:type="spellStart"/>
      <w:r w:rsidRPr="00E816AE">
        <w:rPr>
          <w:rFonts w:ascii="Arial" w:hAnsi="Arial" w:cs="Arial"/>
          <w:b/>
          <w:bCs/>
        </w:rPr>
        <w:t>SPEN</w:t>
      </w:r>
      <w:proofErr w:type="spellEnd"/>
      <w:r w:rsidRPr="00E816AE">
        <w:rPr>
          <w:rFonts w:ascii="Arial" w:hAnsi="Arial" w:cs="Arial"/>
          <w:b/>
          <w:bCs/>
        </w:rPr>
        <w:t xml:space="preserve"> AL NIVEL DE LA COORDINACIÓN “C” </w:t>
      </w:r>
      <w:proofErr w:type="spellStart"/>
      <w:r w:rsidRPr="00E816AE">
        <w:rPr>
          <w:rFonts w:ascii="Arial" w:hAnsi="Arial" w:cs="Arial"/>
          <w:b/>
          <w:bCs/>
        </w:rPr>
        <w:t>SPEN</w:t>
      </w:r>
      <w:proofErr w:type="spellEnd"/>
      <w:r w:rsidRPr="00E816AE">
        <w:rPr>
          <w:rFonts w:ascii="Arial" w:hAnsi="Arial" w:cs="Arial"/>
          <w:b/>
          <w:bCs/>
        </w:rPr>
        <w:t>, ASÍ COMO LAS DE TÉCNICO/A “</w:t>
      </w:r>
      <w:proofErr w:type="spellStart"/>
      <w:r w:rsidRPr="00E816AE">
        <w:rPr>
          <w:rFonts w:ascii="Arial" w:hAnsi="Arial" w:cs="Arial"/>
          <w:b/>
          <w:bCs/>
        </w:rPr>
        <w:t>B1</w:t>
      </w:r>
      <w:proofErr w:type="spellEnd"/>
      <w:r w:rsidRPr="00E816AE">
        <w:rPr>
          <w:rFonts w:ascii="Arial" w:hAnsi="Arial" w:cs="Arial"/>
          <w:b/>
          <w:bCs/>
        </w:rPr>
        <w:t xml:space="preserve">” </w:t>
      </w:r>
      <w:proofErr w:type="spellStart"/>
      <w:r w:rsidRPr="00E816AE">
        <w:rPr>
          <w:rFonts w:ascii="Arial" w:hAnsi="Arial" w:cs="Arial"/>
          <w:b/>
          <w:bCs/>
        </w:rPr>
        <w:t>SPEN</w:t>
      </w:r>
      <w:proofErr w:type="spellEnd"/>
      <w:r w:rsidRPr="00E816AE">
        <w:rPr>
          <w:rFonts w:ascii="Arial" w:hAnsi="Arial" w:cs="Arial"/>
          <w:b/>
          <w:bCs/>
        </w:rPr>
        <w:t xml:space="preserve">, TÉCNICO/A “C” </w:t>
      </w:r>
      <w:proofErr w:type="spellStart"/>
      <w:r w:rsidRPr="00E816AE">
        <w:rPr>
          <w:rFonts w:ascii="Arial" w:hAnsi="Arial" w:cs="Arial"/>
          <w:b/>
          <w:bCs/>
        </w:rPr>
        <w:t>SPEN</w:t>
      </w:r>
      <w:proofErr w:type="spellEnd"/>
      <w:r w:rsidRPr="00E816AE">
        <w:rPr>
          <w:rFonts w:ascii="Arial" w:hAnsi="Arial" w:cs="Arial"/>
          <w:b/>
          <w:bCs/>
        </w:rPr>
        <w:t xml:space="preserve"> Y TÉCNICO/A “D” </w:t>
      </w:r>
      <w:proofErr w:type="spellStart"/>
      <w:r w:rsidRPr="00E816AE">
        <w:rPr>
          <w:rFonts w:ascii="Arial" w:hAnsi="Arial" w:cs="Arial"/>
          <w:b/>
          <w:bCs/>
        </w:rPr>
        <w:t>SPEN</w:t>
      </w:r>
      <w:proofErr w:type="spellEnd"/>
      <w:r w:rsidRPr="00E816AE">
        <w:rPr>
          <w:rFonts w:ascii="Arial" w:hAnsi="Arial" w:cs="Arial"/>
          <w:b/>
          <w:bCs/>
        </w:rPr>
        <w:t xml:space="preserve"> A LA CATEGORÍA DE TÉCNICO/A “B” </w:t>
      </w:r>
      <w:proofErr w:type="spellStart"/>
      <w:r w:rsidRPr="00E816AE">
        <w:rPr>
          <w:rFonts w:ascii="Arial" w:hAnsi="Arial" w:cs="Arial"/>
          <w:b/>
          <w:bCs/>
        </w:rPr>
        <w:t>SPEN</w:t>
      </w:r>
      <w:proofErr w:type="spellEnd"/>
      <w:r w:rsidRPr="00E816AE">
        <w:rPr>
          <w:rFonts w:ascii="Arial" w:hAnsi="Arial" w:cs="Arial"/>
          <w:b/>
          <w:bCs/>
        </w:rPr>
        <w:t xml:space="preserve"> Y CREA LA CATEGORÍA DE TÉCNICO “B” PARA SU INCORPORACIÓN AL SERVICIO PROFESIONAL DEL PROPIO INSTITUTO</w:t>
      </w:r>
    </w:p>
    <w:p w14:paraId="637B6F84" w14:textId="71185E38" w:rsidR="00201A5D" w:rsidRPr="00E816AE" w:rsidRDefault="00201A5D" w:rsidP="002C3F67">
      <w:pPr>
        <w:rPr>
          <w:rFonts w:ascii="Arial" w:hAnsi="Arial" w:cs="Arial"/>
          <w:sz w:val="22"/>
          <w:szCs w:val="22"/>
        </w:rPr>
      </w:pPr>
      <w:r w:rsidRPr="00E816AE">
        <w:rPr>
          <w:rFonts w:ascii="Arial" w:hAnsi="Arial" w:cs="Arial"/>
          <w:sz w:val="22"/>
          <w:szCs w:val="22"/>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2936"/>
        <w:gridCol w:w="4253"/>
      </w:tblGrid>
      <w:tr w:rsidR="00E37B2E" w:rsidRPr="00E816AE" w14:paraId="7AB7D60C" w14:textId="77777777" w:rsidTr="00A46B13">
        <w:trPr>
          <w:trHeight w:val="624"/>
          <w:jc w:val="center"/>
        </w:trPr>
        <w:tc>
          <w:tcPr>
            <w:tcW w:w="2042" w:type="pct"/>
            <w:shd w:val="clear" w:color="auto" w:fill="auto"/>
            <w:vAlign w:val="center"/>
          </w:tcPr>
          <w:p w14:paraId="7CAF0671" w14:textId="77777777" w:rsidR="00E37B2E" w:rsidRPr="00E816AE" w:rsidRDefault="00E37B2E" w:rsidP="00A46B13">
            <w:pPr>
              <w:spacing w:before="80" w:after="80"/>
              <w:jc w:val="right"/>
              <w:rPr>
                <w:rFonts w:ascii="Arial" w:hAnsi="Arial" w:cs="Arial"/>
                <w:b/>
                <w:sz w:val="20"/>
                <w:szCs w:val="20"/>
              </w:rPr>
            </w:pPr>
            <w:r w:rsidRPr="00E816AE">
              <w:rPr>
                <w:rFonts w:ascii="Arial" w:hAnsi="Arial" w:cs="Arial"/>
                <w:b/>
                <w:sz w:val="20"/>
                <w:szCs w:val="20"/>
              </w:rPr>
              <w:t>Comisión de Seguimiento:</w:t>
            </w:r>
          </w:p>
        </w:tc>
        <w:tc>
          <w:tcPr>
            <w:tcW w:w="2958" w:type="pct"/>
            <w:shd w:val="clear" w:color="auto" w:fill="auto"/>
            <w:vAlign w:val="center"/>
          </w:tcPr>
          <w:p w14:paraId="61970C18" w14:textId="77777777" w:rsidR="00E37B2E" w:rsidRPr="00E816AE" w:rsidRDefault="00E37B2E" w:rsidP="00A46B13">
            <w:pPr>
              <w:spacing w:before="80" w:after="80"/>
              <w:ind w:left="113" w:right="113"/>
              <w:rPr>
                <w:rFonts w:ascii="Arial" w:hAnsi="Arial" w:cs="Arial"/>
                <w:sz w:val="20"/>
                <w:szCs w:val="20"/>
              </w:rPr>
            </w:pPr>
            <w:r w:rsidRPr="00E816AE">
              <w:rPr>
                <w:rFonts w:ascii="Arial" w:hAnsi="Arial" w:cs="Arial"/>
                <w:sz w:val="20"/>
                <w:szCs w:val="20"/>
              </w:rPr>
              <w:t>Comisión Permanente de Seguimiento al Servicio Profesional Electoral Nacional del Instituto Electoral y de Participación Ciudadana de Tabasco.</w:t>
            </w:r>
          </w:p>
        </w:tc>
      </w:tr>
      <w:tr w:rsidR="00E37B2E" w:rsidRPr="00E816AE" w14:paraId="12D6107D" w14:textId="77777777" w:rsidTr="00A46B13">
        <w:trPr>
          <w:trHeight w:val="624"/>
          <w:jc w:val="center"/>
        </w:trPr>
        <w:tc>
          <w:tcPr>
            <w:tcW w:w="2042" w:type="pct"/>
            <w:shd w:val="clear" w:color="auto" w:fill="auto"/>
            <w:vAlign w:val="center"/>
          </w:tcPr>
          <w:p w14:paraId="799B88AF" w14:textId="77777777" w:rsidR="00E37B2E" w:rsidRPr="00E816AE" w:rsidRDefault="00E37B2E" w:rsidP="00A46B13">
            <w:pPr>
              <w:spacing w:before="80" w:after="80"/>
              <w:jc w:val="right"/>
              <w:rPr>
                <w:rFonts w:ascii="Arial" w:hAnsi="Arial" w:cs="Arial"/>
                <w:b/>
                <w:sz w:val="20"/>
                <w:szCs w:val="20"/>
              </w:rPr>
            </w:pPr>
            <w:r w:rsidRPr="00E816AE">
              <w:rPr>
                <w:rFonts w:ascii="Arial" w:hAnsi="Arial" w:cs="Arial"/>
                <w:b/>
                <w:sz w:val="20"/>
                <w:szCs w:val="20"/>
              </w:rPr>
              <w:t>Consejo Estatal:</w:t>
            </w:r>
          </w:p>
        </w:tc>
        <w:tc>
          <w:tcPr>
            <w:tcW w:w="2958" w:type="pct"/>
            <w:shd w:val="clear" w:color="auto" w:fill="auto"/>
            <w:vAlign w:val="center"/>
          </w:tcPr>
          <w:p w14:paraId="5ED7AB5E" w14:textId="77777777" w:rsidR="00E37B2E" w:rsidRPr="00E816AE" w:rsidRDefault="00E37B2E" w:rsidP="00A46B13">
            <w:pPr>
              <w:spacing w:before="80" w:after="80"/>
              <w:ind w:left="113" w:right="113"/>
              <w:rPr>
                <w:rFonts w:ascii="Arial" w:hAnsi="Arial" w:cs="Arial"/>
                <w:sz w:val="20"/>
                <w:szCs w:val="20"/>
              </w:rPr>
            </w:pPr>
            <w:r w:rsidRPr="00E816AE">
              <w:rPr>
                <w:rFonts w:ascii="Arial" w:hAnsi="Arial" w:cs="Arial"/>
                <w:sz w:val="20"/>
                <w:szCs w:val="20"/>
              </w:rPr>
              <w:t>Consejo Estatal del Instituto Electoral y de Participación Ciudadana de Tabasco.</w:t>
            </w:r>
          </w:p>
        </w:tc>
      </w:tr>
      <w:tr w:rsidR="00E37B2E" w:rsidRPr="00E816AE" w14:paraId="688E7298" w14:textId="77777777" w:rsidTr="00A46B13">
        <w:trPr>
          <w:trHeight w:val="624"/>
          <w:jc w:val="center"/>
        </w:trPr>
        <w:tc>
          <w:tcPr>
            <w:tcW w:w="2042" w:type="pct"/>
            <w:shd w:val="clear" w:color="auto" w:fill="auto"/>
            <w:vAlign w:val="center"/>
          </w:tcPr>
          <w:p w14:paraId="39434EFF" w14:textId="77777777" w:rsidR="00E37B2E" w:rsidRPr="00E816AE" w:rsidRDefault="00E37B2E" w:rsidP="00A46B13">
            <w:pPr>
              <w:spacing w:before="80" w:after="80"/>
              <w:jc w:val="right"/>
              <w:rPr>
                <w:rFonts w:ascii="Arial" w:hAnsi="Arial" w:cs="Arial"/>
                <w:b/>
                <w:sz w:val="20"/>
                <w:szCs w:val="20"/>
              </w:rPr>
            </w:pPr>
            <w:r w:rsidRPr="00E816AE">
              <w:rPr>
                <w:rFonts w:ascii="Arial" w:hAnsi="Arial" w:cs="Arial"/>
                <w:b/>
                <w:sz w:val="20"/>
                <w:szCs w:val="20"/>
              </w:rPr>
              <w:t>Constitución Federal:</w:t>
            </w:r>
          </w:p>
        </w:tc>
        <w:tc>
          <w:tcPr>
            <w:tcW w:w="2958" w:type="pct"/>
            <w:shd w:val="clear" w:color="auto" w:fill="auto"/>
            <w:vAlign w:val="center"/>
          </w:tcPr>
          <w:p w14:paraId="663A6054" w14:textId="77777777" w:rsidR="00E37B2E" w:rsidRPr="00E816AE" w:rsidRDefault="00E37B2E" w:rsidP="00A46B13">
            <w:pPr>
              <w:spacing w:before="80" w:after="80"/>
              <w:ind w:left="113" w:right="113"/>
              <w:rPr>
                <w:rFonts w:ascii="Arial" w:hAnsi="Arial" w:cs="Arial"/>
                <w:sz w:val="20"/>
                <w:szCs w:val="20"/>
              </w:rPr>
            </w:pPr>
            <w:r w:rsidRPr="00E816AE">
              <w:rPr>
                <w:rFonts w:ascii="Arial" w:hAnsi="Arial" w:cs="Arial"/>
                <w:sz w:val="20"/>
                <w:szCs w:val="20"/>
              </w:rPr>
              <w:t>Constitución Política de los Estados Unidos Mexicanos.</w:t>
            </w:r>
          </w:p>
        </w:tc>
      </w:tr>
      <w:tr w:rsidR="00E37B2E" w:rsidRPr="00E816AE" w14:paraId="71F8120A" w14:textId="77777777" w:rsidTr="00A46B13">
        <w:trPr>
          <w:trHeight w:val="624"/>
          <w:jc w:val="center"/>
        </w:trPr>
        <w:tc>
          <w:tcPr>
            <w:tcW w:w="2042" w:type="pct"/>
            <w:shd w:val="clear" w:color="auto" w:fill="auto"/>
            <w:vAlign w:val="center"/>
          </w:tcPr>
          <w:p w14:paraId="3BCF29A1" w14:textId="77777777" w:rsidR="00E37B2E" w:rsidRPr="00E816AE" w:rsidRDefault="00E37B2E" w:rsidP="00A46B13">
            <w:pPr>
              <w:spacing w:before="80" w:after="80"/>
              <w:jc w:val="right"/>
              <w:rPr>
                <w:rFonts w:ascii="Arial" w:hAnsi="Arial" w:cs="Arial"/>
                <w:b/>
                <w:sz w:val="20"/>
                <w:szCs w:val="20"/>
              </w:rPr>
            </w:pPr>
            <w:r w:rsidRPr="00E816AE">
              <w:rPr>
                <w:rFonts w:ascii="Arial" w:hAnsi="Arial" w:cs="Arial"/>
                <w:b/>
                <w:sz w:val="20"/>
                <w:szCs w:val="20"/>
              </w:rPr>
              <w:t>Constitución Local:</w:t>
            </w:r>
          </w:p>
        </w:tc>
        <w:tc>
          <w:tcPr>
            <w:tcW w:w="2958" w:type="pct"/>
            <w:shd w:val="clear" w:color="auto" w:fill="auto"/>
            <w:vAlign w:val="center"/>
          </w:tcPr>
          <w:p w14:paraId="157CDB5C" w14:textId="77777777" w:rsidR="00E37B2E" w:rsidRPr="00E816AE" w:rsidRDefault="00E37B2E" w:rsidP="00A46B13">
            <w:pPr>
              <w:spacing w:before="80" w:after="80"/>
              <w:ind w:left="113" w:right="113"/>
              <w:rPr>
                <w:rFonts w:ascii="Arial" w:hAnsi="Arial" w:cs="Arial"/>
                <w:sz w:val="20"/>
                <w:szCs w:val="20"/>
              </w:rPr>
            </w:pPr>
            <w:r w:rsidRPr="00E816AE">
              <w:rPr>
                <w:rFonts w:ascii="Arial" w:hAnsi="Arial" w:cs="Arial"/>
                <w:sz w:val="20"/>
                <w:szCs w:val="20"/>
              </w:rPr>
              <w:t>Constitución Política del Estado Libre y Soberano de Tabasco.</w:t>
            </w:r>
          </w:p>
        </w:tc>
      </w:tr>
      <w:tr w:rsidR="00E37B2E" w:rsidRPr="00E816AE" w14:paraId="7E54D7B7" w14:textId="77777777" w:rsidTr="00A46B13">
        <w:trPr>
          <w:trHeight w:val="624"/>
          <w:jc w:val="center"/>
        </w:trPr>
        <w:tc>
          <w:tcPr>
            <w:tcW w:w="2042" w:type="pct"/>
            <w:shd w:val="clear" w:color="auto" w:fill="auto"/>
            <w:vAlign w:val="center"/>
          </w:tcPr>
          <w:p w14:paraId="54D8FD9F" w14:textId="77777777" w:rsidR="00E37B2E" w:rsidRPr="00E816AE" w:rsidRDefault="00E37B2E" w:rsidP="00A46B13">
            <w:pPr>
              <w:spacing w:before="80" w:after="80"/>
              <w:jc w:val="right"/>
              <w:rPr>
                <w:rFonts w:ascii="Arial" w:hAnsi="Arial" w:cs="Arial"/>
                <w:b/>
                <w:sz w:val="20"/>
                <w:szCs w:val="20"/>
              </w:rPr>
            </w:pPr>
            <w:r w:rsidRPr="00E816AE">
              <w:rPr>
                <w:rFonts w:ascii="Arial" w:hAnsi="Arial" w:cs="Arial"/>
                <w:b/>
                <w:sz w:val="20"/>
                <w:szCs w:val="20"/>
              </w:rPr>
              <w:t>INE:</w:t>
            </w:r>
          </w:p>
        </w:tc>
        <w:tc>
          <w:tcPr>
            <w:tcW w:w="2958" w:type="pct"/>
            <w:shd w:val="clear" w:color="auto" w:fill="auto"/>
            <w:vAlign w:val="center"/>
          </w:tcPr>
          <w:p w14:paraId="23869D7F" w14:textId="77777777" w:rsidR="00E37B2E" w:rsidRPr="00E816AE" w:rsidRDefault="00E37B2E" w:rsidP="00A46B13">
            <w:pPr>
              <w:spacing w:before="80" w:after="80"/>
              <w:ind w:left="113" w:right="113"/>
              <w:rPr>
                <w:rFonts w:ascii="Arial" w:hAnsi="Arial" w:cs="Arial"/>
                <w:sz w:val="20"/>
                <w:szCs w:val="20"/>
              </w:rPr>
            </w:pPr>
            <w:r w:rsidRPr="00E816AE">
              <w:rPr>
                <w:rFonts w:ascii="Arial" w:hAnsi="Arial" w:cs="Arial"/>
                <w:sz w:val="20"/>
                <w:szCs w:val="20"/>
              </w:rPr>
              <w:t>Instituto Nacional Electoral.</w:t>
            </w:r>
          </w:p>
        </w:tc>
      </w:tr>
      <w:tr w:rsidR="00E37B2E" w:rsidRPr="00E816AE" w14:paraId="39DD7E3E" w14:textId="77777777" w:rsidTr="00A46B13">
        <w:trPr>
          <w:trHeight w:val="624"/>
          <w:jc w:val="center"/>
        </w:trPr>
        <w:tc>
          <w:tcPr>
            <w:tcW w:w="2042" w:type="pct"/>
            <w:shd w:val="clear" w:color="auto" w:fill="auto"/>
            <w:vAlign w:val="center"/>
          </w:tcPr>
          <w:p w14:paraId="17E48BBB" w14:textId="77777777" w:rsidR="00E37B2E" w:rsidRPr="00E816AE" w:rsidRDefault="00E37B2E" w:rsidP="00A46B13">
            <w:pPr>
              <w:spacing w:before="80" w:after="80"/>
              <w:jc w:val="right"/>
              <w:rPr>
                <w:rFonts w:ascii="Arial" w:hAnsi="Arial" w:cs="Arial"/>
                <w:b/>
                <w:sz w:val="20"/>
                <w:szCs w:val="20"/>
              </w:rPr>
            </w:pPr>
            <w:r w:rsidRPr="00E816AE">
              <w:rPr>
                <w:rFonts w:ascii="Arial" w:hAnsi="Arial" w:cs="Arial"/>
                <w:b/>
                <w:sz w:val="20"/>
                <w:szCs w:val="20"/>
              </w:rPr>
              <w:t>Instituto:</w:t>
            </w:r>
          </w:p>
        </w:tc>
        <w:tc>
          <w:tcPr>
            <w:tcW w:w="2958" w:type="pct"/>
            <w:shd w:val="clear" w:color="auto" w:fill="auto"/>
          </w:tcPr>
          <w:p w14:paraId="35D14F57" w14:textId="77777777" w:rsidR="00E37B2E" w:rsidRPr="00E816AE" w:rsidRDefault="00E37B2E" w:rsidP="00A46B13">
            <w:pPr>
              <w:spacing w:before="80" w:after="80"/>
              <w:ind w:left="113" w:right="113"/>
              <w:rPr>
                <w:rFonts w:ascii="Arial" w:hAnsi="Arial" w:cs="Arial"/>
                <w:sz w:val="20"/>
                <w:szCs w:val="20"/>
              </w:rPr>
            </w:pPr>
            <w:r w:rsidRPr="00E816AE">
              <w:rPr>
                <w:rFonts w:ascii="Arial" w:hAnsi="Arial" w:cs="Arial"/>
                <w:sz w:val="20"/>
                <w:szCs w:val="20"/>
              </w:rPr>
              <w:t>Instituto Electoral y de Participación Ciudadana de Tabasco.</w:t>
            </w:r>
          </w:p>
        </w:tc>
      </w:tr>
      <w:tr w:rsidR="00E37B2E" w:rsidRPr="00E816AE" w14:paraId="43B70A56" w14:textId="77777777" w:rsidTr="00A46B13">
        <w:trPr>
          <w:trHeight w:val="624"/>
          <w:jc w:val="center"/>
        </w:trPr>
        <w:tc>
          <w:tcPr>
            <w:tcW w:w="2042" w:type="pct"/>
            <w:shd w:val="clear" w:color="auto" w:fill="auto"/>
            <w:vAlign w:val="center"/>
          </w:tcPr>
          <w:p w14:paraId="0140EEDD" w14:textId="77777777" w:rsidR="00E37B2E" w:rsidRPr="00E816AE" w:rsidRDefault="00E37B2E" w:rsidP="00A46B13">
            <w:pPr>
              <w:spacing w:before="80" w:after="80"/>
              <w:jc w:val="right"/>
              <w:rPr>
                <w:rFonts w:ascii="Arial" w:hAnsi="Arial" w:cs="Arial"/>
                <w:b/>
                <w:sz w:val="20"/>
                <w:szCs w:val="20"/>
              </w:rPr>
            </w:pPr>
            <w:r w:rsidRPr="00E816AE">
              <w:rPr>
                <w:rFonts w:ascii="Arial" w:hAnsi="Arial" w:cs="Arial"/>
                <w:b/>
                <w:sz w:val="20"/>
                <w:szCs w:val="20"/>
              </w:rPr>
              <w:t>Ley Electoral:</w:t>
            </w:r>
          </w:p>
        </w:tc>
        <w:tc>
          <w:tcPr>
            <w:tcW w:w="2958" w:type="pct"/>
            <w:shd w:val="clear" w:color="auto" w:fill="auto"/>
            <w:vAlign w:val="center"/>
          </w:tcPr>
          <w:p w14:paraId="33183BB3" w14:textId="77777777" w:rsidR="00E37B2E" w:rsidRPr="00E816AE" w:rsidRDefault="00E37B2E" w:rsidP="00A46B13">
            <w:pPr>
              <w:spacing w:before="80" w:after="80"/>
              <w:ind w:left="113" w:right="113"/>
              <w:rPr>
                <w:rFonts w:ascii="Arial" w:hAnsi="Arial" w:cs="Arial"/>
                <w:sz w:val="20"/>
                <w:szCs w:val="20"/>
              </w:rPr>
            </w:pPr>
            <w:r w:rsidRPr="00E816AE">
              <w:rPr>
                <w:rFonts w:ascii="Arial" w:hAnsi="Arial" w:cs="Arial"/>
                <w:sz w:val="20"/>
                <w:szCs w:val="20"/>
              </w:rPr>
              <w:t>Ley Electoral y de Partidos Políticos del Estado de Tabasco.</w:t>
            </w:r>
          </w:p>
        </w:tc>
      </w:tr>
      <w:tr w:rsidR="00E37B2E" w:rsidRPr="00E816AE" w14:paraId="31F5F5C5" w14:textId="77777777" w:rsidTr="00A46B13">
        <w:trPr>
          <w:trHeight w:val="624"/>
          <w:jc w:val="center"/>
        </w:trPr>
        <w:tc>
          <w:tcPr>
            <w:tcW w:w="2042" w:type="pct"/>
            <w:shd w:val="clear" w:color="auto" w:fill="auto"/>
            <w:vAlign w:val="center"/>
          </w:tcPr>
          <w:p w14:paraId="60144F15" w14:textId="77777777" w:rsidR="00E37B2E" w:rsidRPr="00E816AE" w:rsidRDefault="00E37B2E" w:rsidP="00A46B13">
            <w:pPr>
              <w:spacing w:before="80" w:after="80"/>
              <w:jc w:val="right"/>
              <w:rPr>
                <w:rFonts w:ascii="Arial" w:hAnsi="Arial" w:cs="Arial"/>
                <w:b/>
                <w:sz w:val="20"/>
                <w:szCs w:val="20"/>
              </w:rPr>
            </w:pPr>
            <w:r w:rsidRPr="00E816AE">
              <w:rPr>
                <w:rFonts w:ascii="Arial" w:hAnsi="Arial" w:cs="Arial"/>
                <w:b/>
                <w:sz w:val="20"/>
                <w:szCs w:val="20"/>
              </w:rPr>
              <w:t>Ley General:</w:t>
            </w:r>
          </w:p>
        </w:tc>
        <w:tc>
          <w:tcPr>
            <w:tcW w:w="2958" w:type="pct"/>
            <w:shd w:val="clear" w:color="auto" w:fill="auto"/>
            <w:vAlign w:val="center"/>
          </w:tcPr>
          <w:p w14:paraId="062AC5E1" w14:textId="77777777" w:rsidR="00E37B2E" w:rsidRPr="00E816AE" w:rsidRDefault="00E37B2E" w:rsidP="00A46B13">
            <w:pPr>
              <w:spacing w:before="80" w:after="80"/>
              <w:ind w:left="113" w:right="113"/>
              <w:rPr>
                <w:rFonts w:ascii="Arial" w:hAnsi="Arial" w:cs="Arial"/>
                <w:sz w:val="20"/>
                <w:szCs w:val="20"/>
              </w:rPr>
            </w:pPr>
            <w:r w:rsidRPr="00E816AE">
              <w:rPr>
                <w:rFonts w:ascii="Arial" w:hAnsi="Arial" w:cs="Arial"/>
                <w:sz w:val="20"/>
                <w:szCs w:val="20"/>
              </w:rPr>
              <w:t>Ley General de Instituciones y Procedimientos Electorales.</w:t>
            </w:r>
          </w:p>
        </w:tc>
      </w:tr>
      <w:tr w:rsidR="00E37B2E" w:rsidRPr="00E816AE" w14:paraId="56B82F3C" w14:textId="77777777" w:rsidTr="00A46B13">
        <w:trPr>
          <w:trHeight w:val="624"/>
          <w:jc w:val="center"/>
        </w:trPr>
        <w:tc>
          <w:tcPr>
            <w:tcW w:w="2042" w:type="pct"/>
            <w:shd w:val="clear" w:color="auto" w:fill="auto"/>
            <w:vAlign w:val="center"/>
          </w:tcPr>
          <w:p w14:paraId="43E266C6" w14:textId="77777777" w:rsidR="00E37B2E" w:rsidRPr="00E816AE" w:rsidRDefault="00E37B2E" w:rsidP="00A46B13">
            <w:pPr>
              <w:spacing w:before="80" w:after="80"/>
              <w:jc w:val="right"/>
              <w:rPr>
                <w:rFonts w:ascii="Arial" w:hAnsi="Arial" w:cs="Arial"/>
                <w:b/>
                <w:sz w:val="20"/>
                <w:szCs w:val="20"/>
              </w:rPr>
            </w:pPr>
            <w:r w:rsidRPr="00E816AE">
              <w:rPr>
                <w:rFonts w:ascii="Arial" w:hAnsi="Arial" w:cs="Arial"/>
                <w:b/>
                <w:sz w:val="20"/>
                <w:szCs w:val="20"/>
              </w:rPr>
              <w:t>Organismo electoral:</w:t>
            </w:r>
          </w:p>
        </w:tc>
        <w:tc>
          <w:tcPr>
            <w:tcW w:w="2958" w:type="pct"/>
            <w:shd w:val="clear" w:color="auto" w:fill="auto"/>
            <w:vAlign w:val="center"/>
          </w:tcPr>
          <w:p w14:paraId="5F8D9C75" w14:textId="77777777" w:rsidR="00E37B2E" w:rsidRPr="00E816AE" w:rsidRDefault="00E37B2E" w:rsidP="00A46B13">
            <w:pPr>
              <w:spacing w:before="80" w:after="80"/>
              <w:ind w:left="113" w:right="113"/>
              <w:rPr>
                <w:rFonts w:ascii="Arial" w:hAnsi="Arial" w:cs="Arial"/>
                <w:sz w:val="20"/>
                <w:szCs w:val="20"/>
              </w:rPr>
            </w:pPr>
            <w:r w:rsidRPr="00E816AE">
              <w:rPr>
                <w:rFonts w:ascii="Arial" w:hAnsi="Arial" w:cs="Arial"/>
                <w:sz w:val="20"/>
                <w:szCs w:val="20"/>
              </w:rPr>
              <w:t xml:space="preserve">Organismo(s) público(s) local(es) electoral(es). </w:t>
            </w:r>
          </w:p>
        </w:tc>
      </w:tr>
      <w:tr w:rsidR="00E37B2E" w:rsidRPr="00E816AE" w14:paraId="6D5FCC55" w14:textId="77777777" w:rsidTr="00A46B13">
        <w:trPr>
          <w:trHeight w:val="624"/>
          <w:jc w:val="center"/>
        </w:trPr>
        <w:tc>
          <w:tcPr>
            <w:tcW w:w="2042" w:type="pct"/>
            <w:shd w:val="clear" w:color="auto" w:fill="auto"/>
            <w:vAlign w:val="center"/>
          </w:tcPr>
          <w:p w14:paraId="72F8FEDD" w14:textId="77777777" w:rsidR="00E37B2E" w:rsidRPr="00E816AE" w:rsidRDefault="00E37B2E" w:rsidP="00A46B13">
            <w:pPr>
              <w:spacing w:before="80" w:after="80"/>
              <w:jc w:val="right"/>
              <w:rPr>
                <w:rFonts w:ascii="Arial" w:hAnsi="Arial" w:cs="Arial"/>
                <w:b/>
                <w:sz w:val="20"/>
                <w:szCs w:val="20"/>
              </w:rPr>
            </w:pPr>
            <w:r w:rsidRPr="00E816AE">
              <w:rPr>
                <w:rFonts w:ascii="Arial" w:hAnsi="Arial" w:cs="Arial"/>
                <w:b/>
                <w:sz w:val="20"/>
                <w:szCs w:val="20"/>
              </w:rPr>
              <w:t>Secretaría Ejecutiva:</w:t>
            </w:r>
          </w:p>
        </w:tc>
        <w:tc>
          <w:tcPr>
            <w:tcW w:w="2958" w:type="pct"/>
            <w:shd w:val="clear" w:color="auto" w:fill="auto"/>
            <w:vAlign w:val="center"/>
          </w:tcPr>
          <w:p w14:paraId="55565DF8" w14:textId="77777777" w:rsidR="00E37B2E" w:rsidRPr="00E816AE" w:rsidRDefault="00E37B2E" w:rsidP="00A46B13">
            <w:pPr>
              <w:spacing w:before="80" w:after="80"/>
              <w:ind w:left="113" w:right="113"/>
              <w:rPr>
                <w:rFonts w:ascii="Arial" w:hAnsi="Arial" w:cs="Arial"/>
                <w:sz w:val="20"/>
                <w:szCs w:val="20"/>
              </w:rPr>
            </w:pPr>
            <w:r w:rsidRPr="00E816AE">
              <w:rPr>
                <w:rFonts w:ascii="Arial" w:hAnsi="Arial" w:cs="Arial"/>
                <w:sz w:val="20"/>
                <w:szCs w:val="20"/>
              </w:rPr>
              <w:t>Secretaría Ejecutiva del Instituto Electoral y de Participación Ciudadana de Tabasco.</w:t>
            </w:r>
          </w:p>
        </w:tc>
      </w:tr>
      <w:tr w:rsidR="00E37B2E" w:rsidRPr="00E816AE" w14:paraId="53C73263" w14:textId="77777777" w:rsidTr="00A46B13">
        <w:trPr>
          <w:trHeight w:val="624"/>
          <w:jc w:val="center"/>
        </w:trPr>
        <w:tc>
          <w:tcPr>
            <w:tcW w:w="2042" w:type="pct"/>
            <w:shd w:val="clear" w:color="auto" w:fill="auto"/>
            <w:vAlign w:val="center"/>
          </w:tcPr>
          <w:p w14:paraId="0F2EBF89" w14:textId="77777777" w:rsidR="00E37B2E" w:rsidRPr="00E816AE" w:rsidRDefault="00E37B2E" w:rsidP="00A46B13">
            <w:pPr>
              <w:spacing w:before="80" w:after="80"/>
              <w:jc w:val="right"/>
              <w:rPr>
                <w:rFonts w:ascii="Arial" w:hAnsi="Arial" w:cs="Arial"/>
                <w:b/>
                <w:sz w:val="20"/>
                <w:szCs w:val="20"/>
              </w:rPr>
            </w:pPr>
            <w:r w:rsidRPr="00E816AE">
              <w:rPr>
                <w:rFonts w:ascii="Arial" w:hAnsi="Arial" w:cs="Arial"/>
                <w:b/>
                <w:sz w:val="20"/>
                <w:szCs w:val="20"/>
              </w:rPr>
              <w:lastRenderedPageBreak/>
              <w:t>Servicio Profesional:</w:t>
            </w:r>
          </w:p>
        </w:tc>
        <w:tc>
          <w:tcPr>
            <w:tcW w:w="2958" w:type="pct"/>
            <w:shd w:val="clear" w:color="auto" w:fill="auto"/>
            <w:vAlign w:val="center"/>
          </w:tcPr>
          <w:p w14:paraId="0F76988E" w14:textId="77777777" w:rsidR="00E37B2E" w:rsidRPr="00E816AE" w:rsidRDefault="00E37B2E" w:rsidP="00A46B13">
            <w:pPr>
              <w:spacing w:before="80" w:after="80"/>
              <w:ind w:left="113" w:right="113"/>
              <w:rPr>
                <w:rFonts w:ascii="Arial" w:hAnsi="Arial" w:cs="Arial"/>
                <w:sz w:val="20"/>
                <w:szCs w:val="20"/>
              </w:rPr>
            </w:pPr>
            <w:r w:rsidRPr="00E816AE">
              <w:rPr>
                <w:rFonts w:ascii="Arial" w:hAnsi="Arial" w:cs="Arial"/>
                <w:sz w:val="20"/>
                <w:szCs w:val="20"/>
              </w:rPr>
              <w:t>Servicio Profesional Electoral Nacional del Instituto Electoral y de Participación Ciudadana de Tabasco.</w:t>
            </w:r>
          </w:p>
        </w:tc>
      </w:tr>
    </w:tbl>
    <w:p w14:paraId="170C3CA8" w14:textId="136B3CF8" w:rsidR="002C3F67" w:rsidRPr="00E816AE" w:rsidRDefault="002C3F67" w:rsidP="002C3F67">
      <w:pPr>
        <w:pStyle w:val="Ttulo1"/>
        <w:rPr>
          <w:rFonts w:ascii="Arial" w:hAnsi="Arial" w:cs="Arial"/>
          <w:sz w:val="24"/>
          <w:szCs w:val="24"/>
        </w:rPr>
      </w:pPr>
      <w:r w:rsidRPr="00E816AE">
        <w:rPr>
          <w:rFonts w:ascii="Arial" w:hAnsi="Arial" w:cs="Arial"/>
          <w:sz w:val="24"/>
          <w:szCs w:val="24"/>
        </w:rPr>
        <w:t>Antecedentes</w:t>
      </w:r>
    </w:p>
    <w:p w14:paraId="196422FD" w14:textId="16472C38" w:rsidR="002C3F67" w:rsidRPr="00E816AE" w:rsidRDefault="002C3F67" w:rsidP="00D55B33">
      <w:pPr>
        <w:pStyle w:val="Ttulo2"/>
        <w:rPr>
          <w:rFonts w:ascii="Arial" w:hAnsi="Arial" w:cs="Arial"/>
          <w:sz w:val="22"/>
          <w:szCs w:val="22"/>
        </w:rPr>
      </w:pPr>
      <w:r w:rsidRPr="00E816AE">
        <w:rPr>
          <w:rFonts w:ascii="Arial" w:hAnsi="Arial" w:cs="Arial"/>
          <w:sz w:val="22"/>
          <w:szCs w:val="22"/>
        </w:rPr>
        <w:t>Fines del Instituto</w:t>
      </w:r>
    </w:p>
    <w:p w14:paraId="319EFE81" w14:textId="77777777" w:rsidR="002C3F67" w:rsidRPr="00E816AE" w:rsidRDefault="002C3F67" w:rsidP="002C3F67">
      <w:pPr>
        <w:rPr>
          <w:rFonts w:ascii="Arial" w:hAnsi="Arial" w:cs="Arial"/>
          <w:sz w:val="22"/>
          <w:szCs w:val="22"/>
        </w:rPr>
      </w:pPr>
      <w:r w:rsidRPr="00E816AE">
        <w:rPr>
          <w:rFonts w:ascii="Arial" w:hAnsi="Arial" w:cs="Arial"/>
          <w:sz w:val="22"/>
          <w:szCs w:val="22"/>
        </w:rPr>
        <w:t>De conformidad con la fracción I del Apartado C, del artículo 9, párrafo tercero de la Constitución Local,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133E2430" w14:textId="3B96765A" w:rsidR="002C3F67" w:rsidRPr="00E816AE" w:rsidRDefault="002C3F67" w:rsidP="002C3F67">
      <w:pPr>
        <w:rPr>
          <w:rFonts w:ascii="Arial" w:hAnsi="Arial" w:cs="Arial"/>
          <w:sz w:val="22"/>
          <w:szCs w:val="22"/>
        </w:rPr>
      </w:pPr>
      <w:r w:rsidRPr="00E816AE">
        <w:rPr>
          <w:rFonts w:ascii="Arial" w:hAnsi="Arial" w:cs="Arial"/>
          <w:sz w:val="22"/>
          <w:szCs w:val="22"/>
        </w:rPr>
        <w:t>Además, es responsable de la organización de las elecciones estatales, distritales y municipales, entre ellas la relativa a las personas titulares de las magistraturas del Tribunal de Disciplina Judicial y del Tribunal Superior de Justicia, así como de las Juezas y Jueces.</w:t>
      </w:r>
    </w:p>
    <w:p w14:paraId="73FBE572" w14:textId="4FE07566" w:rsidR="002C3F67" w:rsidRPr="00E816AE" w:rsidRDefault="002C3F67" w:rsidP="00D55B33">
      <w:pPr>
        <w:pStyle w:val="Ttulo2"/>
        <w:rPr>
          <w:rFonts w:ascii="Arial" w:hAnsi="Arial" w:cs="Arial"/>
          <w:sz w:val="22"/>
          <w:szCs w:val="22"/>
        </w:rPr>
      </w:pPr>
      <w:r w:rsidRPr="00E816AE">
        <w:rPr>
          <w:rFonts w:ascii="Arial" w:hAnsi="Arial" w:cs="Arial"/>
          <w:sz w:val="22"/>
          <w:szCs w:val="22"/>
        </w:rPr>
        <w:t>Órganos centrales del Instituto</w:t>
      </w:r>
    </w:p>
    <w:p w14:paraId="219E396E" w14:textId="77777777" w:rsidR="002C3F67" w:rsidRPr="00E816AE" w:rsidRDefault="002C3F67" w:rsidP="002C3F67">
      <w:pPr>
        <w:rPr>
          <w:rFonts w:ascii="Arial" w:hAnsi="Arial" w:cs="Arial"/>
          <w:sz w:val="22"/>
          <w:szCs w:val="22"/>
        </w:rPr>
      </w:pPr>
      <w:r w:rsidRPr="00E816AE">
        <w:rPr>
          <w:rFonts w:ascii="Arial" w:hAnsi="Arial" w:cs="Arial"/>
          <w:sz w:val="22"/>
          <w:szCs w:val="22"/>
        </w:rPr>
        <w:t>De acuerdo con el artículo 105 numeral 1 de la Ley Electoral los órganos centrales del Instituto son los siguientes:</w:t>
      </w:r>
    </w:p>
    <w:p w14:paraId="4E0E03E8" w14:textId="2BC339E5" w:rsidR="002C3F67" w:rsidRPr="00E816AE" w:rsidRDefault="002C3F67" w:rsidP="002C3F67">
      <w:pPr>
        <w:pStyle w:val="Prrafodelista"/>
        <w:numPr>
          <w:ilvl w:val="0"/>
          <w:numId w:val="2"/>
        </w:numPr>
        <w:rPr>
          <w:rFonts w:ascii="Arial" w:hAnsi="Arial" w:cs="Arial"/>
          <w:sz w:val="22"/>
          <w:szCs w:val="22"/>
        </w:rPr>
      </w:pPr>
      <w:r w:rsidRPr="00E816AE">
        <w:rPr>
          <w:rFonts w:ascii="Arial" w:hAnsi="Arial" w:cs="Arial"/>
          <w:sz w:val="22"/>
          <w:szCs w:val="22"/>
        </w:rPr>
        <w:t>Consejo Estatal;</w:t>
      </w:r>
    </w:p>
    <w:p w14:paraId="0AB8B80C" w14:textId="439359CB" w:rsidR="002C3F67" w:rsidRPr="00E816AE" w:rsidRDefault="002C3F67" w:rsidP="002C3F67">
      <w:pPr>
        <w:pStyle w:val="Prrafodelista"/>
        <w:numPr>
          <w:ilvl w:val="0"/>
          <w:numId w:val="2"/>
        </w:numPr>
        <w:rPr>
          <w:rFonts w:ascii="Arial" w:hAnsi="Arial" w:cs="Arial"/>
          <w:sz w:val="22"/>
          <w:szCs w:val="22"/>
        </w:rPr>
      </w:pPr>
      <w:r w:rsidRPr="00E816AE">
        <w:rPr>
          <w:rFonts w:ascii="Arial" w:hAnsi="Arial" w:cs="Arial"/>
          <w:sz w:val="22"/>
          <w:szCs w:val="22"/>
        </w:rPr>
        <w:t>Presidencia del Consejo Estatal;</w:t>
      </w:r>
    </w:p>
    <w:p w14:paraId="6B7952E3" w14:textId="427C9204" w:rsidR="002C3F67" w:rsidRPr="00E816AE" w:rsidRDefault="002C3F67" w:rsidP="002C3F67">
      <w:pPr>
        <w:pStyle w:val="Prrafodelista"/>
        <w:numPr>
          <w:ilvl w:val="0"/>
          <w:numId w:val="2"/>
        </w:numPr>
        <w:rPr>
          <w:rFonts w:ascii="Arial" w:hAnsi="Arial" w:cs="Arial"/>
          <w:sz w:val="22"/>
          <w:szCs w:val="22"/>
        </w:rPr>
      </w:pPr>
      <w:r w:rsidRPr="00E816AE">
        <w:rPr>
          <w:rFonts w:ascii="Arial" w:hAnsi="Arial" w:cs="Arial"/>
          <w:sz w:val="22"/>
          <w:szCs w:val="22"/>
        </w:rPr>
        <w:t>Junta Estatal Ejecutiva;</w:t>
      </w:r>
    </w:p>
    <w:p w14:paraId="286DC6F4" w14:textId="19728289" w:rsidR="002C3F67" w:rsidRPr="00E816AE" w:rsidRDefault="002C3F67" w:rsidP="002C3F67">
      <w:pPr>
        <w:pStyle w:val="Prrafodelista"/>
        <w:numPr>
          <w:ilvl w:val="0"/>
          <w:numId w:val="2"/>
        </w:numPr>
        <w:rPr>
          <w:rFonts w:ascii="Arial" w:hAnsi="Arial" w:cs="Arial"/>
          <w:sz w:val="22"/>
          <w:szCs w:val="22"/>
        </w:rPr>
      </w:pPr>
      <w:r w:rsidRPr="00E816AE">
        <w:rPr>
          <w:rFonts w:ascii="Arial" w:hAnsi="Arial" w:cs="Arial"/>
          <w:sz w:val="22"/>
          <w:szCs w:val="22"/>
        </w:rPr>
        <w:t>Secretaría Ejecutiva, y</w:t>
      </w:r>
    </w:p>
    <w:p w14:paraId="1A2F481A" w14:textId="3A75F1D2" w:rsidR="002C3F67" w:rsidRDefault="002C3F67" w:rsidP="002C3F67">
      <w:pPr>
        <w:pStyle w:val="Prrafodelista"/>
        <w:numPr>
          <w:ilvl w:val="0"/>
          <w:numId w:val="2"/>
        </w:numPr>
        <w:rPr>
          <w:rFonts w:ascii="Arial" w:hAnsi="Arial" w:cs="Arial"/>
          <w:sz w:val="22"/>
          <w:szCs w:val="22"/>
        </w:rPr>
      </w:pPr>
      <w:r w:rsidRPr="00E816AE">
        <w:rPr>
          <w:rFonts w:ascii="Arial" w:hAnsi="Arial" w:cs="Arial"/>
          <w:sz w:val="22"/>
          <w:szCs w:val="22"/>
        </w:rPr>
        <w:t>Órgano Técnico de Fiscalización.</w:t>
      </w:r>
    </w:p>
    <w:p w14:paraId="59CAD10A" w14:textId="09D269EA" w:rsidR="00526DA2" w:rsidRDefault="00526DA2" w:rsidP="00526DA2">
      <w:pPr>
        <w:rPr>
          <w:rFonts w:ascii="Arial" w:hAnsi="Arial" w:cs="Arial"/>
          <w:sz w:val="22"/>
          <w:szCs w:val="22"/>
        </w:rPr>
      </w:pPr>
    </w:p>
    <w:p w14:paraId="6835D9F9" w14:textId="77777777" w:rsidR="00526DA2" w:rsidRPr="00526DA2" w:rsidRDefault="00526DA2" w:rsidP="00526DA2">
      <w:pPr>
        <w:rPr>
          <w:rFonts w:ascii="Arial" w:hAnsi="Arial" w:cs="Arial"/>
          <w:sz w:val="22"/>
          <w:szCs w:val="22"/>
        </w:rPr>
      </w:pPr>
    </w:p>
    <w:p w14:paraId="4DF63979" w14:textId="28C4E948" w:rsidR="002C3F67" w:rsidRPr="00E816AE" w:rsidRDefault="002C3F67" w:rsidP="00D55B33">
      <w:pPr>
        <w:pStyle w:val="Ttulo2"/>
        <w:rPr>
          <w:rFonts w:ascii="Arial" w:hAnsi="Arial" w:cs="Arial"/>
          <w:sz w:val="22"/>
          <w:szCs w:val="22"/>
        </w:rPr>
      </w:pPr>
      <w:r w:rsidRPr="00E816AE">
        <w:rPr>
          <w:rFonts w:ascii="Arial" w:hAnsi="Arial" w:cs="Arial"/>
          <w:sz w:val="22"/>
          <w:szCs w:val="22"/>
        </w:rPr>
        <w:lastRenderedPageBreak/>
        <w:t>Integración del órgano superior de dirección</w:t>
      </w:r>
    </w:p>
    <w:p w14:paraId="7A07BA62" w14:textId="77777777" w:rsidR="002C3F67" w:rsidRPr="00E816AE" w:rsidRDefault="002C3F67" w:rsidP="002C3F67">
      <w:pPr>
        <w:rPr>
          <w:rFonts w:ascii="Arial" w:hAnsi="Arial" w:cs="Arial"/>
          <w:sz w:val="22"/>
          <w:szCs w:val="22"/>
        </w:rPr>
      </w:pPr>
      <w:r w:rsidRPr="00E816AE">
        <w:rPr>
          <w:rFonts w:ascii="Arial" w:hAnsi="Arial" w:cs="Arial"/>
          <w:sz w:val="22"/>
          <w:szCs w:val="22"/>
        </w:rPr>
        <w:t>En términos del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1586433B" w14:textId="77777777" w:rsidR="002C3F67" w:rsidRPr="00E816AE" w:rsidRDefault="002C3F67" w:rsidP="002C3F67">
      <w:pPr>
        <w:rPr>
          <w:rFonts w:ascii="Arial" w:hAnsi="Arial" w:cs="Arial"/>
          <w:sz w:val="22"/>
          <w:szCs w:val="22"/>
        </w:rPr>
      </w:pPr>
      <w:r w:rsidRPr="00E816AE">
        <w:rPr>
          <w:rFonts w:ascii="Arial" w:hAnsi="Arial" w:cs="Arial"/>
          <w:sz w:val="22"/>
          <w:szCs w:val="22"/>
        </w:rPr>
        <w:t>Dicho órgano electoral, de conformidad con los artículos 99 de la Ley General y 107 numeral 1 de la Ley Electoral,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428C90DE" w14:textId="5ACDEB33" w:rsidR="002C3F67" w:rsidRPr="00E816AE" w:rsidRDefault="002C3F67" w:rsidP="002C3F67">
      <w:pPr>
        <w:rPr>
          <w:rFonts w:ascii="Arial" w:hAnsi="Arial" w:cs="Arial"/>
          <w:sz w:val="22"/>
          <w:szCs w:val="22"/>
        </w:rPr>
      </w:pPr>
      <w:r w:rsidRPr="00E816AE">
        <w:rPr>
          <w:rFonts w:ascii="Arial" w:hAnsi="Arial" w:cs="Arial"/>
          <w:sz w:val="22"/>
          <w:szCs w:val="22"/>
        </w:rPr>
        <w:t>No obstante, de acuerdo con el artículo segundo transitorio del decreto 080 de reforma publicado el 16 de diciembre de 2024 en el Periódico Oficial del Estado de Tabasco, se estableció que las y los representantes de los partidos políticos ante el Consejo Estatal no podrán participar en las acciones, actividades y sesiones relacionadas con el Proceso Electoral Extraordinario.</w:t>
      </w:r>
    </w:p>
    <w:p w14:paraId="0D0CABA3" w14:textId="5C149B33" w:rsidR="002C3F67" w:rsidRPr="00E816AE" w:rsidRDefault="002C3F67" w:rsidP="00D55B33">
      <w:pPr>
        <w:pStyle w:val="Ttulo2"/>
        <w:rPr>
          <w:rFonts w:ascii="Arial" w:hAnsi="Arial" w:cs="Arial"/>
          <w:sz w:val="22"/>
          <w:szCs w:val="22"/>
        </w:rPr>
      </w:pPr>
      <w:r w:rsidRPr="00E816AE">
        <w:rPr>
          <w:rFonts w:ascii="Arial" w:hAnsi="Arial" w:cs="Arial"/>
          <w:sz w:val="22"/>
          <w:szCs w:val="22"/>
        </w:rPr>
        <w:t>Integración de la Junta Ejecutiva</w:t>
      </w:r>
    </w:p>
    <w:p w14:paraId="3A215353" w14:textId="77777777" w:rsidR="002C3F67" w:rsidRPr="00E816AE" w:rsidRDefault="002C3F67" w:rsidP="002C3F67">
      <w:pPr>
        <w:rPr>
          <w:rFonts w:ascii="Arial" w:hAnsi="Arial" w:cs="Arial"/>
          <w:sz w:val="22"/>
          <w:szCs w:val="22"/>
        </w:rPr>
      </w:pPr>
      <w:r w:rsidRPr="00E816AE">
        <w:rPr>
          <w:rFonts w:ascii="Arial" w:hAnsi="Arial" w:cs="Arial"/>
          <w:sz w:val="22"/>
          <w:szCs w:val="22"/>
        </w:rPr>
        <w:t xml:space="preserve">Que, el artículo 118, numeral 1, de la Ley Electoral, establece que la Junta Ejecutiva será presidida por la Presidencia del Consejo y se integrará con las personas titulares de la Secretaría Ejecutiva, las Direcciones de Organización Electoral y Educación Cívica, y, de Administración. </w:t>
      </w:r>
    </w:p>
    <w:p w14:paraId="79957B26" w14:textId="2B865917" w:rsidR="002C3F67" w:rsidRPr="00E816AE" w:rsidRDefault="002C3F67" w:rsidP="002C3F67">
      <w:pPr>
        <w:rPr>
          <w:rFonts w:ascii="Arial" w:hAnsi="Arial" w:cs="Arial"/>
          <w:sz w:val="22"/>
          <w:szCs w:val="22"/>
        </w:rPr>
      </w:pPr>
      <w:r w:rsidRPr="00E816AE">
        <w:rPr>
          <w:rFonts w:ascii="Arial" w:hAnsi="Arial" w:cs="Arial"/>
          <w:sz w:val="22"/>
          <w:szCs w:val="22"/>
        </w:rPr>
        <w:t>Asimismo, el numeral 2, del artículo mencionado establece que, las o los titulares del Órgano Técnico de Fiscalización y de la Contraloría General podrán participar en las sesiones de la Junta Ejecutiva, a convocatoria de la Presidencia del Consejo.</w:t>
      </w:r>
    </w:p>
    <w:p w14:paraId="297BC466" w14:textId="7CEF13EA" w:rsidR="002C3F67" w:rsidRPr="00E816AE" w:rsidRDefault="002C3F67" w:rsidP="00D55B33">
      <w:pPr>
        <w:pStyle w:val="Ttulo2"/>
        <w:rPr>
          <w:rFonts w:ascii="Arial" w:hAnsi="Arial" w:cs="Arial"/>
          <w:sz w:val="22"/>
          <w:szCs w:val="22"/>
        </w:rPr>
      </w:pPr>
      <w:r w:rsidRPr="00E816AE">
        <w:rPr>
          <w:rFonts w:ascii="Arial" w:hAnsi="Arial" w:cs="Arial"/>
          <w:sz w:val="22"/>
          <w:szCs w:val="22"/>
        </w:rPr>
        <w:t xml:space="preserve">Plazas vacantes </w:t>
      </w:r>
    </w:p>
    <w:p w14:paraId="0C2A4AFC" w14:textId="65E5F68B" w:rsidR="002C3F67" w:rsidRPr="00E816AE" w:rsidRDefault="002C3F67" w:rsidP="002C3F67">
      <w:pPr>
        <w:rPr>
          <w:rFonts w:ascii="Arial" w:hAnsi="Arial" w:cs="Arial"/>
          <w:sz w:val="22"/>
          <w:szCs w:val="22"/>
        </w:rPr>
      </w:pPr>
      <w:r w:rsidRPr="00E816AE">
        <w:rPr>
          <w:rFonts w:ascii="Arial" w:hAnsi="Arial" w:cs="Arial"/>
          <w:sz w:val="22"/>
          <w:szCs w:val="22"/>
        </w:rPr>
        <w:t>El 31 de agosto de 2023, la plaza relativa al Coordinador/a de lo Contencioso Electoral con categoría “B” incorporada al Servicio Profesional Electoral Nacional del propio Instituto, quedó vacante en virtud de la destitución de la persona que ocupaba dicho encargo; ello debido a la determinación emitida con motivo del Procedimiento Laboral Disciplinario iniciado en su contra. A partir de lo anterior, su ocupación se estableció mediante la figura de encargaduría de despacho.</w:t>
      </w:r>
    </w:p>
    <w:p w14:paraId="4D8B556D" w14:textId="77777777" w:rsidR="002C3F67" w:rsidRPr="00E816AE" w:rsidRDefault="002C3F67" w:rsidP="002C3F67">
      <w:pPr>
        <w:rPr>
          <w:rFonts w:ascii="Arial" w:hAnsi="Arial" w:cs="Arial"/>
          <w:sz w:val="22"/>
          <w:szCs w:val="22"/>
        </w:rPr>
      </w:pPr>
      <w:r w:rsidRPr="00E816AE">
        <w:rPr>
          <w:rFonts w:ascii="Arial" w:hAnsi="Arial" w:cs="Arial"/>
          <w:sz w:val="22"/>
          <w:szCs w:val="22"/>
        </w:rPr>
        <w:lastRenderedPageBreak/>
        <w:t>El 30 de septiembre de 2024, la plaza mencionada, quedó nuevamente vacante, en virtud de la renuncia presentada por la persona designada como encargada.  Del mismo modo, el 31 de octubre de 2024, la plaza con categoría de Técnico/a adscrita a la Dirección Jurídica quedó vacante, debido a la renuncia presentada por la persona titular.</w:t>
      </w:r>
    </w:p>
    <w:p w14:paraId="7559130E" w14:textId="1AB716B6" w:rsidR="002C3F67" w:rsidRPr="00E816AE" w:rsidRDefault="002C3F67" w:rsidP="00D55B33">
      <w:pPr>
        <w:pStyle w:val="Ttulo2"/>
        <w:rPr>
          <w:rFonts w:ascii="Arial" w:hAnsi="Arial" w:cs="Arial"/>
          <w:sz w:val="22"/>
          <w:szCs w:val="22"/>
        </w:rPr>
      </w:pPr>
      <w:r w:rsidRPr="00E816AE">
        <w:rPr>
          <w:rFonts w:ascii="Arial" w:hAnsi="Arial" w:cs="Arial"/>
          <w:sz w:val="22"/>
          <w:szCs w:val="22"/>
        </w:rPr>
        <w:t xml:space="preserve">Solicitud de la Comisión de Seguimiento </w:t>
      </w:r>
    </w:p>
    <w:p w14:paraId="753D05D4" w14:textId="77777777" w:rsidR="002C3F67" w:rsidRPr="00E816AE" w:rsidRDefault="002C3F67" w:rsidP="002C3F67">
      <w:pPr>
        <w:rPr>
          <w:rFonts w:ascii="Arial" w:hAnsi="Arial" w:cs="Arial"/>
          <w:sz w:val="22"/>
          <w:szCs w:val="22"/>
        </w:rPr>
      </w:pPr>
      <w:r w:rsidRPr="00E816AE">
        <w:rPr>
          <w:rFonts w:ascii="Arial" w:hAnsi="Arial" w:cs="Arial"/>
          <w:sz w:val="22"/>
          <w:szCs w:val="22"/>
        </w:rPr>
        <w:t>El 15 de noviembre de 2024 mediante oficio CE/AGAS/034/2024, la Presidenta de la Comisión de Seguimiento solicitó a la Secretaria Ejecutiva un Diagnóstico Organizacional y Funcional del Catálogo Servicio Profesional con el propósito de analizar la viabilidad para realizar una nivelación salarial de los miembros del servicio con menor categoría, lo anterior, para efectos de someterla a la deliberación por parte de este Consejo Estatal.</w:t>
      </w:r>
    </w:p>
    <w:p w14:paraId="41159F0F" w14:textId="679D28C3" w:rsidR="002C3F67" w:rsidRPr="00E816AE" w:rsidRDefault="002C3F67" w:rsidP="00D55B33">
      <w:pPr>
        <w:pStyle w:val="Ttulo2"/>
        <w:rPr>
          <w:rFonts w:ascii="Arial" w:hAnsi="Arial" w:cs="Arial"/>
          <w:sz w:val="22"/>
          <w:szCs w:val="22"/>
        </w:rPr>
      </w:pPr>
      <w:r w:rsidRPr="00E816AE">
        <w:rPr>
          <w:rFonts w:ascii="Arial" w:hAnsi="Arial" w:cs="Arial"/>
          <w:sz w:val="22"/>
          <w:szCs w:val="22"/>
        </w:rPr>
        <w:t xml:space="preserve">Consulta a la DESPEN </w:t>
      </w:r>
    </w:p>
    <w:p w14:paraId="7583E4D4" w14:textId="64B160DF" w:rsidR="002C3F67" w:rsidRPr="00E816AE" w:rsidRDefault="002C3F67" w:rsidP="002C3F67">
      <w:pPr>
        <w:rPr>
          <w:rFonts w:ascii="Arial" w:hAnsi="Arial" w:cs="Arial"/>
          <w:sz w:val="22"/>
          <w:szCs w:val="22"/>
        </w:rPr>
      </w:pPr>
      <w:r w:rsidRPr="00E816AE">
        <w:rPr>
          <w:rFonts w:ascii="Arial" w:hAnsi="Arial" w:cs="Arial"/>
          <w:sz w:val="22"/>
          <w:szCs w:val="22"/>
        </w:rPr>
        <w:t>El 13 de diciembre de 2024 mediante oficio OESPEN/SE/087/2024 el Órgano de enlace solicito a Secretaría Ejecutiva realizar una consulta a la Dirección Ejecutiva del Servicio Profesional Electoral Nacional, con el objetivo de definir el procedimiento a seguir en caso de realizar algún movimiento o modificación al catálogo del servicio</w:t>
      </w:r>
      <w:r w:rsidR="0046224D" w:rsidRPr="00E816AE">
        <w:rPr>
          <w:rFonts w:ascii="Arial" w:hAnsi="Arial" w:cs="Arial"/>
          <w:sz w:val="22"/>
          <w:szCs w:val="22"/>
        </w:rPr>
        <w:t>.</w:t>
      </w:r>
    </w:p>
    <w:p w14:paraId="205FBF66" w14:textId="77777777" w:rsidR="0046224D" w:rsidRPr="00E816AE" w:rsidRDefault="0046224D" w:rsidP="0046224D">
      <w:pPr>
        <w:pStyle w:val="Ttulo2"/>
        <w:rPr>
          <w:rFonts w:ascii="Arial" w:hAnsi="Arial" w:cs="Arial"/>
          <w:sz w:val="22"/>
          <w:szCs w:val="22"/>
        </w:rPr>
      </w:pPr>
      <w:r w:rsidRPr="00E816AE">
        <w:rPr>
          <w:rFonts w:ascii="Arial" w:hAnsi="Arial" w:cs="Arial"/>
          <w:sz w:val="22"/>
          <w:szCs w:val="22"/>
        </w:rPr>
        <w:t>Aprobación del Presupuesto Anual correspondiente al ejercicio 2025</w:t>
      </w:r>
    </w:p>
    <w:p w14:paraId="143E72F1" w14:textId="77777777" w:rsidR="0046224D" w:rsidRPr="00E816AE" w:rsidRDefault="0046224D" w:rsidP="0046224D">
      <w:pPr>
        <w:rPr>
          <w:rFonts w:ascii="Arial" w:hAnsi="Arial" w:cs="Arial"/>
          <w:sz w:val="22"/>
          <w:szCs w:val="22"/>
        </w:rPr>
      </w:pPr>
      <w:r w:rsidRPr="00E816AE">
        <w:rPr>
          <w:rFonts w:ascii="Arial" w:hAnsi="Arial" w:cs="Arial"/>
          <w:sz w:val="22"/>
          <w:szCs w:val="22"/>
        </w:rPr>
        <w:t xml:space="preserve">El 18 de diciembre de 2024, se publicó en la Edición 8586 del Periódico Oficial del Estado el decreto 034 relativo al Presupuesto Anual de Egresos aprobado por el H. Congreso del Estado de Tabasco, correspondiente al ejercicio 2025, el cual contiene entre otros aspectos, la política de gasto de los órganos autónomos. </w:t>
      </w:r>
    </w:p>
    <w:p w14:paraId="3ACC4016" w14:textId="77777777" w:rsidR="0046224D" w:rsidRPr="00E816AE" w:rsidRDefault="0046224D" w:rsidP="0046224D">
      <w:pPr>
        <w:pStyle w:val="Ttulo2"/>
        <w:rPr>
          <w:rFonts w:ascii="Arial" w:hAnsi="Arial" w:cs="Arial"/>
          <w:sz w:val="22"/>
          <w:szCs w:val="22"/>
        </w:rPr>
      </w:pPr>
      <w:r w:rsidRPr="00E816AE">
        <w:rPr>
          <w:rFonts w:ascii="Arial" w:hAnsi="Arial" w:cs="Arial"/>
          <w:sz w:val="22"/>
          <w:szCs w:val="22"/>
        </w:rPr>
        <w:t>Presupuesto del Instituto correspondiente al ejercicio 2025</w:t>
      </w:r>
    </w:p>
    <w:p w14:paraId="48C3547C" w14:textId="43FF4117" w:rsidR="0046224D" w:rsidRDefault="0046224D" w:rsidP="0046224D">
      <w:pPr>
        <w:rPr>
          <w:rFonts w:ascii="Arial" w:hAnsi="Arial" w:cs="Arial"/>
          <w:sz w:val="22"/>
          <w:szCs w:val="22"/>
        </w:rPr>
      </w:pPr>
      <w:r w:rsidRPr="00E816AE">
        <w:rPr>
          <w:rFonts w:ascii="Arial" w:hAnsi="Arial" w:cs="Arial"/>
          <w:sz w:val="22"/>
          <w:szCs w:val="22"/>
        </w:rPr>
        <w:t xml:space="preserve">De conformidad con el Presupuesto antes mencionado, el H. Congreso del Estado, para el ejercicio 2025 asignó al Instituto recursos por la cantidad de $194’440,981.00 (ciento noventa y cuatro millones novecientos ochenta y un mil pesos 00/100), cantidad que incluye el gasto previsto para el financiamiento público de los partidos políticos con derecho a éste. </w:t>
      </w:r>
    </w:p>
    <w:p w14:paraId="3270E021" w14:textId="77777777" w:rsidR="00526DA2" w:rsidRPr="00E816AE" w:rsidRDefault="00526DA2" w:rsidP="0046224D">
      <w:pPr>
        <w:rPr>
          <w:rFonts w:ascii="Arial" w:hAnsi="Arial" w:cs="Arial"/>
          <w:sz w:val="22"/>
          <w:szCs w:val="22"/>
        </w:rPr>
      </w:pPr>
    </w:p>
    <w:p w14:paraId="5FEE85CF" w14:textId="4764EAC9" w:rsidR="002C3F67" w:rsidRPr="00E816AE" w:rsidRDefault="002C3F67" w:rsidP="00D55B33">
      <w:pPr>
        <w:pStyle w:val="Ttulo2"/>
        <w:rPr>
          <w:rFonts w:ascii="Arial" w:hAnsi="Arial" w:cs="Arial"/>
          <w:sz w:val="22"/>
          <w:szCs w:val="22"/>
        </w:rPr>
      </w:pPr>
      <w:r w:rsidRPr="00E816AE">
        <w:rPr>
          <w:rFonts w:ascii="Arial" w:hAnsi="Arial" w:cs="Arial"/>
          <w:sz w:val="22"/>
          <w:szCs w:val="22"/>
        </w:rPr>
        <w:lastRenderedPageBreak/>
        <w:t>Diagnóstico organizacional y funcional</w:t>
      </w:r>
    </w:p>
    <w:p w14:paraId="5C904C82" w14:textId="185B0B27" w:rsidR="002C3F67" w:rsidRDefault="002C3F67" w:rsidP="002C3F67">
      <w:pPr>
        <w:rPr>
          <w:rFonts w:ascii="Arial" w:hAnsi="Arial" w:cs="Arial"/>
          <w:sz w:val="22"/>
          <w:szCs w:val="22"/>
        </w:rPr>
      </w:pPr>
      <w:r w:rsidRPr="00E816AE">
        <w:rPr>
          <w:rFonts w:ascii="Arial" w:hAnsi="Arial" w:cs="Arial"/>
          <w:sz w:val="22"/>
          <w:szCs w:val="22"/>
        </w:rPr>
        <w:t>El 27 de enero de 2025, la Secretaría Ejecutiva, mediante oficio SE/105/2025, remitió a la Presidencia de la Comisión de Seguimiento, el diagnóstico organizacional y funcional relacionado con la Coordinación de lo Contencioso Electoral y del personal del Servicio Profesional.</w:t>
      </w:r>
    </w:p>
    <w:p w14:paraId="77C78DDD" w14:textId="77777777" w:rsidR="00E816AE" w:rsidRPr="00E816AE" w:rsidRDefault="00E816AE" w:rsidP="002C3F67">
      <w:pPr>
        <w:rPr>
          <w:rFonts w:ascii="Arial" w:hAnsi="Arial" w:cs="Arial"/>
          <w:sz w:val="22"/>
          <w:szCs w:val="22"/>
        </w:rPr>
      </w:pPr>
    </w:p>
    <w:p w14:paraId="26D4102A" w14:textId="1C641241" w:rsidR="002C3F67" w:rsidRPr="00E816AE" w:rsidRDefault="002C3F67" w:rsidP="00D55B33">
      <w:pPr>
        <w:pStyle w:val="Ttulo2"/>
        <w:rPr>
          <w:rFonts w:ascii="Arial" w:hAnsi="Arial" w:cs="Arial"/>
          <w:sz w:val="22"/>
          <w:szCs w:val="22"/>
        </w:rPr>
      </w:pPr>
      <w:r w:rsidRPr="00E816AE">
        <w:rPr>
          <w:rFonts w:ascii="Arial" w:hAnsi="Arial" w:cs="Arial"/>
          <w:sz w:val="22"/>
          <w:szCs w:val="22"/>
        </w:rPr>
        <w:t>Propuesta de la Comisión de Seguimiento</w:t>
      </w:r>
    </w:p>
    <w:p w14:paraId="307CD52E" w14:textId="77777777" w:rsidR="002C3F67" w:rsidRPr="00E816AE" w:rsidRDefault="002C3F67" w:rsidP="002C3F67">
      <w:pPr>
        <w:rPr>
          <w:rFonts w:ascii="Arial" w:hAnsi="Arial" w:cs="Arial"/>
          <w:sz w:val="22"/>
          <w:szCs w:val="22"/>
        </w:rPr>
      </w:pPr>
      <w:r w:rsidRPr="00E816AE">
        <w:rPr>
          <w:rFonts w:ascii="Arial" w:hAnsi="Arial" w:cs="Arial"/>
          <w:sz w:val="22"/>
          <w:szCs w:val="22"/>
        </w:rPr>
        <w:t>El 20 de febrero de 2025, la secretaria técnica de la Comisión de Seguimiento, mediante oficio CPSSPEN/029/2025, remitió a la Presidencia del Consejo, la propuesta de supresión de la plaza vacante de Coordinador/a de lo Contencioso Electoral con categoría “B”; lo anterior, para efectos de someterla a la deliberación por parte de este Consejo Estatal.</w:t>
      </w:r>
    </w:p>
    <w:p w14:paraId="400B08D9" w14:textId="66100F59" w:rsidR="002C3F67" w:rsidRPr="00E816AE" w:rsidRDefault="002C3F67" w:rsidP="00D55B33">
      <w:pPr>
        <w:pStyle w:val="Ttulo2"/>
        <w:rPr>
          <w:rFonts w:ascii="Arial" w:hAnsi="Arial" w:cs="Arial"/>
          <w:sz w:val="22"/>
          <w:szCs w:val="22"/>
        </w:rPr>
      </w:pPr>
      <w:r w:rsidRPr="00E816AE">
        <w:rPr>
          <w:rFonts w:ascii="Arial" w:hAnsi="Arial" w:cs="Arial"/>
          <w:sz w:val="22"/>
          <w:szCs w:val="22"/>
        </w:rPr>
        <w:t xml:space="preserve">Solicitud de </w:t>
      </w:r>
      <w:r w:rsidR="00290047" w:rsidRPr="00E816AE">
        <w:rPr>
          <w:rFonts w:ascii="Arial" w:hAnsi="Arial" w:cs="Arial"/>
          <w:sz w:val="22"/>
          <w:szCs w:val="22"/>
        </w:rPr>
        <w:t>supresión</w:t>
      </w:r>
    </w:p>
    <w:p w14:paraId="66BE96E2" w14:textId="5404F0FA" w:rsidR="002C3F67" w:rsidRPr="00E816AE" w:rsidRDefault="002C3F67" w:rsidP="002C3F67">
      <w:pPr>
        <w:rPr>
          <w:rFonts w:ascii="Arial" w:hAnsi="Arial" w:cs="Arial"/>
          <w:sz w:val="22"/>
          <w:szCs w:val="22"/>
        </w:rPr>
      </w:pPr>
      <w:r w:rsidRPr="00E816AE">
        <w:rPr>
          <w:rFonts w:ascii="Arial" w:hAnsi="Arial" w:cs="Arial"/>
          <w:sz w:val="22"/>
          <w:szCs w:val="22"/>
        </w:rPr>
        <w:t>El 28 de febrero de 2025, mediante acuerdo CE/2025/017, el Consejo Estatal aprobó la solicitud de supresión de la plaza con categoría de Coordinador/a de lo Contencioso Electoral “B” SPEN incorporada al Servicio Profesional Electoral del Instituto Electoral y de Participación Ciudadana de Tabasco</w:t>
      </w:r>
      <w:r w:rsidR="00290047" w:rsidRPr="00E816AE">
        <w:rPr>
          <w:rFonts w:ascii="Arial" w:hAnsi="Arial" w:cs="Arial"/>
          <w:sz w:val="22"/>
          <w:szCs w:val="22"/>
        </w:rPr>
        <w:t xml:space="preserve">. </w:t>
      </w:r>
    </w:p>
    <w:p w14:paraId="33369DB8" w14:textId="2D26AF8B" w:rsidR="00290047" w:rsidRPr="00E816AE" w:rsidRDefault="00290047" w:rsidP="002C3F67">
      <w:pPr>
        <w:rPr>
          <w:rFonts w:ascii="Arial" w:hAnsi="Arial" w:cs="Arial"/>
          <w:sz w:val="22"/>
          <w:szCs w:val="22"/>
        </w:rPr>
      </w:pPr>
      <w:r w:rsidRPr="00E816AE">
        <w:rPr>
          <w:rFonts w:ascii="Arial" w:hAnsi="Arial" w:cs="Arial"/>
          <w:sz w:val="22"/>
          <w:szCs w:val="22"/>
        </w:rPr>
        <w:t>Lo anterior con el propósito de que los recursos que corresponden a la categoría de Coordinador “B” SPEN señalada, se destinen para la creación e incorporación de una plaza de menor jerarquía y preservar la funcionalidad de la Coordinación de lo Contencioso; así como utilizar, los recursos remanentes de dicha categoría, y la relativa a la categoría de Técnico/a adscrita a la Dirección Jurídica para mejorar las condiciones de parte del personal del Servicio Profesional.</w:t>
      </w:r>
    </w:p>
    <w:p w14:paraId="055E243A" w14:textId="13E95ABF" w:rsidR="00290047" w:rsidRPr="00E816AE" w:rsidRDefault="001E232A" w:rsidP="00D55B33">
      <w:pPr>
        <w:pStyle w:val="Ttulo2"/>
        <w:rPr>
          <w:rFonts w:ascii="Arial" w:hAnsi="Arial" w:cs="Arial"/>
          <w:sz w:val="22"/>
          <w:szCs w:val="22"/>
        </w:rPr>
      </w:pPr>
      <w:r w:rsidRPr="00E816AE">
        <w:rPr>
          <w:rFonts w:ascii="Arial" w:hAnsi="Arial" w:cs="Arial"/>
          <w:sz w:val="22"/>
          <w:szCs w:val="22"/>
        </w:rPr>
        <w:t>Procedencia de la solicitud</w:t>
      </w:r>
    </w:p>
    <w:p w14:paraId="2A851548" w14:textId="13D3F31D" w:rsidR="001E232A" w:rsidRDefault="001E232A" w:rsidP="002C3F67">
      <w:pPr>
        <w:rPr>
          <w:rFonts w:ascii="Arial" w:hAnsi="Arial" w:cs="Arial"/>
        </w:rPr>
      </w:pPr>
      <w:r w:rsidRPr="00E816AE">
        <w:rPr>
          <w:rFonts w:ascii="Arial" w:hAnsi="Arial" w:cs="Arial"/>
          <w:sz w:val="22"/>
          <w:szCs w:val="22"/>
        </w:rPr>
        <w:t xml:space="preserve">El 27 de junio de 2025, mediante acuerdo INE/JGE127/2025, la Junta General Ejecutiva del INE aprobó la solicitud de supresión de la plaza del Servicio Profesional Electoral Nacional con categoría de Coordinador “B” perteneciente al Instituto; considerando que, el objetivo de dicha supresión </w:t>
      </w:r>
      <w:r w:rsidR="00526DA2">
        <w:rPr>
          <w:rFonts w:ascii="Arial" w:hAnsi="Arial" w:cs="Arial"/>
          <w:sz w:val="22"/>
          <w:szCs w:val="22"/>
        </w:rPr>
        <w:t>beneficia</w:t>
      </w:r>
      <w:r w:rsidRPr="00E816AE">
        <w:rPr>
          <w:rFonts w:ascii="Arial" w:hAnsi="Arial" w:cs="Arial"/>
          <w:sz w:val="22"/>
          <w:szCs w:val="22"/>
        </w:rPr>
        <w:t xml:space="preserve"> al fortalecimiento del servicio en el propio Instituto, </w:t>
      </w:r>
      <w:r w:rsidRPr="00E816AE">
        <w:rPr>
          <w:rFonts w:ascii="Arial" w:hAnsi="Arial" w:cs="Arial"/>
          <w:sz w:val="22"/>
          <w:szCs w:val="22"/>
        </w:rPr>
        <w:lastRenderedPageBreak/>
        <w:t>además de que la supresión no implica la modificación de la estructura de niveles, cargos y puestos del servicio</w:t>
      </w:r>
      <w:r w:rsidRPr="00E816AE">
        <w:rPr>
          <w:rFonts w:ascii="Arial" w:hAnsi="Arial" w:cs="Arial"/>
        </w:rPr>
        <w:t>.</w:t>
      </w:r>
    </w:p>
    <w:p w14:paraId="45224EBD" w14:textId="77777777" w:rsidR="0003796F" w:rsidRPr="00E816AE" w:rsidRDefault="0003796F" w:rsidP="002C3F67">
      <w:pPr>
        <w:rPr>
          <w:rFonts w:ascii="Arial" w:hAnsi="Arial" w:cs="Arial"/>
        </w:rPr>
      </w:pPr>
      <w:bookmarkStart w:id="0" w:name="_GoBack"/>
      <w:bookmarkEnd w:id="0"/>
    </w:p>
    <w:p w14:paraId="41FF5DE6" w14:textId="0AD87E67" w:rsidR="00D55B33" w:rsidRPr="00E816AE" w:rsidRDefault="00D55B33" w:rsidP="00D55B33">
      <w:pPr>
        <w:pStyle w:val="Ttulo1"/>
        <w:rPr>
          <w:rFonts w:ascii="Arial" w:hAnsi="Arial" w:cs="Arial"/>
          <w:sz w:val="24"/>
          <w:szCs w:val="24"/>
        </w:rPr>
      </w:pPr>
      <w:r w:rsidRPr="00E816AE">
        <w:rPr>
          <w:rFonts w:ascii="Arial" w:hAnsi="Arial" w:cs="Arial"/>
          <w:sz w:val="24"/>
          <w:szCs w:val="24"/>
        </w:rPr>
        <w:t>Considerando</w:t>
      </w:r>
    </w:p>
    <w:p w14:paraId="52CEB4F3" w14:textId="410BD567" w:rsidR="00947C48" w:rsidRPr="00E816AE" w:rsidRDefault="00947C48" w:rsidP="00947C48">
      <w:pPr>
        <w:pStyle w:val="Ttulo2"/>
        <w:rPr>
          <w:rFonts w:ascii="Arial" w:hAnsi="Arial" w:cs="Arial"/>
          <w:sz w:val="22"/>
          <w:szCs w:val="22"/>
        </w:rPr>
      </w:pPr>
      <w:r w:rsidRPr="00E816AE">
        <w:rPr>
          <w:rFonts w:ascii="Arial" w:hAnsi="Arial" w:cs="Arial"/>
          <w:sz w:val="22"/>
          <w:szCs w:val="22"/>
        </w:rPr>
        <w:t>Competencia de la Junta Ejecutiva</w:t>
      </w:r>
    </w:p>
    <w:p w14:paraId="5F00A890" w14:textId="7B970A64" w:rsidR="00947C48" w:rsidRPr="00E816AE" w:rsidRDefault="00947C48" w:rsidP="00947C48">
      <w:pPr>
        <w:rPr>
          <w:rFonts w:ascii="Arial" w:hAnsi="Arial" w:cs="Arial"/>
          <w:sz w:val="22"/>
          <w:szCs w:val="22"/>
        </w:rPr>
      </w:pPr>
      <w:r w:rsidRPr="00E816AE">
        <w:rPr>
          <w:rFonts w:ascii="Arial" w:hAnsi="Arial" w:cs="Arial"/>
          <w:sz w:val="22"/>
          <w:szCs w:val="22"/>
        </w:rPr>
        <w:t>Que, de conformidad con el artículo 119 numeral 1 fracción XIII de la Ley Electoral a la Junta Ejecutiva corresponde la ejecución de las atribuciones que le encomiende la Ley Electoral, el Consejo Estatal y el Consejero o Consejera Presidente.</w:t>
      </w:r>
    </w:p>
    <w:p w14:paraId="4AE7A593" w14:textId="77777777" w:rsidR="00AC30A9" w:rsidRPr="00E816AE" w:rsidRDefault="00AC30A9" w:rsidP="00AC30A9">
      <w:pPr>
        <w:rPr>
          <w:rFonts w:ascii="Arial" w:hAnsi="Arial" w:cs="Arial"/>
          <w:sz w:val="22"/>
          <w:szCs w:val="22"/>
        </w:rPr>
      </w:pPr>
      <w:r w:rsidRPr="00E816AE">
        <w:rPr>
          <w:rFonts w:ascii="Arial" w:hAnsi="Arial" w:cs="Arial"/>
          <w:sz w:val="22"/>
          <w:szCs w:val="22"/>
        </w:rPr>
        <w:t xml:space="preserve">Acorde a lo anterior, de la interpretación sistemática y funcional al artículo 115 numeral 5 de la Ley Electoral se advierte que, la Junta Ejecutiva podrá emitir los acuerdos que estime necesarios para la organización, integración de la estructura, desarrollo, cómputo, vigilancia y fiscalización de los procesos electorales de las personas juzgadoras, garantizando el cumplimiento de las disposiciones constitucionales y legales aplicables para los procesos electorales estatales, observando los principios de certeza, legalidad, independencia, imparcialidad, máxima publicidad, objetividad y paridad de género. </w:t>
      </w:r>
    </w:p>
    <w:p w14:paraId="76425E0A" w14:textId="79D9AE2E" w:rsidR="00D55B33" w:rsidRPr="00E816AE" w:rsidRDefault="00D55B33" w:rsidP="00D55B33">
      <w:pPr>
        <w:pStyle w:val="Ttulo2"/>
        <w:rPr>
          <w:rFonts w:ascii="Arial" w:hAnsi="Arial" w:cs="Arial"/>
          <w:sz w:val="22"/>
          <w:szCs w:val="22"/>
        </w:rPr>
      </w:pPr>
      <w:r w:rsidRPr="00E816AE">
        <w:rPr>
          <w:rFonts w:ascii="Arial" w:hAnsi="Arial" w:cs="Arial"/>
          <w:sz w:val="22"/>
          <w:szCs w:val="22"/>
        </w:rPr>
        <w:t>Servicio Profesional</w:t>
      </w:r>
    </w:p>
    <w:p w14:paraId="7D30390A" w14:textId="2F62A435" w:rsidR="00D55B33" w:rsidRPr="00E816AE" w:rsidRDefault="00D55B33" w:rsidP="00D55B33">
      <w:pPr>
        <w:rPr>
          <w:rFonts w:ascii="Arial" w:hAnsi="Arial" w:cs="Arial"/>
          <w:sz w:val="22"/>
          <w:szCs w:val="22"/>
        </w:rPr>
      </w:pPr>
      <w:r w:rsidRPr="00E816AE">
        <w:rPr>
          <w:rFonts w:ascii="Arial" w:hAnsi="Arial" w:cs="Arial"/>
          <w:sz w:val="22"/>
          <w:szCs w:val="22"/>
        </w:rPr>
        <w:t>Que, de conformidad con lo dispuesto por el artículo 41 párrafo tercero, base V y el apartado D de la Constitución Federal, corresponde al INE regular la organización y funcionamiento del Servicio Profesional que comprende la selección, ingreso, capacitación, profesionalización, promoción, evaluación, rotación, permanencia y disciplina, de los servidores públicos de los órganos ejecutivos y técnicos del INE y de los organismos electorales de las entidades federativas.</w:t>
      </w:r>
    </w:p>
    <w:p w14:paraId="3E091F2E" w14:textId="77777777" w:rsidR="00D55B33" w:rsidRPr="00E816AE" w:rsidRDefault="00D55B33" w:rsidP="00D55B33">
      <w:pPr>
        <w:rPr>
          <w:rFonts w:ascii="Arial" w:hAnsi="Arial" w:cs="Arial"/>
          <w:sz w:val="22"/>
          <w:szCs w:val="22"/>
        </w:rPr>
      </w:pPr>
      <w:r w:rsidRPr="00E816AE">
        <w:rPr>
          <w:rFonts w:ascii="Arial" w:hAnsi="Arial" w:cs="Arial"/>
          <w:sz w:val="22"/>
          <w:szCs w:val="22"/>
        </w:rPr>
        <w:t>En el caso de la entidad, los artículos 160 y 161 de la Ley Electoral, establecen que, para asegurar el desempeño profesional de las actividades del Instituto, el INE regulará la organización y funcionamiento del Servicio Profesional, de conformidad con lo establecido por el numeral 41 de la Constitución Federal;  que además, la organización del servicio será regulada por las normas establecidas por la Ley General y por las del Estatuto que apruebe el Consejo  General, en lo relativo al sistema correspondiente a los organismos electorales.</w:t>
      </w:r>
    </w:p>
    <w:p w14:paraId="7EFE0CEF" w14:textId="77777777" w:rsidR="00D55B33" w:rsidRPr="00E816AE" w:rsidRDefault="00D55B33" w:rsidP="00D55B33">
      <w:pPr>
        <w:pStyle w:val="Ttulo2"/>
        <w:rPr>
          <w:rFonts w:ascii="Arial" w:hAnsi="Arial" w:cs="Arial"/>
          <w:sz w:val="22"/>
          <w:szCs w:val="22"/>
        </w:rPr>
      </w:pPr>
      <w:r w:rsidRPr="00E816AE">
        <w:rPr>
          <w:rFonts w:ascii="Arial" w:hAnsi="Arial" w:cs="Arial"/>
          <w:sz w:val="22"/>
          <w:szCs w:val="22"/>
        </w:rPr>
        <w:lastRenderedPageBreak/>
        <w:t>Integración, organización y funcionamiento del Servicio Profesional</w:t>
      </w:r>
    </w:p>
    <w:p w14:paraId="73433C3C" w14:textId="77777777" w:rsidR="00D55B33" w:rsidRPr="00E816AE" w:rsidRDefault="00D55B33" w:rsidP="00D55B33">
      <w:pPr>
        <w:rPr>
          <w:rFonts w:ascii="Arial" w:hAnsi="Arial" w:cs="Arial"/>
          <w:sz w:val="22"/>
          <w:szCs w:val="22"/>
        </w:rPr>
      </w:pPr>
      <w:r w:rsidRPr="00E816AE">
        <w:rPr>
          <w:rFonts w:ascii="Arial" w:hAnsi="Arial" w:cs="Arial"/>
          <w:sz w:val="22"/>
          <w:szCs w:val="22"/>
        </w:rPr>
        <w:t>Que, conforme a lo dispuesto por el artículo 202, numerales 1 y 2 de la Ley General, el Servicio Profesional contará con dos sistemas: uno para el INE y otro para los organismos electorales, los cuales estarán integrados por las y los servidores públicos de sus órganos ejecutivos y técnicos; además, para su adecuado funcionamiento, el INE regulará la organización y aplicará los distintos mecanismos del servicio de conformidad con lo dispuesto en el apartado D de la Base V del artículo 41 de la Constitución Federal.</w:t>
      </w:r>
    </w:p>
    <w:p w14:paraId="756ABD1C" w14:textId="77777777" w:rsidR="00D55B33" w:rsidRPr="00E816AE" w:rsidRDefault="00D55B33" w:rsidP="00D55B33">
      <w:pPr>
        <w:pStyle w:val="Ttulo2"/>
        <w:rPr>
          <w:rFonts w:ascii="Arial" w:hAnsi="Arial" w:cs="Arial"/>
          <w:sz w:val="22"/>
          <w:szCs w:val="22"/>
        </w:rPr>
      </w:pPr>
      <w:r w:rsidRPr="00E816AE">
        <w:rPr>
          <w:rFonts w:ascii="Arial" w:hAnsi="Arial" w:cs="Arial"/>
          <w:sz w:val="22"/>
          <w:szCs w:val="22"/>
        </w:rPr>
        <w:t xml:space="preserve">Servicio Profesional del Sistema de Organismos Electorales </w:t>
      </w:r>
    </w:p>
    <w:p w14:paraId="1AE5C9FE" w14:textId="77777777" w:rsidR="00D55B33" w:rsidRPr="00E816AE" w:rsidRDefault="00D55B33" w:rsidP="00D55B33">
      <w:pPr>
        <w:rPr>
          <w:rFonts w:ascii="Arial" w:hAnsi="Arial" w:cs="Arial"/>
          <w:sz w:val="22"/>
          <w:szCs w:val="22"/>
        </w:rPr>
      </w:pPr>
      <w:r w:rsidRPr="00E816AE">
        <w:rPr>
          <w:rFonts w:ascii="Arial" w:hAnsi="Arial" w:cs="Arial"/>
          <w:sz w:val="22"/>
          <w:szCs w:val="22"/>
        </w:rPr>
        <w:t>Que, el artículo 30 numeral 3 de la Ley General, prevé entre otras cosas que, para el desempeño de sus actividades, los organismos electorales contarán con un cuerpo de servidores públicos en sus órganos ejecutivos y técnicos, integrados en un Servicio Profesional que se regirá por el Estatuto que al efecto apruebe el Consejo General. Asimismo, a través del Servicio Profesional, los organismos electorales contendrán los respectivos mecanismos de selección, ingreso, capacitación, profesionalización, promoción, evaluación, rotación, permanencia y disciplina, así como el catálogo general de los cargos y puestos del personal ejecutivo y técnico, correspondiendo su regulación, organización, funcionamiento y rectoría al INE.</w:t>
      </w:r>
    </w:p>
    <w:p w14:paraId="7C82E19F" w14:textId="77777777" w:rsidR="00D55B33" w:rsidRPr="00E816AE" w:rsidRDefault="00D55B33" w:rsidP="00D55B33">
      <w:pPr>
        <w:pStyle w:val="Ttulo2"/>
        <w:rPr>
          <w:rFonts w:ascii="Arial" w:hAnsi="Arial" w:cs="Arial"/>
          <w:sz w:val="22"/>
          <w:szCs w:val="22"/>
        </w:rPr>
      </w:pPr>
      <w:r w:rsidRPr="00E816AE">
        <w:rPr>
          <w:rFonts w:ascii="Arial" w:hAnsi="Arial" w:cs="Arial"/>
          <w:sz w:val="22"/>
          <w:szCs w:val="22"/>
        </w:rPr>
        <w:t>Funciones sustantivas</w:t>
      </w:r>
    </w:p>
    <w:p w14:paraId="4416947C" w14:textId="77777777" w:rsidR="00D55B33" w:rsidRPr="00E816AE" w:rsidRDefault="00D55B33" w:rsidP="00D55B33">
      <w:pPr>
        <w:rPr>
          <w:rFonts w:ascii="Arial" w:hAnsi="Arial" w:cs="Arial"/>
          <w:sz w:val="22"/>
          <w:szCs w:val="22"/>
        </w:rPr>
      </w:pPr>
      <w:r w:rsidRPr="00E816AE">
        <w:rPr>
          <w:rFonts w:ascii="Arial" w:hAnsi="Arial" w:cs="Arial"/>
          <w:sz w:val="22"/>
          <w:szCs w:val="22"/>
        </w:rPr>
        <w:t>Que, el artículo 4 de los Lineamientos considera funciones sustantivas las orientadas a promover, respetar, proteger y garantizar los derechos político-electorales, de conformidad con los principios de universalidad, interdependencia, indivisibilidad y progresividad, relacionadas con los rubros o materias siguientes:</w:t>
      </w:r>
    </w:p>
    <w:p w14:paraId="314B3F7A" w14:textId="77777777" w:rsidR="00D55B33" w:rsidRPr="00E816AE" w:rsidRDefault="00D55B33" w:rsidP="00D55B33">
      <w:pPr>
        <w:pStyle w:val="Prrafodelista"/>
        <w:numPr>
          <w:ilvl w:val="0"/>
          <w:numId w:val="3"/>
        </w:numPr>
        <w:ind w:left="680" w:hanging="680"/>
        <w:contextualSpacing w:val="0"/>
        <w:rPr>
          <w:rFonts w:ascii="Arial" w:hAnsi="Arial" w:cs="Arial"/>
          <w:sz w:val="22"/>
          <w:szCs w:val="22"/>
        </w:rPr>
      </w:pPr>
      <w:r w:rsidRPr="00E816AE">
        <w:rPr>
          <w:rFonts w:ascii="Arial" w:hAnsi="Arial" w:cs="Arial"/>
          <w:sz w:val="22"/>
          <w:szCs w:val="22"/>
        </w:rPr>
        <w:t>Capacitación electoral;</w:t>
      </w:r>
    </w:p>
    <w:p w14:paraId="2ECEEA69" w14:textId="77777777" w:rsidR="00D55B33" w:rsidRPr="00E816AE" w:rsidRDefault="00D55B33" w:rsidP="00D55B33">
      <w:pPr>
        <w:pStyle w:val="Prrafodelista"/>
        <w:numPr>
          <w:ilvl w:val="0"/>
          <w:numId w:val="3"/>
        </w:numPr>
        <w:ind w:left="680" w:hanging="680"/>
        <w:contextualSpacing w:val="0"/>
        <w:rPr>
          <w:rFonts w:ascii="Arial" w:hAnsi="Arial" w:cs="Arial"/>
          <w:sz w:val="22"/>
          <w:szCs w:val="22"/>
        </w:rPr>
      </w:pPr>
      <w:r w:rsidRPr="00E816AE">
        <w:rPr>
          <w:rFonts w:ascii="Arial" w:hAnsi="Arial" w:cs="Arial"/>
          <w:sz w:val="22"/>
          <w:szCs w:val="22"/>
        </w:rPr>
        <w:t>Educación cívica;</w:t>
      </w:r>
    </w:p>
    <w:p w14:paraId="530395BC" w14:textId="77777777" w:rsidR="00D55B33" w:rsidRPr="00E816AE" w:rsidRDefault="00D55B33" w:rsidP="00D55B33">
      <w:pPr>
        <w:pStyle w:val="Prrafodelista"/>
        <w:numPr>
          <w:ilvl w:val="0"/>
          <w:numId w:val="3"/>
        </w:numPr>
        <w:ind w:left="680" w:hanging="680"/>
        <w:contextualSpacing w:val="0"/>
        <w:rPr>
          <w:rFonts w:ascii="Arial" w:hAnsi="Arial" w:cs="Arial"/>
          <w:sz w:val="22"/>
          <w:szCs w:val="22"/>
        </w:rPr>
      </w:pPr>
      <w:r w:rsidRPr="00E816AE">
        <w:rPr>
          <w:rFonts w:ascii="Arial" w:hAnsi="Arial" w:cs="Arial"/>
          <w:sz w:val="22"/>
          <w:szCs w:val="22"/>
        </w:rPr>
        <w:t>Geografía electoral;</w:t>
      </w:r>
    </w:p>
    <w:p w14:paraId="4B943419" w14:textId="77777777" w:rsidR="00D55B33" w:rsidRPr="00E816AE" w:rsidRDefault="00D55B33" w:rsidP="00D55B33">
      <w:pPr>
        <w:pStyle w:val="Prrafodelista"/>
        <w:numPr>
          <w:ilvl w:val="0"/>
          <w:numId w:val="3"/>
        </w:numPr>
        <w:ind w:left="680" w:hanging="680"/>
        <w:contextualSpacing w:val="0"/>
        <w:rPr>
          <w:rFonts w:ascii="Arial" w:hAnsi="Arial" w:cs="Arial"/>
          <w:sz w:val="22"/>
          <w:szCs w:val="22"/>
        </w:rPr>
      </w:pPr>
      <w:r w:rsidRPr="00E816AE">
        <w:rPr>
          <w:rFonts w:ascii="Arial" w:hAnsi="Arial" w:cs="Arial"/>
          <w:sz w:val="22"/>
          <w:szCs w:val="22"/>
        </w:rPr>
        <w:t>Derechos, registro y acceso a las prerrogativas de los partidos políticos, agrupaciones o asociaciones políticas y candidatos;</w:t>
      </w:r>
    </w:p>
    <w:p w14:paraId="0F9F8504" w14:textId="77777777" w:rsidR="00D55B33" w:rsidRPr="00E816AE" w:rsidRDefault="00D55B33" w:rsidP="00D55B33">
      <w:pPr>
        <w:pStyle w:val="Prrafodelista"/>
        <w:numPr>
          <w:ilvl w:val="0"/>
          <w:numId w:val="3"/>
        </w:numPr>
        <w:ind w:left="680" w:hanging="680"/>
        <w:contextualSpacing w:val="0"/>
        <w:rPr>
          <w:rFonts w:ascii="Arial" w:hAnsi="Arial" w:cs="Arial"/>
          <w:sz w:val="22"/>
          <w:szCs w:val="22"/>
        </w:rPr>
      </w:pPr>
      <w:r w:rsidRPr="00E816AE">
        <w:rPr>
          <w:rFonts w:ascii="Arial" w:hAnsi="Arial" w:cs="Arial"/>
          <w:sz w:val="22"/>
          <w:szCs w:val="22"/>
        </w:rPr>
        <w:t>Padrón electoral y la lista de electores;</w:t>
      </w:r>
    </w:p>
    <w:p w14:paraId="75BEAD70" w14:textId="77777777" w:rsidR="00D55B33" w:rsidRPr="00E816AE" w:rsidRDefault="00D55B33" w:rsidP="00D55B33">
      <w:pPr>
        <w:pStyle w:val="Prrafodelista"/>
        <w:numPr>
          <w:ilvl w:val="0"/>
          <w:numId w:val="3"/>
        </w:numPr>
        <w:ind w:left="680" w:hanging="680"/>
        <w:contextualSpacing w:val="0"/>
        <w:rPr>
          <w:rFonts w:ascii="Arial" w:hAnsi="Arial" w:cs="Arial"/>
          <w:sz w:val="22"/>
          <w:szCs w:val="22"/>
        </w:rPr>
      </w:pPr>
      <w:r w:rsidRPr="00E816AE">
        <w:rPr>
          <w:rFonts w:ascii="Arial" w:hAnsi="Arial" w:cs="Arial"/>
          <w:sz w:val="22"/>
          <w:szCs w:val="22"/>
        </w:rPr>
        <w:t>Impresión de documentos y la producción de materiales electorales;</w:t>
      </w:r>
    </w:p>
    <w:p w14:paraId="2F108A5D" w14:textId="77777777" w:rsidR="00D55B33" w:rsidRPr="00E816AE" w:rsidRDefault="00D55B33" w:rsidP="00D55B33">
      <w:pPr>
        <w:pStyle w:val="Prrafodelista"/>
        <w:numPr>
          <w:ilvl w:val="0"/>
          <w:numId w:val="3"/>
        </w:numPr>
        <w:ind w:left="680" w:hanging="680"/>
        <w:contextualSpacing w:val="0"/>
        <w:rPr>
          <w:rFonts w:ascii="Arial" w:hAnsi="Arial" w:cs="Arial"/>
          <w:sz w:val="22"/>
          <w:szCs w:val="22"/>
        </w:rPr>
      </w:pPr>
      <w:r w:rsidRPr="00E816AE">
        <w:rPr>
          <w:rFonts w:ascii="Arial" w:hAnsi="Arial" w:cs="Arial"/>
          <w:sz w:val="22"/>
          <w:szCs w:val="22"/>
        </w:rPr>
        <w:lastRenderedPageBreak/>
        <w:t>Preparación de la jornada electoral;</w:t>
      </w:r>
    </w:p>
    <w:p w14:paraId="2898E22F" w14:textId="77777777" w:rsidR="00D55B33" w:rsidRPr="00E816AE" w:rsidRDefault="00D55B33" w:rsidP="00D55B33">
      <w:pPr>
        <w:pStyle w:val="Prrafodelista"/>
        <w:numPr>
          <w:ilvl w:val="0"/>
          <w:numId w:val="3"/>
        </w:numPr>
        <w:ind w:left="680" w:hanging="680"/>
        <w:contextualSpacing w:val="0"/>
        <w:rPr>
          <w:rFonts w:ascii="Arial" w:hAnsi="Arial" w:cs="Arial"/>
          <w:sz w:val="22"/>
          <w:szCs w:val="22"/>
        </w:rPr>
      </w:pPr>
      <w:r w:rsidRPr="00E816AE">
        <w:rPr>
          <w:rFonts w:ascii="Arial" w:hAnsi="Arial" w:cs="Arial"/>
          <w:sz w:val="22"/>
          <w:szCs w:val="22"/>
        </w:rPr>
        <w:t>Mecanismos de recolección y recepción de paquetes;</w:t>
      </w:r>
    </w:p>
    <w:p w14:paraId="0C29FB18" w14:textId="77777777" w:rsidR="00D55B33" w:rsidRPr="00E816AE" w:rsidRDefault="00D55B33" w:rsidP="00D55B33">
      <w:pPr>
        <w:pStyle w:val="Prrafodelista"/>
        <w:numPr>
          <w:ilvl w:val="0"/>
          <w:numId w:val="3"/>
        </w:numPr>
        <w:ind w:left="680" w:hanging="680"/>
        <w:contextualSpacing w:val="0"/>
        <w:rPr>
          <w:rFonts w:ascii="Arial" w:hAnsi="Arial" w:cs="Arial"/>
          <w:sz w:val="22"/>
          <w:szCs w:val="22"/>
        </w:rPr>
      </w:pPr>
      <w:r w:rsidRPr="00E816AE">
        <w:rPr>
          <w:rFonts w:ascii="Arial" w:hAnsi="Arial" w:cs="Arial"/>
          <w:sz w:val="22"/>
          <w:szCs w:val="22"/>
        </w:rPr>
        <w:t>Los escrutinios y cómputos en los términos que señale la legislación aplicable, los cómputos, la declaración de validez de la elección y de elegibilidad de las y los candidatos de la fórmula que hubiese obtenido la mayoría de los votos y el otorgamiento de constancias de mayoría y validez;</w:t>
      </w:r>
    </w:p>
    <w:p w14:paraId="41928F47" w14:textId="77777777" w:rsidR="00D55B33" w:rsidRPr="00E816AE" w:rsidRDefault="00D55B33" w:rsidP="00D55B33">
      <w:pPr>
        <w:pStyle w:val="Prrafodelista"/>
        <w:numPr>
          <w:ilvl w:val="0"/>
          <w:numId w:val="3"/>
        </w:numPr>
        <w:ind w:left="680" w:hanging="680"/>
        <w:contextualSpacing w:val="0"/>
        <w:rPr>
          <w:rFonts w:ascii="Arial" w:hAnsi="Arial" w:cs="Arial"/>
          <w:sz w:val="22"/>
          <w:szCs w:val="22"/>
        </w:rPr>
      </w:pPr>
      <w:r w:rsidRPr="00E816AE">
        <w:rPr>
          <w:rFonts w:ascii="Arial" w:hAnsi="Arial" w:cs="Arial"/>
          <w:sz w:val="22"/>
          <w:szCs w:val="22"/>
        </w:rPr>
        <w:t>Resultados preliminares; encuestas o sondeos de opinión; observación electoral; conteos rápidos;</w:t>
      </w:r>
    </w:p>
    <w:p w14:paraId="2E8F5C2E" w14:textId="77777777" w:rsidR="00D55B33" w:rsidRPr="00E816AE" w:rsidRDefault="00D55B33" w:rsidP="00D55B33">
      <w:pPr>
        <w:pStyle w:val="Prrafodelista"/>
        <w:numPr>
          <w:ilvl w:val="0"/>
          <w:numId w:val="3"/>
        </w:numPr>
        <w:ind w:left="680" w:hanging="680"/>
        <w:contextualSpacing w:val="0"/>
        <w:rPr>
          <w:rFonts w:ascii="Arial" w:hAnsi="Arial" w:cs="Arial"/>
          <w:sz w:val="22"/>
          <w:szCs w:val="22"/>
        </w:rPr>
      </w:pPr>
      <w:r w:rsidRPr="00E816AE">
        <w:rPr>
          <w:rFonts w:ascii="Arial" w:hAnsi="Arial" w:cs="Arial"/>
          <w:sz w:val="22"/>
          <w:szCs w:val="22"/>
        </w:rPr>
        <w:t>Fiscalización de los ingresos y egresos de los partidos políticos, candidatos y organizaciones de ciudadanos que pretendan constituirse en partido político;</w:t>
      </w:r>
    </w:p>
    <w:p w14:paraId="4CD00BD4" w14:textId="77777777" w:rsidR="00D55B33" w:rsidRPr="00E816AE" w:rsidRDefault="00D55B33" w:rsidP="00D55B33">
      <w:pPr>
        <w:pStyle w:val="Prrafodelista"/>
        <w:numPr>
          <w:ilvl w:val="0"/>
          <w:numId w:val="3"/>
        </w:numPr>
        <w:ind w:left="680" w:hanging="680"/>
        <w:contextualSpacing w:val="0"/>
        <w:rPr>
          <w:rFonts w:ascii="Arial" w:hAnsi="Arial" w:cs="Arial"/>
          <w:sz w:val="22"/>
          <w:szCs w:val="22"/>
        </w:rPr>
      </w:pPr>
      <w:r w:rsidRPr="00E816AE">
        <w:rPr>
          <w:rFonts w:ascii="Arial" w:hAnsi="Arial" w:cs="Arial"/>
          <w:sz w:val="22"/>
          <w:szCs w:val="22"/>
        </w:rPr>
        <w:t>Administración de los tiempos del Estado en radio y televisión;</w:t>
      </w:r>
    </w:p>
    <w:p w14:paraId="6462A9EB" w14:textId="77777777" w:rsidR="00D55B33" w:rsidRPr="00E816AE" w:rsidRDefault="00D55B33" w:rsidP="00D55B33">
      <w:pPr>
        <w:pStyle w:val="Prrafodelista"/>
        <w:numPr>
          <w:ilvl w:val="0"/>
          <w:numId w:val="3"/>
        </w:numPr>
        <w:ind w:left="680" w:hanging="680"/>
        <w:contextualSpacing w:val="0"/>
        <w:rPr>
          <w:rFonts w:ascii="Arial" w:hAnsi="Arial" w:cs="Arial"/>
          <w:sz w:val="22"/>
          <w:szCs w:val="22"/>
        </w:rPr>
      </w:pPr>
      <w:r w:rsidRPr="00E816AE">
        <w:rPr>
          <w:rFonts w:ascii="Arial" w:hAnsi="Arial" w:cs="Arial"/>
          <w:sz w:val="22"/>
          <w:szCs w:val="22"/>
        </w:rPr>
        <w:t>La ubicación de las casillas y la designación de los funcionarios de sus mesas directivas;</w:t>
      </w:r>
    </w:p>
    <w:p w14:paraId="381D7769" w14:textId="77777777" w:rsidR="00D55B33" w:rsidRPr="00E816AE" w:rsidRDefault="00D55B33" w:rsidP="00D55B33">
      <w:pPr>
        <w:pStyle w:val="Prrafodelista"/>
        <w:numPr>
          <w:ilvl w:val="0"/>
          <w:numId w:val="3"/>
        </w:numPr>
        <w:ind w:left="680" w:hanging="680"/>
        <w:contextualSpacing w:val="0"/>
        <w:rPr>
          <w:rFonts w:ascii="Arial" w:hAnsi="Arial" w:cs="Arial"/>
          <w:sz w:val="22"/>
          <w:szCs w:val="22"/>
        </w:rPr>
      </w:pPr>
      <w:r w:rsidRPr="00E816AE">
        <w:rPr>
          <w:rFonts w:ascii="Arial" w:hAnsi="Arial" w:cs="Arial"/>
          <w:sz w:val="22"/>
          <w:szCs w:val="22"/>
        </w:rPr>
        <w:t>Organización, desarrollo, cómputo y declaración de resultados en los mecanismos de participación ciudadana, conforme a las disposiciones aplicables;</w:t>
      </w:r>
    </w:p>
    <w:p w14:paraId="5D7AC538" w14:textId="77777777" w:rsidR="00D55B33" w:rsidRPr="00E816AE" w:rsidRDefault="00D55B33" w:rsidP="00D55B33">
      <w:pPr>
        <w:pStyle w:val="Prrafodelista"/>
        <w:numPr>
          <w:ilvl w:val="0"/>
          <w:numId w:val="3"/>
        </w:numPr>
        <w:ind w:left="680" w:hanging="680"/>
        <w:contextualSpacing w:val="0"/>
        <w:rPr>
          <w:rFonts w:ascii="Arial" w:hAnsi="Arial" w:cs="Arial"/>
          <w:sz w:val="22"/>
          <w:szCs w:val="22"/>
        </w:rPr>
      </w:pPr>
      <w:r w:rsidRPr="00E816AE">
        <w:rPr>
          <w:rFonts w:ascii="Arial" w:hAnsi="Arial" w:cs="Arial"/>
          <w:sz w:val="22"/>
          <w:szCs w:val="22"/>
        </w:rPr>
        <w:t>Organización de la elección de dirigentes de partidos políticos;</w:t>
      </w:r>
    </w:p>
    <w:p w14:paraId="49ECD986" w14:textId="77777777" w:rsidR="00D55B33" w:rsidRPr="00E816AE" w:rsidRDefault="00D55B33" w:rsidP="00D55B33">
      <w:pPr>
        <w:pStyle w:val="Prrafodelista"/>
        <w:numPr>
          <w:ilvl w:val="0"/>
          <w:numId w:val="3"/>
        </w:numPr>
        <w:ind w:left="680" w:hanging="680"/>
        <w:contextualSpacing w:val="0"/>
        <w:rPr>
          <w:rFonts w:ascii="Arial" w:hAnsi="Arial" w:cs="Arial"/>
          <w:sz w:val="22"/>
          <w:szCs w:val="22"/>
        </w:rPr>
      </w:pPr>
      <w:r w:rsidRPr="00E816AE">
        <w:rPr>
          <w:rFonts w:ascii="Arial" w:hAnsi="Arial" w:cs="Arial"/>
          <w:sz w:val="22"/>
          <w:szCs w:val="22"/>
        </w:rPr>
        <w:t>Vinculación o coordinación entre el Instituto y los organismos electorales;</w:t>
      </w:r>
    </w:p>
    <w:p w14:paraId="1E61BDE7" w14:textId="77777777" w:rsidR="00D55B33" w:rsidRPr="00E816AE" w:rsidRDefault="00D55B33" w:rsidP="00D55B33">
      <w:pPr>
        <w:pStyle w:val="Prrafodelista"/>
        <w:numPr>
          <w:ilvl w:val="0"/>
          <w:numId w:val="3"/>
        </w:numPr>
        <w:ind w:left="680" w:hanging="680"/>
        <w:contextualSpacing w:val="0"/>
        <w:rPr>
          <w:rFonts w:ascii="Arial" w:hAnsi="Arial" w:cs="Arial"/>
          <w:sz w:val="22"/>
          <w:szCs w:val="22"/>
        </w:rPr>
      </w:pPr>
      <w:r w:rsidRPr="00E816AE">
        <w:rPr>
          <w:rFonts w:ascii="Arial" w:hAnsi="Arial" w:cs="Arial"/>
          <w:sz w:val="22"/>
          <w:szCs w:val="22"/>
        </w:rPr>
        <w:t>La prevención, atención y erradicación de la violencia política contra las mujeres, así como la promoción de la paridad de género y el respeto a los derechos humanos de las mujeres;</w:t>
      </w:r>
    </w:p>
    <w:p w14:paraId="26BF00B1" w14:textId="77777777" w:rsidR="00D55B33" w:rsidRPr="00E816AE" w:rsidRDefault="00D55B33" w:rsidP="00D55B33">
      <w:pPr>
        <w:pStyle w:val="Prrafodelista"/>
        <w:numPr>
          <w:ilvl w:val="0"/>
          <w:numId w:val="3"/>
        </w:numPr>
        <w:ind w:left="680" w:hanging="680"/>
        <w:contextualSpacing w:val="0"/>
        <w:rPr>
          <w:rFonts w:ascii="Arial" w:hAnsi="Arial" w:cs="Arial"/>
          <w:sz w:val="22"/>
          <w:szCs w:val="22"/>
        </w:rPr>
      </w:pPr>
      <w:r w:rsidRPr="00E816AE">
        <w:rPr>
          <w:rFonts w:ascii="Arial" w:hAnsi="Arial" w:cs="Arial"/>
          <w:sz w:val="22"/>
          <w:szCs w:val="22"/>
        </w:rPr>
        <w:t>Régimen sancionador electoral, y</w:t>
      </w:r>
    </w:p>
    <w:p w14:paraId="088A3B81" w14:textId="77777777" w:rsidR="00D55B33" w:rsidRPr="00E816AE" w:rsidRDefault="00D55B33" w:rsidP="00D55B33">
      <w:pPr>
        <w:pStyle w:val="Prrafodelista"/>
        <w:numPr>
          <w:ilvl w:val="0"/>
          <w:numId w:val="3"/>
        </w:numPr>
        <w:ind w:left="680" w:hanging="680"/>
        <w:contextualSpacing w:val="0"/>
        <w:rPr>
          <w:rFonts w:ascii="Arial" w:hAnsi="Arial" w:cs="Arial"/>
          <w:sz w:val="22"/>
          <w:szCs w:val="22"/>
        </w:rPr>
      </w:pPr>
      <w:r w:rsidRPr="00E816AE">
        <w:rPr>
          <w:rFonts w:ascii="Arial" w:hAnsi="Arial" w:cs="Arial"/>
          <w:sz w:val="22"/>
          <w:szCs w:val="22"/>
        </w:rPr>
        <w:t>Las demás que determine la Junta, a propuesta de la DESPEN.</w:t>
      </w:r>
    </w:p>
    <w:p w14:paraId="3A1975FE" w14:textId="77777777" w:rsidR="00D55B33" w:rsidRPr="00E816AE" w:rsidRDefault="00D55B33" w:rsidP="00D55B33">
      <w:pPr>
        <w:pStyle w:val="Ttulo2"/>
        <w:rPr>
          <w:rFonts w:ascii="Arial" w:hAnsi="Arial" w:cs="Arial"/>
          <w:sz w:val="22"/>
          <w:szCs w:val="22"/>
        </w:rPr>
      </w:pPr>
      <w:r w:rsidRPr="00E816AE">
        <w:rPr>
          <w:rFonts w:ascii="Arial" w:hAnsi="Arial" w:cs="Arial"/>
          <w:sz w:val="22"/>
          <w:szCs w:val="22"/>
        </w:rPr>
        <w:t>Modificación a la estructura del Servicio Profesional</w:t>
      </w:r>
    </w:p>
    <w:p w14:paraId="7DD0589A" w14:textId="77777777" w:rsidR="00D55B33" w:rsidRPr="00E816AE" w:rsidRDefault="00D55B33" w:rsidP="00D55B33">
      <w:pPr>
        <w:rPr>
          <w:rFonts w:ascii="Arial" w:hAnsi="Arial" w:cs="Arial"/>
          <w:sz w:val="22"/>
          <w:szCs w:val="22"/>
        </w:rPr>
      </w:pPr>
      <w:r w:rsidRPr="00E816AE">
        <w:rPr>
          <w:rFonts w:ascii="Arial" w:hAnsi="Arial" w:cs="Arial"/>
          <w:sz w:val="22"/>
          <w:szCs w:val="22"/>
        </w:rPr>
        <w:t xml:space="preserve">Que, el artículo 10 fracción II de los Lineamientos establece que, corresponde a los organismos electorales adecuar su estructura, niveles, cargos, puestos y demás elementos, conforme a las actualizaciones al Catálogo del Servicio, la creación o incorporación de plazas correspondientes a cargos y puestos del Servicio, así como a la </w:t>
      </w:r>
      <w:r w:rsidRPr="00E816AE">
        <w:rPr>
          <w:rFonts w:ascii="Arial" w:hAnsi="Arial" w:cs="Arial"/>
          <w:sz w:val="22"/>
          <w:szCs w:val="22"/>
        </w:rPr>
        <w:lastRenderedPageBreak/>
        <w:t>desincorporación y supresión de plazas del Servicio en los plazos y términos que determine la Junta.</w:t>
      </w:r>
    </w:p>
    <w:p w14:paraId="3CE40927" w14:textId="77777777" w:rsidR="00D55B33" w:rsidRPr="00E816AE" w:rsidRDefault="00D55B33" w:rsidP="00D55B33">
      <w:pPr>
        <w:rPr>
          <w:rFonts w:ascii="Arial" w:hAnsi="Arial" w:cs="Arial"/>
          <w:sz w:val="22"/>
          <w:szCs w:val="22"/>
        </w:rPr>
      </w:pPr>
      <w:r w:rsidRPr="00E816AE">
        <w:rPr>
          <w:rFonts w:ascii="Arial" w:hAnsi="Arial" w:cs="Arial"/>
          <w:sz w:val="22"/>
          <w:szCs w:val="22"/>
        </w:rPr>
        <w:t>Asimismo, en términos del artículo 22 de los Lineamientos, en los órganos ejecutivos del INE y de los organismos electorales cuya estructura comprenda cargos o puestos del Servicio se podrán crear, incorporar, desincorporar y suprimir plazas, sin que ello implique la actualización del Catálogo del Servicio.</w:t>
      </w:r>
    </w:p>
    <w:p w14:paraId="133FE4BA" w14:textId="77777777" w:rsidR="00D55B33" w:rsidRPr="00E816AE" w:rsidRDefault="00D55B33" w:rsidP="00D55B33">
      <w:pPr>
        <w:pStyle w:val="Ttulo2"/>
        <w:rPr>
          <w:rFonts w:ascii="Arial" w:hAnsi="Arial" w:cs="Arial"/>
          <w:sz w:val="22"/>
          <w:szCs w:val="22"/>
        </w:rPr>
      </w:pPr>
      <w:r w:rsidRPr="00E816AE">
        <w:rPr>
          <w:rFonts w:ascii="Arial" w:hAnsi="Arial" w:cs="Arial"/>
          <w:sz w:val="22"/>
          <w:szCs w:val="22"/>
        </w:rPr>
        <w:t>Creación, incorporación, desincorporación y supresión</w:t>
      </w:r>
    </w:p>
    <w:p w14:paraId="153678F5" w14:textId="77777777" w:rsidR="00D55B33" w:rsidRPr="00E816AE" w:rsidRDefault="00D55B33" w:rsidP="00D55B33">
      <w:pPr>
        <w:rPr>
          <w:rFonts w:ascii="Arial" w:hAnsi="Arial" w:cs="Arial"/>
          <w:sz w:val="22"/>
          <w:szCs w:val="22"/>
        </w:rPr>
      </w:pPr>
      <w:r w:rsidRPr="00E816AE">
        <w:rPr>
          <w:rFonts w:ascii="Arial" w:hAnsi="Arial" w:cs="Arial"/>
          <w:sz w:val="22"/>
          <w:szCs w:val="22"/>
        </w:rPr>
        <w:t xml:space="preserve">Que, de acuerdo con el artículo 23 de los Lineamientos, se entenderá por creación, incorporación, desincorporación y supresión de plazas, lo siguiente: </w:t>
      </w:r>
    </w:p>
    <w:p w14:paraId="65CB0A1F" w14:textId="77777777" w:rsidR="00D55B33" w:rsidRPr="00E816AE" w:rsidRDefault="00D55B33" w:rsidP="00D55B33">
      <w:pPr>
        <w:pStyle w:val="Prrafodelista"/>
        <w:numPr>
          <w:ilvl w:val="0"/>
          <w:numId w:val="4"/>
        </w:numPr>
        <w:ind w:left="680" w:hanging="680"/>
        <w:contextualSpacing w:val="0"/>
        <w:rPr>
          <w:rFonts w:ascii="Arial" w:hAnsi="Arial" w:cs="Arial"/>
          <w:sz w:val="22"/>
          <w:szCs w:val="22"/>
        </w:rPr>
      </w:pPr>
      <w:r w:rsidRPr="00E816AE">
        <w:rPr>
          <w:rFonts w:ascii="Arial" w:hAnsi="Arial" w:cs="Arial"/>
          <w:sz w:val="22"/>
          <w:szCs w:val="22"/>
        </w:rPr>
        <w:t>La creación es el procedimiento mediante el cual se incrementan una o más plazas correspondientes a cargos o puestos vigentes del Servicio.</w:t>
      </w:r>
    </w:p>
    <w:p w14:paraId="39502D2A" w14:textId="77777777" w:rsidR="00D55B33" w:rsidRPr="00E816AE" w:rsidRDefault="00D55B33" w:rsidP="00D55B33">
      <w:pPr>
        <w:pStyle w:val="Prrafodelista"/>
        <w:numPr>
          <w:ilvl w:val="0"/>
          <w:numId w:val="4"/>
        </w:numPr>
        <w:ind w:left="680" w:hanging="680"/>
        <w:contextualSpacing w:val="0"/>
        <w:rPr>
          <w:rFonts w:ascii="Arial" w:hAnsi="Arial" w:cs="Arial"/>
          <w:sz w:val="22"/>
          <w:szCs w:val="22"/>
        </w:rPr>
      </w:pPr>
      <w:r w:rsidRPr="00E816AE">
        <w:rPr>
          <w:rFonts w:ascii="Arial" w:hAnsi="Arial" w:cs="Arial"/>
          <w:sz w:val="22"/>
          <w:szCs w:val="22"/>
        </w:rPr>
        <w:t>La incorporación es el procedimiento mediante el cual una plaza de la rama administrativa se adecua conforme a uno de los cargos o puestos vigentes del Servicio, resultando un incremento en el total de plazas del Servicio.</w:t>
      </w:r>
    </w:p>
    <w:p w14:paraId="53E17F4B" w14:textId="77777777" w:rsidR="00D55B33" w:rsidRPr="00E816AE" w:rsidRDefault="00D55B33" w:rsidP="00D55B33">
      <w:pPr>
        <w:pStyle w:val="Prrafodelista"/>
        <w:numPr>
          <w:ilvl w:val="0"/>
          <w:numId w:val="4"/>
        </w:numPr>
        <w:ind w:left="680" w:hanging="680"/>
        <w:contextualSpacing w:val="0"/>
        <w:rPr>
          <w:rFonts w:ascii="Arial" w:hAnsi="Arial" w:cs="Arial"/>
          <w:sz w:val="22"/>
          <w:szCs w:val="22"/>
        </w:rPr>
      </w:pPr>
      <w:r w:rsidRPr="00E816AE">
        <w:rPr>
          <w:rFonts w:ascii="Arial" w:hAnsi="Arial" w:cs="Arial"/>
          <w:sz w:val="22"/>
          <w:szCs w:val="22"/>
        </w:rPr>
        <w:t>La supresión es el procedimiento mediante el cual una plaza correspondiente a algún cargo o puesto del Servicio se disminuye en la estructura del órgano ejecutivo o técnico al que se encuentra adscrito, prevaleciendo el cargo o puesto en el Catálogo del Servicio.</w:t>
      </w:r>
    </w:p>
    <w:p w14:paraId="0CDD54B0" w14:textId="77777777" w:rsidR="00D55B33" w:rsidRPr="00E816AE" w:rsidRDefault="00D55B33" w:rsidP="00D55B33">
      <w:pPr>
        <w:pStyle w:val="Prrafodelista"/>
        <w:numPr>
          <w:ilvl w:val="0"/>
          <w:numId w:val="4"/>
        </w:numPr>
        <w:ind w:left="680" w:hanging="680"/>
        <w:contextualSpacing w:val="0"/>
        <w:rPr>
          <w:rFonts w:ascii="Arial" w:hAnsi="Arial" w:cs="Arial"/>
          <w:sz w:val="22"/>
          <w:szCs w:val="22"/>
        </w:rPr>
      </w:pPr>
      <w:r w:rsidRPr="00E816AE">
        <w:rPr>
          <w:rFonts w:ascii="Arial" w:hAnsi="Arial" w:cs="Arial"/>
          <w:sz w:val="22"/>
          <w:szCs w:val="22"/>
        </w:rPr>
        <w:t>La desincorporación es el procedimiento mediante el cual una de las plazas correspondientes a algún cargo o puesto del Servicio se traslada a la rama administrativa, prevaleciendo el cargo o puesto en el Catálogo del Servicio.</w:t>
      </w:r>
    </w:p>
    <w:p w14:paraId="2206A1C1" w14:textId="77777777" w:rsidR="00D55B33" w:rsidRPr="00E816AE" w:rsidRDefault="00D55B33" w:rsidP="00D55B33">
      <w:pPr>
        <w:pStyle w:val="Ttulo2"/>
        <w:rPr>
          <w:rFonts w:ascii="Arial" w:hAnsi="Arial" w:cs="Arial"/>
          <w:sz w:val="22"/>
          <w:szCs w:val="22"/>
        </w:rPr>
      </w:pPr>
      <w:r w:rsidRPr="00E816AE">
        <w:rPr>
          <w:rFonts w:ascii="Arial" w:hAnsi="Arial" w:cs="Arial"/>
          <w:sz w:val="22"/>
          <w:szCs w:val="22"/>
        </w:rPr>
        <w:t>Atribución de los organismos electorales</w:t>
      </w:r>
    </w:p>
    <w:p w14:paraId="73783D54" w14:textId="77777777" w:rsidR="00D55B33" w:rsidRPr="00E816AE" w:rsidRDefault="00D55B33" w:rsidP="00D55B33">
      <w:pPr>
        <w:rPr>
          <w:rFonts w:ascii="Arial" w:hAnsi="Arial" w:cs="Arial"/>
          <w:sz w:val="22"/>
          <w:szCs w:val="22"/>
        </w:rPr>
      </w:pPr>
      <w:r w:rsidRPr="00E816AE">
        <w:rPr>
          <w:rFonts w:ascii="Arial" w:hAnsi="Arial" w:cs="Arial"/>
          <w:sz w:val="22"/>
          <w:szCs w:val="22"/>
        </w:rPr>
        <w:t>Que, en términos de los artículos 24 segundo párrafo y 25 de los Lineamientos, los organismos electorales podrán crear o incorporar plazas correspondientes a cargos o puestos del Servicio a través de su órgano competente en materia de estructura y podrán solicitar a la DESPEN la supresión y desincorporación de plazas correspondientes a cargos y puestos del Servicio.</w:t>
      </w:r>
    </w:p>
    <w:p w14:paraId="66D5C603" w14:textId="77777777" w:rsidR="00D55B33" w:rsidRPr="00E816AE" w:rsidRDefault="00D55B33" w:rsidP="00D55B33">
      <w:pPr>
        <w:rPr>
          <w:rFonts w:ascii="Arial" w:hAnsi="Arial" w:cs="Arial"/>
          <w:sz w:val="22"/>
          <w:szCs w:val="22"/>
        </w:rPr>
      </w:pPr>
      <w:r w:rsidRPr="00E816AE">
        <w:rPr>
          <w:rFonts w:ascii="Arial" w:hAnsi="Arial" w:cs="Arial"/>
          <w:sz w:val="22"/>
          <w:szCs w:val="22"/>
        </w:rPr>
        <w:t>Asimismo, una vez analizada la solicitud, la DESPEN emitirá un dictamen. En caso de dictamen procedente, la DESPEN someterá a la Junta, previo conocimiento de la Comisión del Servicio, la propuesta correspondiente.</w:t>
      </w:r>
    </w:p>
    <w:p w14:paraId="7F03CD60" w14:textId="6576AC4E" w:rsidR="00D55B33" w:rsidRPr="00E816AE" w:rsidRDefault="0046224D" w:rsidP="0046224D">
      <w:pPr>
        <w:pStyle w:val="Ttulo2"/>
        <w:rPr>
          <w:rFonts w:ascii="Arial" w:hAnsi="Arial" w:cs="Arial"/>
          <w:sz w:val="22"/>
          <w:szCs w:val="22"/>
        </w:rPr>
      </w:pPr>
      <w:r w:rsidRPr="00E816AE">
        <w:rPr>
          <w:rFonts w:ascii="Arial" w:hAnsi="Arial" w:cs="Arial"/>
          <w:sz w:val="22"/>
          <w:szCs w:val="22"/>
        </w:rPr>
        <w:lastRenderedPageBreak/>
        <w:t>Servicios personales</w:t>
      </w:r>
    </w:p>
    <w:p w14:paraId="29233F3D" w14:textId="68F3BA22" w:rsidR="0046224D" w:rsidRPr="00E816AE" w:rsidRDefault="0046224D" w:rsidP="0046224D">
      <w:pPr>
        <w:rPr>
          <w:rFonts w:ascii="Arial" w:hAnsi="Arial" w:cs="Arial"/>
          <w:sz w:val="22"/>
          <w:szCs w:val="22"/>
        </w:rPr>
      </w:pPr>
      <w:r w:rsidRPr="00E816AE">
        <w:rPr>
          <w:rFonts w:ascii="Arial" w:hAnsi="Arial" w:cs="Arial"/>
          <w:sz w:val="22"/>
          <w:szCs w:val="22"/>
        </w:rPr>
        <w:t>Que, el artículo 30 de la Ley de Presupuesto y Responsabilidad Hacendaria</w:t>
      </w:r>
      <w:r w:rsidR="00D90BAC" w:rsidRPr="00E816AE">
        <w:rPr>
          <w:rFonts w:ascii="Arial" w:hAnsi="Arial" w:cs="Arial"/>
          <w:sz w:val="22"/>
          <w:szCs w:val="22"/>
        </w:rPr>
        <w:t xml:space="preserve"> del Estado de Tabasco y sus municipios dispone que, e</w:t>
      </w:r>
      <w:r w:rsidRPr="00E816AE">
        <w:rPr>
          <w:rFonts w:ascii="Arial" w:hAnsi="Arial" w:cs="Arial"/>
          <w:sz w:val="22"/>
          <w:szCs w:val="22"/>
        </w:rPr>
        <w:t>n materia de servicios personales, los entes públicos del Estado en el proyecto de Presupuesto de Egresos deberán presentar en una sección específica las erogaciones correspondientes al gasto en servicios personales, el cual comprende:</w:t>
      </w:r>
    </w:p>
    <w:p w14:paraId="253ACC18" w14:textId="78218751" w:rsidR="0046224D" w:rsidRPr="00E816AE" w:rsidRDefault="0046224D" w:rsidP="0046224D">
      <w:pPr>
        <w:pStyle w:val="Prrafodelista"/>
        <w:numPr>
          <w:ilvl w:val="0"/>
          <w:numId w:val="6"/>
        </w:numPr>
        <w:ind w:left="357" w:hanging="357"/>
        <w:contextualSpacing w:val="0"/>
        <w:rPr>
          <w:rFonts w:ascii="Arial" w:hAnsi="Arial" w:cs="Arial"/>
          <w:sz w:val="22"/>
          <w:szCs w:val="22"/>
        </w:rPr>
      </w:pPr>
      <w:r w:rsidRPr="00E816AE">
        <w:rPr>
          <w:rFonts w:ascii="Arial" w:hAnsi="Arial" w:cs="Arial"/>
          <w:sz w:val="22"/>
          <w:szCs w:val="22"/>
        </w:rPr>
        <w:t>Las remuneraciones de los servidores públicos desglosando las Percepciones ordinarias y extraordinarias, e incluyendo las erogaciones a cargo de los ejecutores de gasto por concepto de obligaciones de carácter fiscal y de seguridad social inherentes a dichas remuneraciones, y</w:t>
      </w:r>
    </w:p>
    <w:p w14:paraId="53C56895" w14:textId="564F128D" w:rsidR="0046224D" w:rsidRPr="00E816AE" w:rsidRDefault="0046224D" w:rsidP="0046224D">
      <w:pPr>
        <w:pStyle w:val="Prrafodelista"/>
        <w:numPr>
          <w:ilvl w:val="0"/>
          <w:numId w:val="6"/>
        </w:numPr>
        <w:ind w:left="357" w:hanging="357"/>
        <w:contextualSpacing w:val="0"/>
        <w:rPr>
          <w:rFonts w:ascii="Arial" w:hAnsi="Arial" w:cs="Arial"/>
          <w:sz w:val="22"/>
          <w:szCs w:val="22"/>
        </w:rPr>
      </w:pPr>
      <w:r w:rsidRPr="00E816AE">
        <w:rPr>
          <w:rFonts w:ascii="Arial" w:hAnsi="Arial" w:cs="Arial"/>
          <w:sz w:val="22"/>
          <w:szCs w:val="22"/>
        </w:rPr>
        <w:t>Las previsiones salariales y económicas para cubrir los incrementos salariales, la creación de plazas y otras medidas económicas de índole laboral. Dichas previsiones serán incluidas en un capítulo específico del Presupuesto de Egresos.</w:t>
      </w:r>
    </w:p>
    <w:p w14:paraId="30E05C83" w14:textId="77777777" w:rsidR="0046224D" w:rsidRPr="00E816AE" w:rsidRDefault="0046224D" w:rsidP="0046224D">
      <w:pPr>
        <w:rPr>
          <w:rFonts w:ascii="Arial" w:hAnsi="Arial" w:cs="Arial"/>
          <w:sz w:val="22"/>
          <w:szCs w:val="22"/>
        </w:rPr>
      </w:pPr>
      <w:r w:rsidRPr="00E816AE">
        <w:rPr>
          <w:rFonts w:ascii="Arial" w:hAnsi="Arial" w:cs="Arial"/>
          <w:sz w:val="22"/>
          <w:szCs w:val="22"/>
        </w:rPr>
        <w:t>Una vez aprobada la asignación global de servicios personales en el Presupuesto de Egresos, ésta no podrá incrementarse.</w:t>
      </w:r>
    </w:p>
    <w:p w14:paraId="3C3ED7FD" w14:textId="633925FB" w:rsidR="0046224D" w:rsidRPr="00E816AE" w:rsidRDefault="0046224D" w:rsidP="0046224D">
      <w:pPr>
        <w:rPr>
          <w:rFonts w:ascii="Arial" w:hAnsi="Arial" w:cs="Arial"/>
          <w:sz w:val="22"/>
          <w:szCs w:val="22"/>
        </w:rPr>
      </w:pPr>
      <w:r w:rsidRPr="00E816AE">
        <w:rPr>
          <w:rFonts w:ascii="Arial" w:hAnsi="Arial" w:cs="Arial"/>
          <w:sz w:val="22"/>
          <w:szCs w:val="22"/>
        </w:rPr>
        <w:t>En ese sentido, los recursos que corresponden a las categorías de Coordinador “B” del SPEN y Técnico/a adscrita a la Dirección Jurídica están comprendidas dentro del presupuesto de egresos autorizado a este Instituto, por el Congreso del Estado.</w:t>
      </w:r>
    </w:p>
    <w:p w14:paraId="32A86163" w14:textId="1EBC6083" w:rsidR="0046224D" w:rsidRPr="00E816AE" w:rsidRDefault="00DE7812" w:rsidP="00D90BAC">
      <w:pPr>
        <w:pStyle w:val="Ttulo2"/>
        <w:rPr>
          <w:rFonts w:ascii="Arial" w:hAnsi="Arial" w:cs="Arial"/>
          <w:sz w:val="22"/>
          <w:szCs w:val="22"/>
        </w:rPr>
      </w:pPr>
      <w:r w:rsidRPr="00E816AE">
        <w:rPr>
          <w:rFonts w:ascii="Arial" w:hAnsi="Arial" w:cs="Arial"/>
          <w:sz w:val="22"/>
          <w:szCs w:val="22"/>
        </w:rPr>
        <w:t>Homologación salarial y creación de plaza</w:t>
      </w:r>
    </w:p>
    <w:p w14:paraId="56E6C602" w14:textId="1EB8BD21" w:rsidR="00D83821" w:rsidRPr="00E816AE" w:rsidRDefault="00D90BAC" w:rsidP="00D83821">
      <w:pPr>
        <w:rPr>
          <w:rFonts w:ascii="Arial" w:hAnsi="Arial" w:cs="Arial"/>
          <w:sz w:val="22"/>
          <w:szCs w:val="22"/>
        </w:rPr>
      </w:pPr>
      <w:r w:rsidRPr="00E816AE">
        <w:rPr>
          <w:rFonts w:ascii="Arial" w:hAnsi="Arial" w:cs="Arial"/>
          <w:sz w:val="22"/>
          <w:szCs w:val="22"/>
        </w:rPr>
        <w:t xml:space="preserve">Que, de conformidad con el </w:t>
      </w:r>
      <w:r w:rsidR="00D83821" w:rsidRPr="00E816AE">
        <w:rPr>
          <w:rFonts w:ascii="Arial" w:hAnsi="Arial" w:cs="Arial"/>
          <w:sz w:val="22"/>
          <w:szCs w:val="22"/>
        </w:rPr>
        <w:t xml:space="preserve">punto tercero del </w:t>
      </w:r>
      <w:r w:rsidRPr="00E816AE">
        <w:rPr>
          <w:rFonts w:ascii="Arial" w:hAnsi="Arial" w:cs="Arial"/>
          <w:sz w:val="22"/>
          <w:szCs w:val="22"/>
        </w:rPr>
        <w:t xml:space="preserve">acuerdo CE/2025/017 aprobado por el Consejo Estatal, </w:t>
      </w:r>
      <w:r w:rsidR="00D83821" w:rsidRPr="00E816AE">
        <w:rPr>
          <w:rFonts w:ascii="Arial" w:hAnsi="Arial" w:cs="Arial"/>
          <w:sz w:val="22"/>
          <w:szCs w:val="22"/>
        </w:rPr>
        <w:t xml:space="preserve">en caso de que, la autoridad nacional competente apruebe la solicitud de supresión de la plaza de Coordinador/a de lo Contencioso Electoral “B” SPEN, esta Junta Estatal Ejecutiva instruiría los trámites administrativos para la creación de la plaza con categoría de Técnico “B” y en su oportunidad, este órgano electoral solicite su incorporación al Servicio Profesional Electoral de este Instituto. Asimismo, procedería con los trámites para la homologación o nivelación del salario del personal del </w:t>
      </w:r>
      <w:r w:rsidR="00201A5D" w:rsidRPr="00E816AE">
        <w:rPr>
          <w:rFonts w:ascii="Arial" w:hAnsi="Arial" w:cs="Arial"/>
          <w:sz w:val="22"/>
          <w:szCs w:val="22"/>
        </w:rPr>
        <w:t>Servicio Profesional</w:t>
      </w:r>
      <w:r w:rsidR="00D83821" w:rsidRPr="00E816AE">
        <w:rPr>
          <w:rFonts w:ascii="Arial" w:hAnsi="Arial" w:cs="Arial"/>
          <w:sz w:val="22"/>
          <w:szCs w:val="22"/>
        </w:rPr>
        <w:t xml:space="preserve"> en los términos establecidos en dicho acuerdo.</w:t>
      </w:r>
    </w:p>
    <w:p w14:paraId="6519173D" w14:textId="2E413E68" w:rsidR="001E232A" w:rsidRPr="00E816AE" w:rsidRDefault="00DA2310" w:rsidP="00DA2310">
      <w:pPr>
        <w:rPr>
          <w:rFonts w:ascii="Arial" w:hAnsi="Arial" w:cs="Arial"/>
          <w:sz w:val="22"/>
          <w:szCs w:val="22"/>
        </w:rPr>
      </w:pPr>
      <w:r w:rsidRPr="00E816AE">
        <w:rPr>
          <w:rFonts w:ascii="Arial" w:hAnsi="Arial" w:cs="Arial"/>
          <w:sz w:val="22"/>
          <w:szCs w:val="22"/>
        </w:rPr>
        <w:t xml:space="preserve">En ese contexto, ante la supresión de la plaza de Coordinador/a con categoría “B” SPEN y con el propósito de dar cumplimiento a la determinación del Consejo Estatal, se determina la cancelación de la plaza de Técnico/a adscrita a la Dirección Jurídica. En consecuencia, con los recursos presupuestales que corresponden a ambas categorías, en primer lugar, se aprueba la creación de la plaza con categoría de Técnico “B” adscrita </w:t>
      </w:r>
      <w:r w:rsidRPr="00E816AE">
        <w:rPr>
          <w:rFonts w:ascii="Arial" w:hAnsi="Arial" w:cs="Arial"/>
          <w:sz w:val="22"/>
          <w:szCs w:val="22"/>
        </w:rPr>
        <w:lastRenderedPageBreak/>
        <w:t>a la Coordinación de lo Contencioso Electoral y que será incorporada al Servicio Profesional de este Instituto por parte del órgano superior de dirección.</w:t>
      </w:r>
    </w:p>
    <w:p w14:paraId="7D5D9E6D" w14:textId="346908A2" w:rsidR="00DA2310" w:rsidRPr="00E816AE" w:rsidRDefault="00DA2310" w:rsidP="00DA2310">
      <w:pPr>
        <w:rPr>
          <w:rFonts w:ascii="Arial" w:hAnsi="Arial" w:cs="Arial"/>
          <w:sz w:val="22"/>
          <w:szCs w:val="22"/>
        </w:rPr>
      </w:pPr>
      <w:r w:rsidRPr="00E816AE">
        <w:rPr>
          <w:rFonts w:ascii="Arial" w:hAnsi="Arial" w:cs="Arial"/>
          <w:sz w:val="22"/>
          <w:szCs w:val="22"/>
        </w:rPr>
        <w:t>En segundo lugar, de acuerdo con las directrices emitidas por el Consejo Estatal, partiendo de los recursos presupuestales que correspondían a las categorías de Coordinador “B” y Técnico/a canceladas, se ordena la homologación salarial de las categorías</w:t>
      </w:r>
      <w:r w:rsidR="00CB6E06" w:rsidRPr="00E816AE">
        <w:rPr>
          <w:rFonts w:ascii="Arial" w:hAnsi="Arial" w:cs="Arial"/>
          <w:sz w:val="22"/>
          <w:szCs w:val="22"/>
        </w:rPr>
        <w:t xml:space="preserve"> que a continuación se mencionan, de conformidad con lo siguiente</w:t>
      </w:r>
      <w:r w:rsidRPr="00E816AE">
        <w:rPr>
          <w:rFonts w:ascii="Arial" w:hAnsi="Arial" w:cs="Arial"/>
          <w:sz w:val="22"/>
          <w:szCs w:val="22"/>
        </w:rPr>
        <w:t>:</w:t>
      </w:r>
    </w:p>
    <w:tbl>
      <w:tblPr>
        <w:tblStyle w:val="Tablaconcuadrcula"/>
        <w:tblW w:w="0" w:type="auto"/>
        <w:jc w:val="center"/>
        <w:tblLayout w:type="fixed"/>
        <w:tblLook w:val="04A0" w:firstRow="1" w:lastRow="0" w:firstColumn="1" w:lastColumn="0" w:noHBand="0" w:noVBand="1"/>
      </w:tblPr>
      <w:tblGrid>
        <w:gridCol w:w="1878"/>
        <w:gridCol w:w="1078"/>
        <w:gridCol w:w="1756"/>
        <w:gridCol w:w="1126"/>
        <w:gridCol w:w="987"/>
        <w:gridCol w:w="956"/>
        <w:gridCol w:w="1047"/>
      </w:tblGrid>
      <w:tr w:rsidR="00CB6E06" w:rsidRPr="00E816AE" w14:paraId="78040609" w14:textId="77777777" w:rsidTr="00A46B13">
        <w:trPr>
          <w:jc w:val="center"/>
        </w:trPr>
        <w:tc>
          <w:tcPr>
            <w:tcW w:w="1878" w:type="dxa"/>
            <w:shd w:val="clear" w:color="auto" w:fill="993366"/>
            <w:vAlign w:val="center"/>
          </w:tcPr>
          <w:p w14:paraId="3F85101E" w14:textId="77777777" w:rsidR="00CB6E06" w:rsidRPr="00E816AE" w:rsidRDefault="00CB6E06" w:rsidP="00A46B13">
            <w:pPr>
              <w:spacing w:before="60" w:after="60" w:line="288" w:lineRule="auto"/>
              <w:jc w:val="center"/>
              <w:rPr>
                <w:rFonts w:ascii="Arial" w:hAnsi="Arial" w:cs="Arial"/>
                <w:b/>
                <w:color w:val="FFFFFF" w:themeColor="background1"/>
                <w:sz w:val="14"/>
              </w:rPr>
            </w:pPr>
            <w:r w:rsidRPr="00E816AE">
              <w:rPr>
                <w:rFonts w:ascii="Arial" w:hAnsi="Arial" w:cs="Arial"/>
                <w:b/>
                <w:color w:val="FFFFFF" w:themeColor="background1"/>
                <w:sz w:val="14"/>
              </w:rPr>
              <w:t>Categoría inferior</w:t>
            </w:r>
          </w:p>
        </w:tc>
        <w:tc>
          <w:tcPr>
            <w:tcW w:w="1078" w:type="dxa"/>
            <w:shd w:val="clear" w:color="auto" w:fill="993366"/>
            <w:vAlign w:val="center"/>
          </w:tcPr>
          <w:p w14:paraId="6EC82297" w14:textId="77777777" w:rsidR="00CB6E06" w:rsidRPr="00E816AE" w:rsidRDefault="00CB6E06" w:rsidP="00A46B13">
            <w:pPr>
              <w:spacing w:before="60" w:after="60" w:line="288" w:lineRule="auto"/>
              <w:jc w:val="center"/>
              <w:rPr>
                <w:rFonts w:ascii="Arial" w:hAnsi="Arial" w:cs="Arial"/>
                <w:b/>
                <w:color w:val="FFFFFF" w:themeColor="background1"/>
                <w:sz w:val="14"/>
              </w:rPr>
            </w:pPr>
            <w:r w:rsidRPr="00E816AE">
              <w:rPr>
                <w:rFonts w:ascii="Arial" w:hAnsi="Arial" w:cs="Arial"/>
                <w:b/>
                <w:color w:val="FFFFFF" w:themeColor="background1"/>
                <w:sz w:val="14"/>
              </w:rPr>
              <w:t>Costo anual individual</w:t>
            </w:r>
          </w:p>
        </w:tc>
        <w:tc>
          <w:tcPr>
            <w:tcW w:w="1756" w:type="dxa"/>
            <w:shd w:val="clear" w:color="auto" w:fill="993366"/>
            <w:vAlign w:val="center"/>
          </w:tcPr>
          <w:p w14:paraId="0EE3F6F1" w14:textId="77777777" w:rsidR="00CB6E06" w:rsidRPr="00E816AE" w:rsidRDefault="00CB6E06" w:rsidP="00CB6E06">
            <w:pPr>
              <w:spacing w:before="60" w:after="60" w:line="288" w:lineRule="auto"/>
              <w:jc w:val="center"/>
              <w:rPr>
                <w:rFonts w:ascii="Arial" w:hAnsi="Arial" w:cs="Arial"/>
                <w:b/>
                <w:color w:val="FFFFFF" w:themeColor="background1"/>
                <w:sz w:val="14"/>
              </w:rPr>
            </w:pPr>
            <w:r w:rsidRPr="00E816AE">
              <w:rPr>
                <w:rFonts w:ascii="Arial" w:hAnsi="Arial" w:cs="Arial"/>
                <w:b/>
                <w:color w:val="FFFFFF" w:themeColor="background1"/>
                <w:sz w:val="14"/>
              </w:rPr>
              <w:t>Categoría superior</w:t>
            </w:r>
          </w:p>
        </w:tc>
        <w:tc>
          <w:tcPr>
            <w:tcW w:w="1126" w:type="dxa"/>
            <w:shd w:val="clear" w:color="auto" w:fill="993366"/>
            <w:vAlign w:val="center"/>
          </w:tcPr>
          <w:p w14:paraId="5A85273C" w14:textId="77777777" w:rsidR="00CB6E06" w:rsidRPr="00E816AE" w:rsidRDefault="00CB6E06" w:rsidP="00A46B13">
            <w:pPr>
              <w:spacing w:before="60" w:after="60" w:line="288" w:lineRule="auto"/>
              <w:jc w:val="center"/>
              <w:rPr>
                <w:rFonts w:ascii="Arial" w:hAnsi="Arial" w:cs="Arial"/>
                <w:b/>
                <w:color w:val="FFFFFF" w:themeColor="background1"/>
                <w:sz w:val="14"/>
              </w:rPr>
            </w:pPr>
            <w:r w:rsidRPr="00E816AE">
              <w:rPr>
                <w:rFonts w:ascii="Arial" w:hAnsi="Arial" w:cs="Arial"/>
                <w:b/>
                <w:color w:val="FFFFFF" w:themeColor="background1"/>
                <w:sz w:val="14"/>
              </w:rPr>
              <w:t>Costo anual individual</w:t>
            </w:r>
          </w:p>
        </w:tc>
        <w:tc>
          <w:tcPr>
            <w:tcW w:w="987" w:type="dxa"/>
            <w:shd w:val="clear" w:color="auto" w:fill="993366"/>
            <w:vAlign w:val="center"/>
          </w:tcPr>
          <w:p w14:paraId="413EFEAA" w14:textId="77777777" w:rsidR="00CB6E06" w:rsidRPr="00E816AE" w:rsidRDefault="00CB6E06" w:rsidP="00A46B13">
            <w:pPr>
              <w:spacing w:before="60" w:after="60" w:line="288" w:lineRule="auto"/>
              <w:jc w:val="center"/>
              <w:rPr>
                <w:rFonts w:ascii="Arial" w:hAnsi="Arial" w:cs="Arial"/>
                <w:b/>
                <w:color w:val="FFFFFF" w:themeColor="background1"/>
                <w:sz w:val="14"/>
              </w:rPr>
            </w:pPr>
            <w:r w:rsidRPr="00E816AE">
              <w:rPr>
                <w:rFonts w:ascii="Arial" w:hAnsi="Arial" w:cs="Arial"/>
                <w:b/>
                <w:color w:val="FFFFFF" w:themeColor="background1"/>
                <w:sz w:val="14"/>
              </w:rPr>
              <w:t>Diferencia salarial</w:t>
            </w:r>
          </w:p>
        </w:tc>
        <w:tc>
          <w:tcPr>
            <w:tcW w:w="956" w:type="dxa"/>
            <w:shd w:val="clear" w:color="auto" w:fill="993366"/>
            <w:vAlign w:val="center"/>
          </w:tcPr>
          <w:p w14:paraId="28BC9FBE" w14:textId="77777777" w:rsidR="00CB6E06" w:rsidRPr="00E816AE" w:rsidRDefault="00CB6E06" w:rsidP="00A46B13">
            <w:pPr>
              <w:spacing w:before="60" w:after="60" w:line="288" w:lineRule="auto"/>
              <w:jc w:val="center"/>
              <w:rPr>
                <w:rFonts w:ascii="Arial" w:hAnsi="Arial" w:cs="Arial"/>
                <w:b/>
                <w:color w:val="FFFFFF" w:themeColor="background1"/>
                <w:sz w:val="14"/>
              </w:rPr>
            </w:pPr>
            <w:r w:rsidRPr="00E816AE">
              <w:rPr>
                <w:rFonts w:ascii="Arial" w:hAnsi="Arial" w:cs="Arial"/>
                <w:b/>
                <w:color w:val="FFFFFF" w:themeColor="background1"/>
                <w:sz w:val="14"/>
              </w:rPr>
              <w:t>Número de plazas</w:t>
            </w:r>
          </w:p>
        </w:tc>
        <w:tc>
          <w:tcPr>
            <w:tcW w:w="1047" w:type="dxa"/>
            <w:shd w:val="clear" w:color="auto" w:fill="993366"/>
            <w:vAlign w:val="center"/>
          </w:tcPr>
          <w:p w14:paraId="674909A6" w14:textId="77777777" w:rsidR="00CB6E06" w:rsidRPr="00E816AE" w:rsidRDefault="00CB6E06" w:rsidP="00A46B13">
            <w:pPr>
              <w:spacing w:before="60" w:after="60" w:line="288" w:lineRule="auto"/>
              <w:rPr>
                <w:rFonts w:ascii="Arial" w:hAnsi="Arial" w:cs="Arial"/>
                <w:b/>
                <w:color w:val="FFFFFF" w:themeColor="background1"/>
                <w:sz w:val="14"/>
              </w:rPr>
            </w:pPr>
            <w:r w:rsidRPr="00E816AE">
              <w:rPr>
                <w:rFonts w:ascii="Arial" w:hAnsi="Arial" w:cs="Arial"/>
                <w:b/>
                <w:color w:val="FFFFFF" w:themeColor="background1"/>
                <w:sz w:val="14"/>
              </w:rPr>
              <w:t>Costo total</w:t>
            </w:r>
          </w:p>
        </w:tc>
      </w:tr>
      <w:tr w:rsidR="00CB6E06" w:rsidRPr="00E816AE" w14:paraId="2E3E888E" w14:textId="77777777" w:rsidTr="00E7759C">
        <w:trPr>
          <w:jc w:val="center"/>
        </w:trPr>
        <w:tc>
          <w:tcPr>
            <w:tcW w:w="1878" w:type="dxa"/>
            <w:shd w:val="clear" w:color="auto" w:fill="F2F2F2" w:themeFill="background1" w:themeFillShade="F2"/>
            <w:vAlign w:val="center"/>
          </w:tcPr>
          <w:p w14:paraId="4D687437" w14:textId="77777777" w:rsidR="00CB6E06" w:rsidRPr="00E816AE" w:rsidRDefault="00CB6E06" w:rsidP="00A46B13">
            <w:pPr>
              <w:spacing w:before="60" w:after="60" w:line="288" w:lineRule="auto"/>
              <w:jc w:val="center"/>
              <w:rPr>
                <w:rFonts w:ascii="Arial" w:hAnsi="Arial" w:cs="Arial"/>
                <w:sz w:val="12"/>
              </w:rPr>
            </w:pPr>
            <w:r w:rsidRPr="00E816AE">
              <w:rPr>
                <w:rFonts w:ascii="Arial" w:hAnsi="Arial" w:cs="Arial"/>
                <w:sz w:val="12"/>
              </w:rPr>
              <w:t>A</w:t>
            </w:r>
          </w:p>
        </w:tc>
        <w:tc>
          <w:tcPr>
            <w:tcW w:w="1078" w:type="dxa"/>
            <w:shd w:val="clear" w:color="auto" w:fill="F2F2F2" w:themeFill="background1" w:themeFillShade="F2"/>
            <w:vAlign w:val="center"/>
          </w:tcPr>
          <w:p w14:paraId="3B3F4004" w14:textId="77777777" w:rsidR="00CB6E06" w:rsidRPr="00E816AE" w:rsidRDefault="00CB6E06" w:rsidP="00A46B13">
            <w:pPr>
              <w:spacing w:before="60" w:after="60" w:line="288" w:lineRule="auto"/>
              <w:jc w:val="center"/>
              <w:rPr>
                <w:rFonts w:ascii="Arial" w:hAnsi="Arial" w:cs="Arial"/>
                <w:sz w:val="12"/>
              </w:rPr>
            </w:pPr>
            <w:r w:rsidRPr="00E816AE">
              <w:rPr>
                <w:rFonts w:ascii="Arial" w:hAnsi="Arial" w:cs="Arial"/>
                <w:sz w:val="12"/>
              </w:rPr>
              <w:t>B</w:t>
            </w:r>
          </w:p>
        </w:tc>
        <w:tc>
          <w:tcPr>
            <w:tcW w:w="1756" w:type="dxa"/>
            <w:shd w:val="clear" w:color="auto" w:fill="F2F2F2" w:themeFill="background1" w:themeFillShade="F2"/>
            <w:vAlign w:val="center"/>
          </w:tcPr>
          <w:p w14:paraId="0487B1B9" w14:textId="77777777" w:rsidR="00CB6E06" w:rsidRPr="00E816AE" w:rsidRDefault="00CB6E06" w:rsidP="00A46B13">
            <w:pPr>
              <w:spacing w:before="60" w:after="60" w:line="288" w:lineRule="auto"/>
              <w:jc w:val="center"/>
              <w:rPr>
                <w:rFonts w:ascii="Arial" w:hAnsi="Arial" w:cs="Arial"/>
                <w:sz w:val="12"/>
              </w:rPr>
            </w:pPr>
            <w:r w:rsidRPr="00E816AE">
              <w:rPr>
                <w:rFonts w:ascii="Arial" w:hAnsi="Arial" w:cs="Arial"/>
                <w:sz w:val="12"/>
              </w:rPr>
              <w:t>C</w:t>
            </w:r>
          </w:p>
        </w:tc>
        <w:tc>
          <w:tcPr>
            <w:tcW w:w="1126" w:type="dxa"/>
            <w:shd w:val="clear" w:color="auto" w:fill="F2F2F2" w:themeFill="background1" w:themeFillShade="F2"/>
            <w:vAlign w:val="center"/>
          </w:tcPr>
          <w:p w14:paraId="64B9B8A2" w14:textId="77777777" w:rsidR="00CB6E06" w:rsidRPr="00E816AE" w:rsidRDefault="00CB6E06" w:rsidP="00A46B13">
            <w:pPr>
              <w:spacing w:before="60" w:after="60" w:line="288" w:lineRule="auto"/>
              <w:jc w:val="center"/>
              <w:rPr>
                <w:rFonts w:ascii="Arial" w:hAnsi="Arial" w:cs="Arial"/>
                <w:sz w:val="12"/>
              </w:rPr>
            </w:pPr>
            <w:r w:rsidRPr="00E816AE">
              <w:rPr>
                <w:rFonts w:ascii="Arial" w:hAnsi="Arial" w:cs="Arial"/>
                <w:sz w:val="12"/>
              </w:rPr>
              <w:t>D</w:t>
            </w:r>
          </w:p>
        </w:tc>
        <w:tc>
          <w:tcPr>
            <w:tcW w:w="987" w:type="dxa"/>
            <w:shd w:val="clear" w:color="auto" w:fill="F2F2F2" w:themeFill="background1" w:themeFillShade="F2"/>
          </w:tcPr>
          <w:p w14:paraId="43ED020F" w14:textId="77777777" w:rsidR="00CB6E06" w:rsidRPr="00E816AE" w:rsidRDefault="00CB6E06" w:rsidP="00A46B13">
            <w:pPr>
              <w:spacing w:before="60" w:after="60" w:line="288" w:lineRule="auto"/>
              <w:jc w:val="center"/>
              <w:rPr>
                <w:rFonts w:ascii="Arial" w:hAnsi="Arial" w:cs="Arial"/>
                <w:sz w:val="12"/>
              </w:rPr>
            </w:pPr>
            <w:r w:rsidRPr="00E816AE">
              <w:rPr>
                <w:rFonts w:ascii="Arial" w:hAnsi="Arial" w:cs="Arial"/>
                <w:sz w:val="12"/>
              </w:rPr>
              <w:t>E = D – B</w:t>
            </w:r>
          </w:p>
        </w:tc>
        <w:tc>
          <w:tcPr>
            <w:tcW w:w="956" w:type="dxa"/>
            <w:shd w:val="clear" w:color="auto" w:fill="F2F2F2" w:themeFill="background1" w:themeFillShade="F2"/>
            <w:vAlign w:val="center"/>
          </w:tcPr>
          <w:p w14:paraId="7674BFCE" w14:textId="77777777" w:rsidR="00CB6E06" w:rsidRPr="00E816AE" w:rsidRDefault="00CB6E06" w:rsidP="00A46B13">
            <w:pPr>
              <w:spacing w:before="60" w:after="60" w:line="288" w:lineRule="auto"/>
              <w:jc w:val="center"/>
              <w:rPr>
                <w:rFonts w:ascii="Arial" w:hAnsi="Arial" w:cs="Arial"/>
                <w:sz w:val="12"/>
              </w:rPr>
            </w:pPr>
            <w:r w:rsidRPr="00E816AE">
              <w:rPr>
                <w:rFonts w:ascii="Arial" w:hAnsi="Arial" w:cs="Arial"/>
                <w:sz w:val="12"/>
              </w:rPr>
              <w:t>F</w:t>
            </w:r>
          </w:p>
        </w:tc>
        <w:tc>
          <w:tcPr>
            <w:tcW w:w="1047" w:type="dxa"/>
            <w:shd w:val="clear" w:color="auto" w:fill="F2F2F2" w:themeFill="background1" w:themeFillShade="F2"/>
            <w:vAlign w:val="center"/>
          </w:tcPr>
          <w:p w14:paraId="77EF312D" w14:textId="77777777" w:rsidR="00CB6E06" w:rsidRPr="00E816AE" w:rsidRDefault="00CB6E06" w:rsidP="00A46B13">
            <w:pPr>
              <w:spacing w:before="60" w:after="60" w:line="288" w:lineRule="auto"/>
              <w:jc w:val="center"/>
              <w:rPr>
                <w:rFonts w:ascii="Arial" w:hAnsi="Arial" w:cs="Arial"/>
                <w:sz w:val="12"/>
              </w:rPr>
            </w:pPr>
            <w:r w:rsidRPr="00E816AE">
              <w:rPr>
                <w:rFonts w:ascii="Arial" w:hAnsi="Arial" w:cs="Arial"/>
                <w:sz w:val="12"/>
              </w:rPr>
              <w:t>G = E×F</w:t>
            </w:r>
          </w:p>
        </w:tc>
      </w:tr>
      <w:tr w:rsidR="00CB6E06" w:rsidRPr="00E816AE" w14:paraId="6353FC59" w14:textId="77777777" w:rsidTr="00A46B13">
        <w:trPr>
          <w:jc w:val="center"/>
        </w:trPr>
        <w:tc>
          <w:tcPr>
            <w:tcW w:w="1878" w:type="dxa"/>
            <w:vAlign w:val="center"/>
          </w:tcPr>
          <w:p w14:paraId="30097725" w14:textId="77777777" w:rsidR="00CB6E06" w:rsidRPr="00E816AE" w:rsidRDefault="00CB6E06" w:rsidP="00A46B13">
            <w:pPr>
              <w:spacing w:before="60" w:after="60" w:line="288" w:lineRule="auto"/>
              <w:rPr>
                <w:rFonts w:ascii="Arial" w:hAnsi="Arial" w:cs="Arial"/>
                <w:sz w:val="16"/>
              </w:rPr>
            </w:pPr>
            <w:r w:rsidRPr="00E816AE">
              <w:rPr>
                <w:rFonts w:ascii="Arial" w:hAnsi="Arial" w:cs="Arial"/>
                <w:sz w:val="16"/>
              </w:rPr>
              <w:t>Coordinador “D” SPEN</w:t>
            </w:r>
          </w:p>
        </w:tc>
        <w:tc>
          <w:tcPr>
            <w:tcW w:w="1078" w:type="dxa"/>
            <w:vAlign w:val="center"/>
          </w:tcPr>
          <w:p w14:paraId="762C8BD2" w14:textId="77777777" w:rsidR="00CB6E06" w:rsidRPr="00E816AE" w:rsidRDefault="00CB6E06" w:rsidP="00A46B13">
            <w:pPr>
              <w:spacing w:before="60" w:after="60" w:line="288" w:lineRule="auto"/>
              <w:jc w:val="right"/>
              <w:rPr>
                <w:rFonts w:ascii="Arial" w:hAnsi="Arial" w:cs="Arial"/>
                <w:sz w:val="16"/>
              </w:rPr>
            </w:pPr>
            <w:r w:rsidRPr="00E816AE">
              <w:rPr>
                <w:rFonts w:ascii="Arial" w:hAnsi="Arial" w:cs="Arial"/>
                <w:sz w:val="16"/>
              </w:rPr>
              <w:t>679,237.19</w:t>
            </w:r>
          </w:p>
        </w:tc>
        <w:tc>
          <w:tcPr>
            <w:tcW w:w="1756" w:type="dxa"/>
            <w:vAlign w:val="center"/>
          </w:tcPr>
          <w:p w14:paraId="25FCFF23" w14:textId="77777777" w:rsidR="00CB6E06" w:rsidRPr="00E816AE" w:rsidRDefault="00CB6E06" w:rsidP="00A46B13">
            <w:pPr>
              <w:spacing w:before="60" w:after="60" w:line="288" w:lineRule="auto"/>
              <w:rPr>
                <w:rFonts w:ascii="Arial" w:hAnsi="Arial" w:cs="Arial"/>
                <w:spacing w:val="-6"/>
                <w:sz w:val="16"/>
              </w:rPr>
            </w:pPr>
            <w:r w:rsidRPr="00E816AE">
              <w:rPr>
                <w:rFonts w:ascii="Arial" w:hAnsi="Arial" w:cs="Arial"/>
                <w:spacing w:val="-6"/>
                <w:sz w:val="16"/>
              </w:rPr>
              <w:t>Coordinador “C” SPEN</w:t>
            </w:r>
          </w:p>
        </w:tc>
        <w:tc>
          <w:tcPr>
            <w:tcW w:w="1126" w:type="dxa"/>
            <w:vAlign w:val="center"/>
          </w:tcPr>
          <w:p w14:paraId="75D4A153" w14:textId="77777777" w:rsidR="00CB6E06" w:rsidRPr="00E816AE" w:rsidRDefault="00CB6E06" w:rsidP="00A46B13">
            <w:pPr>
              <w:spacing w:before="60" w:after="60" w:line="288" w:lineRule="auto"/>
              <w:jc w:val="right"/>
              <w:rPr>
                <w:rFonts w:ascii="Arial" w:hAnsi="Arial" w:cs="Arial"/>
                <w:sz w:val="16"/>
              </w:rPr>
            </w:pPr>
            <w:r w:rsidRPr="00E816AE">
              <w:rPr>
                <w:rFonts w:ascii="Arial" w:hAnsi="Arial" w:cs="Arial"/>
                <w:sz w:val="16"/>
              </w:rPr>
              <w:t>795,645.50</w:t>
            </w:r>
          </w:p>
        </w:tc>
        <w:tc>
          <w:tcPr>
            <w:tcW w:w="987" w:type="dxa"/>
          </w:tcPr>
          <w:p w14:paraId="793DF585" w14:textId="77777777" w:rsidR="00CB6E06" w:rsidRPr="00E816AE" w:rsidRDefault="00CB6E06" w:rsidP="00A46B13">
            <w:pPr>
              <w:spacing w:before="60" w:after="60" w:line="288" w:lineRule="auto"/>
              <w:jc w:val="right"/>
              <w:rPr>
                <w:rFonts w:ascii="Arial" w:hAnsi="Arial" w:cs="Arial"/>
                <w:sz w:val="16"/>
              </w:rPr>
            </w:pPr>
            <w:r w:rsidRPr="00E816AE">
              <w:rPr>
                <w:rFonts w:ascii="Arial" w:hAnsi="Arial" w:cs="Arial"/>
                <w:sz w:val="16"/>
              </w:rPr>
              <w:t>116,408.31</w:t>
            </w:r>
          </w:p>
        </w:tc>
        <w:tc>
          <w:tcPr>
            <w:tcW w:w="956" w:type="dxa"/>
            <w:vAlign w:val="center"/>
          </w:tcPr>
          <w:p w14:paraId="5900DFA2" w14:textId="77777777" w:rsidR="00CB6E06" w:rsidRPr="00E816AE" w:rsidRDefault="00CB6E06" w:rsidP="00A46B13">
            <w:pPr>
              <w:spacing w:before="60" w:after="60" w:line="288" w:lineRule="auto"/>
              <w:jc w:val="center"/>
              <w:rPr>
                <w:rFonts w:ascii="Arial" w:hAnsi="Arial" w:cs="Arial"/>
                <w:sz w:val="16"/>
              </w:rPr>
            </w:pPr>
            <w:r w:rsidRPr="00E816AE">
              <w:rPr>
                <w:rFonts w:ascii="Arial" w:hAnsi="Arial" w:cs="Arial"/>
                <w:sz w:val="16"/>
              </w:rPr>
              <w:t>3</w:t>
            </w:r>
          </w:p>
        </w:tc>
        <w:tc>
          <w:tcPr>
            <w:tcW w:w="1047" w:type="dxa"/>
            <w:vAlign w:val="center"/>
          </w:tcPr>
          <w:p w14:paraId="11902E7C" w14:textId="77777777" w:rsidR="00CB6E06" w:rsidRPr="00E816AE" w:rsidRDefault="00CB6E06" w:rsidP="00A46B13">
            <w:pPr>
              <w:spacing w:before="60" w:after="60" w:line="288" w:lineRule="auto"/>
              <w:jc w:val="right"/>
              <w:rPr>
                <w:rFonts w:ascii="Arial" w:hAnsi="Arial" w:cs="Arial"/>
                <w:sz w:val="16"/>
              </w:rPr>
            </w:pPr>
            <w:r w:rsidRPr="00E816AE">
              <w:rPr>
                <w:rFonts w:ascii="Arial" w:hAnsi="Arial" w:cs="Arial"/>
                <w:sz w:val="16"/>
              </w:rPr>
              <w:t>349,224.93</w:t>
            </w:r>
          </w:p>
        </w:tc>
      </w:tr>
      <w:tr w:rsidR="00CB6E06" w:rsidRPr="00E816AE" w14:paraId="38AEDE90" w14:textId="77777777" w:rsidTr="00A46B13">
        <w:trPr>
          <w:jc w:val="center"/>
        </w:trPr>
        <w:tc>
          <w:tcPr>
            <w:tcW w:w="1878" w:type="dxa"/>
            <w:vAlign w:val="center"/>
          </w:tcPr>
          <w:p w14:paraId="2804D01B" w14:textId="77777777" w:rsidR="00CB6E06" w:rsidRPr="00E816AE" w:rsidRDefault="00CB6E06" w:rsidP="00A46B13">
            <w:pPr>
              <w:spacing w:before="60" w:after="60" w:line="288" w:lineRule="auto"/>
              <w:rPr>
                <w:rFonts w:ascii="Arial" w:hAnsi="Arial" w:cs="Arial"/>
                <w:sz w:val="16"/>
              </w:rPr>
            </w:pPr>
            <w:r w:rsidRPr="00E816AE">
              <w:rPr>
                <w:rFonts w:ascii="Arial" w:hAnsi="Arial" w:cs="Arial"/>
                <w:sz w:val="16"/>
              </w:rPr>
              <w:t>Técnico “B1” SPEN</w:t>
            </w:r>
          </w:p>
        </w:tc>
        <w:tc>
          <w:tcPr>
            <w:tcW w:w="1078" w:type="dxa"/>
            <w:vAlign w:val="center"/>
          </w:tcPr>
          <w:p w14:paraId="5BB05341" w14:textId="77777777" w:rsidR="00CB6E06" w:rsidRPr="00E816AE" w:rsidRDefault="00CB6E06" w:rsidP="00A46B13">
            <w:pPr>
              <w:spacing w:before="60" w:after="60" w:line="288" w:lineRule="auto"/>
              <w:jc w:val="right"/>
              <w:rPr>
                <w:rFonts w:ascii="Arial" w:hAnsi="Arial" w:cs="Arial"/>
                <w:sz w:val="16"/>
              </w:rPr>
            </w:pPr>
            <w:r w:rsidRPr="00E816AE">
              <w:rPr>
                <w:rFonts w:ascii="Arial" w:hAnsi="Arial" w:cs="Arial"/>
                <w:sz w:val="16"/>
              </w:rPr>
              <w:t>409,030.26</w:t>
            </w:r>
          </w:p>
        </w:tc>
        <w:tc>
          <w:tcPr>
            <w:tcW w:w="1756" w:type="dxa"/>
            <w:vAlign w:val="center"/>
          </w:tcPr>
          <w:p w14:paraId="1676CE57" w14:textId="77777777" w:rsidR="00CB6E06" w:rsidRPr="00E816AE" w:rsidRDefault="00CB6E06" w:rsidP="00A46B13">
            <w:pPr>
              <w:spacing w:before="60" w:after="60" w:line="288" w:lineRule="auto"/>
              <w:rPr>
                <w:rFonts w:ascii="Arial" w:hAnsi="Arial" w:cs="Arial"/>
                <w:spacing w:val="-6"/>
                <w:sz w:val="16"/>
              </w:rPr>
            </w:pPr>
            <w:r w:rsidRPr="00E816AE">
              <w:rPr>
                <w:rFonts w:ascii="Arial" w:hAnsi="Arial" w:cs="Arial"/>
                <w:spacing w:val="-6"/>
                <w:sz w:val="16"/>
              </w:rPr>
              <w:t>Técnico “B” SPEN</w:t>
            </w:r>
          </w:p>
        </w:tc>
        <w:tc>
          <w:tcPr>
            <w:tcW w:w="1126" w:type="dxa"/>
            <w:vAlign w:val="center"/>
          </w:tcPr>
          <w:p w14:paraId="66D69E65" w14:textId="77777777" w:rsidR="00CB6E06" w:rsidRPr="00E816AE" w:rsidRDefault="00CB6E06" w:rsidP="00A46B13">
            <w:pPr>
              <w:spacing w:before="60" w:after="60" w:line="288" w:lineRule="auto"/>
              <w:jc w:val="right"/>
              <w:rPr>
                <w:rFonts w:ascii="Arial" w:hAnsi="Arial" w:cs="Arial"/>
                <w:sz w:val="16"/>
              </w:rPr>
            </w:pPr>
            <w:r w:rsidRPr="00E816AE">
              <w:rPr>
                <w:rFonts w:ascii="Arial" w:hAnsi="Arial" w:cs="Arial"/>
                <w:sz w:val="16"/>
              </w:rPr>
              <w:t>452,214.83</w:t>
            </w:r>
          </w:p>
        </w:tc>
        <w:tc>
          <w:tcPr>
            <w:tcW w:w="987" w:type="dxa"/>
          </w:tcPr>
          <w:p w14:paraId="52876AC6" w14:textId="77777777" w:rsidR="00CB6E06" w:rsidRPr="00E816AE" w:rsidRDefault="00CB6E06" w:rsidP="00A46B13">
            <w:pPr>
              <w:spacing w:before="60" w:after="60" w:line="288" w:lineRule="auto"/>
              <w:jc w:val="right"/>
              <w:rPr>
                <w:rFonts w:ascii="Arial" w:hAnsi="Arial" w:cs="Arial"/>
                <w:sz w:val="16"/>
              </w:rPr>
            </w:pPr>
            <w:r w:rsidRPr="00E816AE">
              <w:rPr>
                <w:rFonts w:ascii="Arial" w:hAnsi="Arial" w:cs="Arial"/>
                <w:sz w:val="16"/>
              </w:rPr>
              <w:t>43,184.57</w:t>
            </w:r>
          </w:p>
        </w:tc>
        <w:tc>
          <w:tcPr>
            <w:tcW w:w="956" w:type="dxa"/>
            <w:vAlign w:val="center"/>
          </w:tcPr>
          <w:p w14:paraId="3017FEDB" w14:textId="77777777" w:rsidR="00CB6E06" w:rsidRPr="00E816AE" w:rsidRDefault="00CB6E06" w:rsidP="00A46B13">
            <w:pPr>
              <w:spacing w:before="60" w:after="60" w:line="288" w:lineRule="auto"/>
              <w:jc w:val="center"/>
              <w:rPr>
                <w:rFonts w:ascii="Arial" w:hAnsi="Arial" w:cs="Arial"/>
                <w:sz w:val="16"/>
              </w:rPr>
            </w:pPr>
            <w:r w:rsidRPr="00E816AE">
              <w:rPr>
                <w:rFonts w:ascii="Arial" w:hAnsi="Arial" w:cs="Arial"/>
                <w:sz w:val="16"/>
              </w:rPr>
              <w:t>2</w:t>
            </w:r>
          </w:p>
        </w:tc>
        <w:tc>
          <w:tcPr>
            <w:tcW w:w="1047" w:type="dxa"/>
            <w:vAlign w:val="center"/>
          </w:tcPr>
          <w:p w14:paraId="2398D1A1" w14:textId="77777777" w:rsidR="00CB6E06" w:rsidRPr="00E816AE" w:rsidRDefault="00CB6E06" w:rsidP="00A46B13">
            <w:pPr>
              <w:spacing w:before="60" w:after="60" w:line="288" w:lineRule="auto"/>
              <w:jc w:val="right"/>
              <w:rPr>
                <w:rFonts w:ascii="Arial" w:hAnsi="Arial" w:cs="Arial"/>
                <w:sz w:val="16"/>
              </w:rPr>
            </w:pPr>
            <w:r w:rsidRPr="00E816AE">
              <w:rPr>
                <w:rFonts w:ascii="Arial" w:hAnsi="Arial" w:cs="Arial"/>
                <w:sz w:val="16"/>
              </w:rPr>
              <w:t>86,369.15</w:t>
            </w:r>
          </w:p>
        </w:tc>
      </w:tr>
      <w:tr w:rsidR="00CB6E06" w:rsidRPr="00E816AE" w14:paraId="1CF819E9" w14:textId="77777777" w:rsidTr="00A46B13">
        <w:trPr>
          <w:jc w:val="center"/>
        </w:trPr>
        <w:tc>
          <w:tcPr>
            <w:tcW w:w="1878" w:type="dxa"/>
            <w:tcBorders>
              <w:bottom w:val="single" w:sz="4" w:space="0" w:color="auto"/>
            </w:tcBorders>
            <w:vAlign w:val="center"/>
          </w:tcPr>
          <w:p w14:paraId="279D0252" w14:textId="77777777" w:rsidR="00CB6E06" w:rsidRPr="00E816AE" w:rsidRDefault="00CB6E06" w:rsidP="00A46B13">
            <w:pPr>
              <w:spacing w:before="60" w:after="60" w:line="288" w:lineRule="auto"/>
              <w:rPr>
                <w:rFonts w:ascii="Arial" w:hAnsi="Arial" w:cs="Arial"/>
                <w:sz w:val="16"/>
              </w:rPr>
            </w:pPr>
            <w:r w:rsidRPr="00E816AE">
              <w:rPr>
                <w:rFonts w:ascii="Arial" w:hAnsi="Arial" w:cs="Arial"/>
                <w:sz w:val="16"/>
              </w:rPr>
              <w:t>Técnico “C” SPEN</w:t>
            </w:r>
          </w:p>
        </w:tc>
        <w:tc>
          <w:tcPr>
            <w:tcW w:w="1078" w:type="dxa"/>
            <w:tcBorders>
              <w:bottom w:val="single" w:sz="4" w:space="0" w:color="auto"/>
            </w:tcBorders>
            <w:vAlign w:val="center"/>
          </w:tcPr>
          <w:p w14:paraId="4D6ECC9E" w14:textId="77777777" w:rsidR="00CB6E06" w:rsidRPr="00E816AE" w:rsidRDefault="00CB6E06" w:rsidP="00A46B13">
            <w:pPr>
              <w:spacing w:before="60" w:after="60" w:line="288" w:lineRule="auto"/>
              <w:jc w:val="right"/>
              <w:rPr>
                <w:rFonts w:ascii="Arial" w:hAnsi="Arial" w:cs="Arial"/>
                <w:sz w:val="16"/>
              </w:rPr>
            </w:pPr>
            <w:r w:rsidRPr="00E816AE">
              <w:rPr>
                <w:rFonts w:ascii="Arial" w:hAnsi="Arial" w:cs="Arial"/>
                <w:sz w:val="16"/>
              </w:rPr>
              <w:t>376,980.56</w:t>
            </w:r>
          </w:p>
        </w:tc>
        <w:tc>
          <w:tcPr>
            <w:tcW w:w="1756" w:type="dxa"/>
            <w:tcBorders>
              <w:bottom w:val="single" w:sz="4" w:space="0" w:color="auto"/>
            </w:tcBorders>
            <w:vAlign w:val="center"/>
          </w:tcPr>
          <w:p w14:paraId="2EACB885" w14:textId="77777777" w:rsidR="00CB6E06" w:rsidRPr="00E816AE" w:rsidRDefault="00CB6E06" w:rsidP="00A46B13">
            <w:pPr>
              <w:spacing w:before="60" w:after="60" w:line="288" w:lineRule="auto"/>
              <w:rPr>
                <w:rFonts w:ascii="Arial" w:hAnsi="Arial" w:cs="Arial"/>
                <w:spacing w:val="-6"/>
                <w:sz w:val="16"/>
              </w:rPr>
            </w:pPr>
            <w:r w:rsidRPr="00E816AE">
              <w:rPr>
                <w:rFonts w:ascii="Arial" w:hAnsi="Arial" w:cs="Arial"/>
                <w:spacing w:val="-6"/>
                <w:sz w:val="16"/>
              </w:rPr>
              <w:t>Técnico “B” SPEN</w:t>
            </w:r>
          </w:p>
        </w:tc>
        <w:tc>
          <w:tcPr>
            <w:tcW w:w="1126" w:type="dxa"/>
            <w:tcBorders>
              <w:bottom w:val="single" w:sz="4" w:space="0" w:color="auto"/>
            </w:tcBorders>
            <w:vAlign w:val="center"/>
          </w:tcPr>
          <w:p w14:paraId="332F881B" w14:textId="77777777" w:rsidR="00CB6E06" w:rsidRPr="00E816AE" w:rsidRDefault="00CB6E06" w:rsidP="00A46B13">
            <w:pPr>
              <w:spacing w:before="60" w:after="60" w:line="288" w:lineRule="auto"/>
              <w:jc w:val="right"/>
              <w:rPr>
                <w:rFonts w:ascii="Arial" w:hAnsi="Arial" w:cs="Arial"/>
                <w:sz w:val="16"/>
              </w:rPr>
            </w:pPr>
            <w:r w:rsidRPr="00E816AE">
              <w:rPr>
                <w:rFonts w:ascii="Arial" w:hAnsi="Arial" w:cs="Arial"/>
                <w:sz w:val="16"/>
              </w:rPr>
              <w:t>452,214.83</w:t>
            </w:r>
          </w:p>
        </w:tc>
        <w:tc>
          <w:tcPr>
            <w:tcW w:w="987" w:type="dxa"/>
            <w:tcBorders>
              <w:bottom w:val="single" w:sz="4" w:space="0" w:color="auto"/>
            </w:tcBorders>
          </w:tcPr>
          <w:p w14:paraId="418539B8" w14:textId="77777777" w:rsidR="00CB6E06" w:rsidRPr="00E816AE" w:rsidRDefault="00CB6E06" w:rsidP="00A46B13">
            <w:pPr>
              <w:spacing w:before="60" w:after="60" w:line="288" w:lineRule="auto"/>
              <w:jc w:val="right"/>
              <w:rPr>
                <w:rFonts w:ascii="Arial" w:hAnsi="Arial" w:cs="Arial"/>
                <w:sz w:val="16"/>
              </w:rPr>
            </w:pPr>
            <w:r w:rsidRPr="00E816AE">
              <w:rPr>
                <w:rFonts w:ascii="Arial" w:hAnsi="Arial" w:cs="Arial"/>
                <w:sz w:val="16"/>
              </w:rPr>
              <w:t>75,234.27</w:t>
            </w:r>
          </w:p>
        </w:tc>
        <w:tc>
          <w:tcPr>
            <w:tcW w:w="956" w:type="dxa"/>
            <w:tcBorders>
              <w:bottom w:val="single" w:sz="4" w:space="0" w:color="auto"/>
            </w:tcBorders>
            <w:vAlign w:val="center"/>
          </w:tcPr>
          <w:p w14:paraId="2F040D61" w14:textId="77777777" w:rsidR="00CB6E06" w:rsidRPr="00E816AE" w:rsidRDefault="00CB6E06" w:rsidP="00A46B13">
            <w:pPr>
              <w:spacing w:before="60" w:after="60" w:line="288" w:lineRule="auto"/>
              <w:jc w:val="center"/>
              <w:rPr>
                <w:rFonts w:ascii="Arial" w:hAnsi="Arial" w:cs="Arial"/>
                <w:sz w:val="16"/>
              </w:rPr>
            </w:pPr>
            <w:r w:rsidRPr="00E816AE">
              <w:rPr>
                <w:rFonts w:ascii="Arial" w:hAnsi="Arial" w:cs="Arial"/>
                <w:sz w:val="16"/>
              </w:rPr>
              <w:t>2</w:t>
            </w:r>
          </w:p>
        </w:tc>
        <w:tc>
          <w:tcPr>
            <w:tcW w:w="1047" w:type="dxa"/>
            <w:vAlign w:val="center"/>
          </w:tcPr>
          <w:p w14:paraId="49820B4B" w14:textId="77777777" w:rsidR="00CB6E06" w:rsidRPr="00E816AE" w:rsidRDefault="00CB6E06" w:rsidP="00A46B13">
            <w:pPr>
              <w:spacing w:before="60" w:after="60" w:line="288" w:lineRule="auto"/>
              <w:jc w:val="right"/>
              <w:rPr>
                <w:rFonts w:ascii="Arial" w:hAnsi="Arial" w:cs="Arial"/>
                <w:sz w:val="16"/>
              </w:rPr>
            </w:pPr>
            <w:r w:rsidRPr="00E816AE">
              <w:rPr>
                <w:rFonts w:ascii="Arial" w:hAnsi="Arial" w:cs="Arial"/>
                <w:sz w:val="16"/>
              </w:rPr>
              <w:t>150,468.53</w:t>
            </w:r>
          </w:p>
        </w:tc>
      </w:tr>
      <w:tr w:rsidR="00CB6E06" w:rsidRPr="00E816AE" w14:paraId="2ADAFFF3" w14:textId="77777777" w:rsidTr="00A46B13">
        <w:trPr>
          <w:jc w:val="center"/>
        </w:trPr>
        <w:tc>
          <w:tcPr>
            <w:tcW w:w="1878" w:type="dxa"/>
            <w:tcBorders>
              <w:bottom w:val="single" w:sz="4" w:space="0" w:color="auto"/>
            </w:tcBorders>
            <w:vAlign w:val="center"/>
          </w:tcPr>
          <w:p w14:paraId="7506B511" w14:textId="77777777" w:rsidR="00CB6E06" w:rsidRPr="00E816AE" w:rsidRDefault="00CB6E06" w:rsidP="00A46B13">
            <w:pPr>
              <w:spacing w:before="60" w:after="60" w:line="288" w:lineRule="auto"/>
              <w:rPr>
                <w:rFonts w:ascii="Arial" w:hAnsi="Arial" w:cs="Arial"/>
                <w:sz w:val="16"/>
              </w:rPr>
            </w:pPr>
            <w:r w:rsidRPr="00E816AE">
              <w:rPr>
                <w:rFonts w:ascii="Arial" w:hAnsi="Arial" w:cs="Arial"/>
                <w:sz w:val="16"/>
              </w:rPr>
              <w:t>Técnico “D” SPEN</w:t>
            </w:r>
          </w:p>
        </w:tc>
        <w:tc>
          <w:tcPr>
            <w:tcW w:w="1078" w:type="dxa"/>
            <w:tcBorders>
              <w:bottom w:val="single" w:sz="4" w:space="0" w:color="auto"/>
            </w:tcBorders>
            <w:vAlign w:val="center"/>
          </w:tcPr>
          <w:p w14:paraId="1D5D3A93" w14:textId="77777777" w:rsidR="00CB6E06" w:rsidRPr="00E816AE" w:rsidRDefault="00CB6E06" w:rsidP="00A46B13">
            <w:pPr>
              <w:spacing w:before="60" w:after="60" w:line="288" w:lineRule="auto"/>
              <w:jc w:val="right"/>
              <w:rPr>
                <w:rFonts w:ascii="Arial" w:hAnsi="Arial" w:cs="Arial"/>
                <w:sz w:val="16"/>
              </w:rPr>
            </w:pPr>
            <w:r w:rsidRPr="00E816AE">
              <w:rPr>
                <w:rFonts w:ascii="Arial" w:hAnsi="Arial" w:cs="Arial"/>
                <w:sz w:val="16"/>
              </w:rPr>
              <w:t>341,399.94</w:t>
            </w:r>
          </w:p>
        </w:tc>
        <w:tc>
          <w:tcPr>
            <w:tcW w:w="1756" w:type="dxa"/>
            <w:tcBorders>
              <w:bottom w:val="single" w:sz="4" w:space="0" w:color="auto"/>
            </w:tcBorders>
            <w:vAlign w:val="center"/>
          </w:tcPr>
          <w:p w14:paraId="1C9CD460" w14:textId="77777777" w:rsidR="00CB6E06" w:rsidRPr="00E816AE" w:rsidRDefault="00CB6E06" w:rsidP="00A46B13">
            <w:pPr>
              <w:spacing w:before="60" w:after="60" w:line="288" w:lineRule="auto"/>
              <w:rPr>
                <w:rFonts w:ascii="Arial" w:hAnsi="Arial" w:cs="Arial"/>
                <w:spacing w:val="-6"/>
                <w:sz w:val="16"/>
              </w:rPr>
            </w:pPr>
            <w:r w:rsidRPr="00E816AE">
              <w:rPr>
                <w:rFonts w:ascii="Arial" w:hAnsi="Arial" w:cs="Arial"/>
                <w:spacing w:val="-6"/>
                <w:sz w:val="16"/>
              </w:rPr>
              <w:t>Técnico “B” SPEN</w:t>
            </w:r>
          </w:p>
        </w:tc>
        <w:tc>
          <w:tcPr>
            <w:tcW w:w="1126" w:type="dxa"/>
            <w:tcBorders>
              <w:bottom w:val="single" w:sz="4" w:space="0" w:color="auto"/>
            </w:tcBorders>
            <w:vAlign w:val="center"/>
          </w:tcPr>
          <w:p w14:paraId="478C187A" w14:textId="77777777" w:rsidR="00CB6E06" w:rsidRPr="00E816AE" w:rsidRDefault="00CB6E06" w:rsidP="00A46B13">
            <w:pPr>
              <w:spacing w:before="60" w:after="60" w:line="288" w:lineRule="auto"/>
              <w:jc w:val="right"/>
              <w:rPr>
                <w:rFonts w:ascii="Arial" w:hAnsi="Arial" w:cs="Arial"/>
                <w:sz w:val="16"/>
              </w:rPr>
            </w:pPr>
            <w:r w:rsidRPr="00E816AE">
              <w:rPr>
                <w:rFonts w:ascii="Arial" w:hAnsi="Arial" w:cs="Arial"/>
                <w:sz w:val="16"/>
              </w:rPr>
              <w:t>452,214.83</w:t>
            </w:r>
          </w:p>
        </w:tc>
        <w:tc>
          <w:tcPr>
            <w:tcW w:w="987" w:type="dxa"/>
            <w:tcBorders>
              <w:bottom w:val="single" w:sz="4" w:space="0" w:color="auto"/>
            </w:tcBorders>
          </w:tcPr>
          <w:p w14:paraId="6493E399" w14:textId="77777777" w:rsidR="00CB6E06" w:rsidRPr="00E816AE" w:rsidRDefault="00CB6E06" w:rsidP="00A46B13">
            <w:pPr>
              <w:spacing w:before="60" w:after="60" w:line="288" w:lineRule="auto"/>
              <w:jc w:val="right"/>
              <w:rPr>
                <w:rFonts w:ascii="Arial" w:hAnsi="Arial" w:cs="Arial"/>
                <w:sz w:val="16"/>
              </w:rPr>
            </w:pPr>
            <w:r w:rsidRPr="00E816AE">
              <w:rPr>
                <w:rFonts w:ascii="Arial" w:hAnsi="Arial" w:cs="Arial"/>
                <w:sz w:val="16"/>
              </w:rPr>
              <w:t>110,814.89</w:t>
            </w:r>
          </w:p>
        </w:tc>
        <w:tc>
          <w:tcPr>
            <w:tcW w:w="956" w:type="dxa"/>
            <w:tcBorders>
              <w:bottom w:val="single" w:sz="4" w:space="0" w:color="auto"/>
            </w:tcBorders>
            <w:vAlign w:val="center"/>
          </w:tcPr>
          <w:p w14:paraId="188F5846" w14:textId="77777777" w:rsidR="00CB6E06" w:rsidRPr="00E816AE" w:rsidRDefault="00CB6E06" w:rsidP="00A46B13">
            <w:pPr>
              <w:spacing w:before="60" w:after="60" w:line="288" w:lineRule="auto"/>
              <w:jc w:val="center"/>
              <w:rPr>
                <w:rFonts w:ascii="Arial" w:hAnsi="Arial" w:cs="Arial"/>
                <w:sz w:val="16"/>
              </w:rPr>
            </w:pPr>
            <w:r w:rsidRPr="00E816AE">
              <w:rPr>
                <w:rFonts w:ascii="Arial" w:hAnsi="Arial" w:cs="Arial"/>
                <w:sz w:val="16"/>
              </w:rPr>
              <w:t>3</w:t>
            </w:r>
          </w:p>
        </w:tc>
        <w:tc>
          <w:tcPr>
            <w:tcW w:w="1047" w:type="dxa"/>
            <w:tcBorders>
              <w:bottom w:val="single" w:sz="4" w:space="0" w:color="auto"/>
            </w:tcBorders>
            <w:vAlign w:val="center"/>
          </w:tcPr>
          <w:p w14:paraId="4E3A3A4A" w14:textId="77777777" w:rsidR="00CB6E06" w:rsidRPr="00E816AE" w:rsidRDefault="00CB6E06" w:rsidP="00A46B13">
            <w:pPr>
              <w:spacing w:before="60" w:after="60" w:line="288" w:lineRule="auto"/>
              <w:jc w:val="right"/>
              <w:rPr>
                <w:rFonts w:ascii="Arial" w:hAnsi="Arial" w:cs="Arial"/>
                <w:sz w:val="16"/>
              </w:rPr>
            </w:pPr>
            <w:r w:rsidRPr="00E816AE">
              <w:rPr>
                <w:rFonts w:ascii="Arial" w:hAnsi="Arial" w:cs="Arial"/>
                <w:sz w:val="16"/>
              </w:rPr>
              <w:t>332,444.67</w:t>
            </w:r>
          </w:p>
        </w:tc>
      </w:tr>
      <w:tr w:rsidR="00CB6E06" w:rsidRPr="00E816AE" w14:paraId="5989D699" w14:textId="77777777" w:rsidTr="00A46B13">
        <w:trPr>
          <w:jc w:val="center"/>
        </w:trPr>
        <w:tc>
          <w:tcPr>
            <w:tcW w:w="1878" w:type="dxa"/>
            <w:tcBorders>
              <w:top w:val="single" w:sz="4" w:space="0" w:color="auto"/>
              <w:left w:val="nil"/>
              <w:bottom w:val="nil"/>
              <w:right w:val="nil"/>
            </w:tcBorders>
            <w:vAlign w:val="center"/>
          </w:tcPr>
          <w:p w14:paraId="2E99E9AA" w14:textId="77777777" w:rsidR="00CB6E06" w:rsidRPr="00E816AE" w:rsidRDefault="00CB6E06" w:rsidP="00A46B13">
            <w:pPr>
              <w:spacing w:before="60" w:after="60" w:line="288" w:lineRule="auto"/>
              <w:rPr>
                <w:rFonts w:ascii="Arial" w:hAnsi="Arial" w:cs="Arial"/>
                <w:sz w:val="16"/>
              </w:rPr>
            </w:pPr>
          </w:p>
        </w:tc>
        <w:tc>
          <w:tcPr>
            <w:tcW w:w="1078" w:type="dxa"/>
            <w:tcBorders>
              <w:top w:val="single" w:sz="4" w:space="0" w:color="auto"/>
              <w:left w:val="nil"/>
              <w:bottom w:val="nil"/>
              <w:right w:val="nil"/>
            </w:tcBorders>
            <w:vAlign w:val="center"/>
          </w:tcPr>
          <w:p w14:paraId="61A5F72C" w14:textId="77777777" w:rsidR="00CB6E06" w:rsidRPr="00E816AE" w:rsidRDefault="00CB6E06" w:rsidP="00A46B13">
            <w:pPr>
              <w:spacing w:before="60" w:after="60" w:line="288" w:lineRule="auto"/>
              <w:jc w:val="right"/>
              <w:rPr>
                <w:rFonts w:ascii="Arial" w:hAnsi="Arial" w:cs="Arial"/>
                <w:sz w:val="16"/>
              </w:rPr>
            </w:pPr>
          </w:p>
        </w:tc>
        <w:tc>
          <w:tcPr>
            <w:tcW w:w="1756" w:type="dxa"/>
            <w:tcBorders>
              <w:top w:val="single" w:sz="4" w:space="0" w:color="auto"/>
              <w:left w:val="nil"/>
              <w:bottom w:val="nil"/>
              <w:right w:val="nil"/>
            </w:tcBorders>
            <w:vAlign w:val="center"/>
          </w:tcPr>
          <w:p w14:paraId="370839B6" w14:textId="77777777" w:rsidR="00CB6E06" w:rsidRPr="00E816AE" w:rsidRDefault="00CB6E06" w:rsidP="00A46B13">
            <w:pPr>
              <w:spacing w:before="60" w:after="60" w:line="288" w:lineRule="auto"/>
              <w:rPr>
                <w:rFonts w:ascii="Arial" w:hAnsi="Arial" w:cs="Arial"/>
                <w:sz w:val="16"/>
              </w:rPr>
            </w:pPr>
          </w:p>
        </w:tc>
        <w:tc>
          <w:tcPr>
            <w:tcW w:w="3069" w:type="dxa"/>
            <w:gridSpan w:val="3"/>
            <w:tcBorders>
              <w:top w:val="single" w:sz="4" w:space="0" w:color="auto"/>
              <w:left w:val="nil"/>
              <w:bottom w:val="nil"/>
              <w:right w:val="single" w:sz="4" w:space="0" w:color="auto"/>
            </w:tcBorders>
            <w:vAlign w:val="center"/>
          </w:tcPr>
          <w:p w14:paraId="519AD614" w14:textId="77777777" w:rsidR="00CB6E06" w:rsidRPr="00E816AE" w:rsidRDefault="00CB6E06" w:rsidP="00A46B13">
            <w:pPr>
              <w:spacing w:before="60" w:after="60" w:line="288" w:lineRule="auto"/>
              <w:jc w:val="center"/>
              <w:rPr>
                <w:rFonts w:ascii="Arial" w:hAnsi="Arial" w:cs="Arial"/>
                <w:b/>
                <w:sz w:val="16"/>
              </w:rPr>
            </w:pPr>
            <w:r w:rsidRPr="00E816AE">
              <w:rPr>
                <w:rFonts w:ascii="Arial" w:hAnsi="Arial" w:cs="Arial"/>
                <w:b/>
                <w:sz w:val="16"/>
              </w:rPr>
              <w:t>Costo total nivelación salarial anual</w:t>
            </w:r>
          </w:p>
        </w:tc>
        <w:tc>
          <w:tcPr>
            <w:tcW w:w="1047" w:type="dxa"/>
            <w:tcBorders>
              <w:left w:val="single" w:sz="4" w:space="0" w:color="auto"/>
            </w:tcBorders>
            <w:vAlign w:val="center"/>
          </w:tcPr>
          <w:p w14:paraId="3C13AABD" w14:textId="77777777" w:rsidR="00CB6E06" w:rsidRPr="00E816AE" w:rsidRDefault="00CB6E06" w:rsidP="00A46B13">
            <w:pPr>
              <w:spacing w:before="60" w:after="60" w:line="288" w:lineRule="auto"/>
              <w:jc w:val="right"/>
              <w:rPr>
                <w:rFonts w:ascii="Arial" w:hAnsi="Arial" w:cs="Arial"/>
                <w:b/>
                <w:sz w:val="16"/>
              </w:rPr>
            </w:pPr>
            <w:r w:rsidRPr="00E816AE">
              <w:rPr>
                <w:rFonts w:ascii="Arial" w:hAnsi="Arial" w:cs="Arial"/>
                <w:b/>
                <w:sz w:val="16"/>
              </w:rPr>
              <w:t>918,507.28</w:t>
            </w:r>
          </w:p>
        </w:tc>
      </w:tr>
    </w:tbl>
    <w:p w14:paraId="2427DB73" w14:textId="5F2F71C9" w:rsidR="00CB6E06" w:rsidRPr="00E816AE" w:rsidRDefault="00CB6E06" w:rsidP="00DA2310">
      <w:pPr>
        <w:rPr>
          <w:rFonts w:ascii="Arial" w:hAnsi="Arial" w:cs="Arial"/>
          <w:sz w:val="22"/>
          <w:szCs w:val="22"/>
        </w:rPr>
      </w:pPr>
      <w:r w:rsidRPr="00E816AE">
        <w:rPr>
          <w:rFonts w:ascii="Arial" w:hAnsi="Arial" w:cs="Arial"/>
          <w:sz w:val="22"/>
          <w:szCs w:val="22"/>
        </w:rPr>
        <w:t>A partir de lo anterior, la homologación salarial de las categorías señaladas es en beneficio de las siguientes personas:</w:t>
      </w:r>
    </w:p>
    <w:tbl>
      <w:tblPr>
        <w:tblStyle w:val="Tablaconcuadrcula"/>
        <w:tblW w:w="0" w:type="auto"/>
        <w:tblLook w:val="04A0" w:firstRow="1" w:lastRow="0" w:firstColumn="1" w:lastColumn="0" w:noHBand="0" w:noVBand="1"/>
      </w:tblPr>
      <w:tblGrid>
        <w:gridCol w:w="3017"/>
        <w:gridCol w:w="1948"/>
        <w:gridCol w:w="2219"/>
        <w:gridCol w:w="1453"/>
      </w:tblGrid>
      <w:tr w:rsidR="00CB6E06" w:rsidRPr="00E816AE" w14:paraId="3810E48A" w14:textId="1959041F" w:rsidTr="00947F73">
        <w:tc>
          <w:tcPr>
            <w:tcW w:w="3114" w:type="dxa"/>
            <w:shd w:val="clear" w:color="auto" w:fill="993366"/>
            <w:vAlign w:val="center"/>
          </w:tcPr>
          <w:p w14:paraId="6CC84FBA" w14:textId="6C65C505" w:rsidR="00CB6E06" w:rsidRPr="00E816AE" w:rsidRDefault="00CB6E06" w:rsidP="00CB6E06">
            <w:pPr>
              <w:spacing w:before="60" w:after="60"/>
              <w:jc w:val="center"/>
              <w:rPr>
                <w:rFonts w:ascii="Arial" w:hAnsi="Arial" w:cs="Arial"/>
                <w:b/>
                <w:bCs/>
                <w:color w:val="FFFFFF" w:themeColor="background1"/>
                <w:sz w:val="16"/>
                <w:szCs w:val="16"/>
              </w:rPr>
            </w:pPr>
            <w:r w:rsidRPr="00E816AE">
              <w:rPr>
                <w:rFonts w:ascii="Arial" w:hAnsi="Arial" w:cs="Arial"/>
                <w:b/>
                <w:bCs/>
                <w:color w:val="FFFFFF" w:themeColor="background1"/>
                <w:sz w:val="16"/>
                <w:szCs w:val="16"/>
              </w:rPr>
              <w:t>Nombre</w:t>
            </w:r>
          </w:p>
        </w:tc>
        <w:tc>
          <w:tcPr>
            <w:tcW w:w="1984" w:type="dxa"/>
            <w:shd w:val="clear" w:color="auto" w:fill="993366"/>
            <w:vAlign w:val="center"/>
          </w:tcPr>
          <w:p w14:paraId="5BA796BE" w14:textId="30701D2D" w:rsidR="00CB6E06" w:rsidRPr="00E816AE" w:rsidRDefault="00CB6E06" w:rsidP="00CB6E06">
            <w:pPr>
              <w:spacing w:before="60" w:after="60"/>
              <w:jc w:val="center"/>
              <w:rPr>
                <w:rFonts w:ascii="Arial" w:hAnsi="Arial" w:cs="Arial"/>
                <w:b/>
                <w:bCs/>
                <w:color w:val="FFFFFF" w:themeColor="background1"/>
                <w:sz w:val="16"/>
                <w:szCs w:val="16"/>
              </w:rPr>
            </w:pPr>
            <w:r w:rsidRPr="00E816AE">
              <w:rPr>
                <w:rFonts w:ascii="Arial" w:hAnsi="Arial" w:cs="Arial"/>
                <w:b/>
                <w:bCs/>
                <w:color w:val="FFFFFF" w:themeColor="background1"/>
                <w:sz w:val="16"/>
                <w:szCs w:val="16"/>
              </w:rPr>
              <w:t>Categoría actual</w:t>
            </w:r>
          </w:p>
        </w:tc>
        <w:tc>
          <w:tcPr>
            <w:tcW w:w="2268" w:type="dxa"/>
            <w:shd w:val="clear" w:color="auto" w:fill="993366"/>
            <w:vAlign w:val="center"/>
          </w:tcPr>
          <w:p w14:paraId="474EE0BF" w14:textId="6165F0A2" w:rsidR="00CB6E06" w:rsidRPr="00E816AE" w:rsidRDefault="00CB6E06" w:rsidP="00CB6E06">
            <w:pPr>
              <w:spacing w:before="60" w:after="60"/>
              <w:jc w:val="center"/>
              <w:rPr>
                <w:rFonts w:ascii="Arial" w:hAnsi="Arial" w:cs="Arial"/>
                <w:b/>
                <w:bCs/>
                <w:color w:val="FFFFFF" w:themeColor="background1"/>
                <w:sz w:val="16"/>
                <w:szCs w:val="16"/>
              </w:rPr>
            </w:pPr>
            <w:r w:rsidRPr="00E816AE">
              <w:rPr>
                <w:rFonts w:ascii="Arial" w:hAnsi="Arial" w:cs="Arial"/>
                <w:b/>
                <w:bCs/>
                <w:color w:val="FFFFFF" w:themeColor="background1"/>
                <w:sz w:val="16"/>
                <w:szCs w:val="16"/>
              </w:rPr>
              <w:t>Categoría ajustada</w:t>
            </w:r>
          </w:p>
        </w:tc>
        <w:tc>
          <w:tcPr>
            <w:tcW w:w="1462" w:type="dxa"/>
            <w:shd w:val="clear" w:color="auto" w:fill="993366"/>
            <w:vAlign w:val="center"/>
          </w:tcPr>
          <w:p w14:paraId="06FFCCBE" w14:textId="75F9E243" w:rsidR="00CB6E06" w:rsidRPr="00E816AE" w:rsidRDefault="00CB6E06" w:rsidP="00CB6E06">
            <w:pPr>
              <w:spacing w:before="60" w:after="60"/>
              <w:jc w:val="center"/>
              <w:rPr>
                <w:rFonts w:ascii="Arial" w:hAnsi="Arial" w:cs="Arial"/>
                <w:b/>
                <w:bCs/>
                <w:color w:val="FFFFFF" w:themeColor="background1"/>
                <w:sz w:val="16"/>
                <w:szCs w:val="16"/>
              </w:rPr>
            </w:pPr>
            <w:r w:rsidRPr="00E816AE">
              <w:rPr>
                <w:rFonts w:ascii="Arial" w:hAnsi="Arial" w:cs="Arial"/>
                <w:b/>
                <w:bCs/>
                <w:color w:val="FFFFFF" w:themeColor="background1"/>
                <w:sz w:val="16"/>
                <w:szCs w:val="16"/>
              </w:rPr>
              <w:t>Adscripción</w:t>
            </w:r>
          </w:p>
        </w:tc>
      </w:tr>
      <w:tr w:rsidR="00CB6E06" w:rsidRPr="00E816AE" w14:paraId="5073C18C" w14:textId="1E5E4056" w:rsidTr="00535213">
        <w:tc>
          <w:tcPr>
            <w:tcW w:w="3114" w:type="dxa"/>
            <w:vAlign w:val="center"/>
          </w:tcPr>
          <w:p w14:paraId="5CEEE445" w14:textId="79FC6A68" w:rsidR="00CB6E06" w:rsidRPr="00E816AE" w:rsidRDefault="00CB6E06" w:rsidP="00CB6E06">
            <w:pPr>
              <w:spacing w:before="60" w:after="60"/>
              <w:rPr>
                <w:rFonts w:ascii="Arial" w:hAnsi="Arial" w:cs="Arial"/>
                <w:spacing w:val="-10"/>
                <w:sz w:val="20"/>
                <w:szCs w:val="20"/>
              </w:rPr>
            </w:pPr>
            <w:r w:rsidRPr="00E816AE">
              <w:rPr>
                <w:rFonts w:ascii="Arial" w:hAnsi="Arial" w:cs="Arial"/>
                <w:spacing w:val="-10"/>
                <w:sz w:val="20"/>
                <w:szCs w:val="20"/>
              </w:rPr>
              <w:t>Erik Jesús Ascencio Martínez</w:t>
            </w:r>
          </w:p>
        </w:tc>
        <w:tc>
          <w:tcPr>
            <w:tcW w:w="1984" w:type="dxa"/>
            <w:vAlign w:val="center"/>
          </w:tcPr>
          <w:p w14:paraId="53B82413" w14:textId="296C876D" w:rsidR="00CB6E06" w:rsidRPr="00E816AE" w:rsidRDefault="00CB6E06" w:rsidP="00CB6E06">
            <w:pPr>
              <w:spacing w:before="60" w:after="60"/>
              <w:rPr>
                <w:rFonts w:ascii="Arial" w:hAnsi="Arial" w:cs="Arial"/>
                <w:spacing w:val="-10"/>
                <w:sz w:val="20"/>
                <w:szCs w:val="20"/>
              </w:rPr>
            </w:pPr>
            <w:r w:rsidRPr="00E816AE">
              <w:rPr>
                <w:rFonts w:ascii="Arial" w:hAnsi="Arial" w:cs="Arial"/>
                <w:spacing w:val="-10"/>
                <w:sz w:val="20"/>
                <w:szCs w:val="20"/>
              </w:rPr>
              <w:t>Coordinador “D” SPEN</w:t>
            </w:r>
          </w:p>
        </w:tc>
        <w:tc>
          <w:tcPr>
            <w:tcW w:w="2268" w:type="dxa"/>
            <w:vAlign w:val="center"/>
          </w:tcPr>
          <w:p w14:paraId="5A4CD427" w14:textId="43941FC3" w:rsidR="00CB6E06" w:rsidRPr="00E816AE" w:rsidRDefault="00CB6E06" w:rsidP="00CB6E06">
            <w:pPr>
              <w:spacing w:before="60" w:after="60"/>
              <w:rPr>
                <w:rFonts w:ascii="Arial" w:hAnsi="Arial" w:cs="Arial"/>
                <w:spacing w:val="-10"/>
                <w:sz w:val="20"/>
                <w:szCs w:val="20"/>
              </w:rPr>
            </w:pPr>
            <w:r w:rsidRPr="00E816AE">
              <w:rPr>
                <w:rFonts w:ascii="Arial" w:hAnsi="Arial" w:cs="Arial"/>
                <w:spacing w:val="-10"/>
                <w:sz w:val="20"/>
                <w:szCs w:val="20"/>
              </w:rPr>
              <w:t>Coordinador “C” SPEN</w:t>
            </w:r>
          </w:p>
        </w:tc>
        <w:tc>
          <w:tcPr>
            <w:tcW w:w="1462" w:type="dxa"/>
            <w:vAlign w:val="center"/>
          </w:tcPr>
          <w:p w14:paraId="20D6D645" w14:textId="2FCFFD80" w:rsidR="00CB6E06" w:rsidRPr="00E816AE" w:rsidRDefault="00CB6E06" w:rsidP="00CB6E06">
            <w:pPr>
              <w:spacing w:before="60" w:after="60"/>
              <w:rPr>
                <w:rFonts w:ascii="Arial" w:hAnsi="Arial" w:cs="Arial"/>
                <w:spacing w:val="-10"/>
                <w:sz w:val="20"/>
                <w:szCs w:val="20"/>
              </w:rPr>
            </w:pPr>
            <w:r w:rsidRPr="00E816AE">
              <w:rPr>
                <w:rFonts w:ascii="Arial" w:hAnsi="Arial" w:cs="Arial"/>
                <w:spacing w:val="-10"/>
                <w:sz w:val="20"/>
                <w:szCs w:val="20"/>
              </w:rPr>
              <w:t>Secretaría Ejecutiva</w:t>
            </w:r>
          </w:p>
        </w:tc>
      </w:tr>
      <w:tr w:rsidR="00EC6B2F" w:rsidRPr="00E816AE" w14:paraId="4A9B05C4" w14:textId="6CE6E34A" w:rsidTr="00535213">
        <w:tc>
          <w:tcPr>
            <w:tcW w:w="3114" w:type="dxa"/>
            <w:vAlign w:val="center"/>
          </w:tcPr>
          <w:p w14:paraId="7B1C6436" w14:textId="56C1B3E0" w:rsidR="00EC6B2F" w:rsidRPr="00E816AE" w:rsidRDefault="00EC6B2F" w:rsidP="00CB6E06">
            <w:pPr>
              <w:spacing w:before="60" w:after="60"/>
              <w:rPr>
                <w:rFonts w:ascii="Arial" w:hAnsi="Arial" w:cs="Arial"/>
                <w:spacing w:val="-10"/>
                <w:sz w:val="20"/>
                <w:szCs w:val="20"/>
              </w:rPr>
            </w:pPr>
            <w:r w:rsidRPr="00E816AE">
              <w:rPr>
                <w:rFonts w:ascii="Arial" w:hAnsi="Arial" w:cs="Arial"/>
                <w:spacing w:val="-10"/>
                <w:sz w:val="20"/>
                <w:szCs w:val="20"/>
              </w:rPr>
              <w:t>Ricardo Alfredo Rosique Román</w:t>
            </w:r>
          </w:p>
        </w:tc>
        <w:tc>
          <w:tcPr>
            <w:tcW w:w="1984" w:type="dxa"/>
            <w:vAlign w:val="center"/>
          </w:tcPr>
          <w:p w14:paraId="0B3D62E8" w14:textId="32517047" w:rsidR="00EC6B2F" w:rsidRPr="00E816AE" w:rsidRDefault="00EC6B2F" w:rsidP="00CB6E06">
            <w:pPr>
              <w:spacing w:before="60" w:after="60"/>
              <w:rPr>
                <w:rFonts w:ascii="Arial" w:hAnsi="Arial" w:cs="Arial"/>
                <w:spacing w:val="-10"/>
                <w:sz w:val="20"/>
                <w:szCs w:val="20"/>
              </w:rPr>
            </w:pPr>
            <w:r w:rsidRPr="00E816AE">
              <w:rPr>
                <w:rFonts w:ascii="Arial" w:hAnsi="Arial" w:cs="Arial"/>
                <w:spacing w:val="-10"/>
                <w:sz w:val="20"/>
                <w:szCs w:val="20"/>
              </w:rPr>
              <w:t>Coordinador “D” SPEN</w:t>
            </w:r>
          </w:p>
        </w:tc>
        <w:tc>
          <w:tcPr>
            <w:tcW w:w="2268" w:type="dxa"/>
            <w:vAlign w:val="center"/>
          </w:tcPr>
          <w:p w14:paraId="4D08185A" w14:textId="393C79CE" w:rsidR="00EC6B2F" w:rsidRPr="00E816AE" w:rsidRDefault="00EC6B2F" w:rsidP="00CB6E06">
            <w:pPr>
              <w:spacing w:before="60" w:after="60"/>
              <w:rPr>
                <w:rFonts w:ascii="Arial" w:hAnsi="Arial" w:cs="Arial"/>
                <w:spacing w:val="-10"/>
                <w:sz w:val="20"/>
                <w:szCs w:val="20"/>
              </w:rPr>
            </w:pPr>
            <w:r w:rsidRPr="00E816AE">
              <w:rPr>
                <w:rFonts w:ascii="Arial" w:hAnsi="Arial" w:cs="Arial"/>
                <w:spacing w:val="-10"/>
                <w:sz w:val="20"/>
                <w:szCs w:val="20"/>
              </w:rPr>
              <w:t>Coordinador “C” SPEN</w:t>
            </w:r>
          </w:p>
        </w:tc>
        <w:tc>
          <w:tcPr>
            <w:tcW w:w="1462" w:type="dxa"/>
            <w:vMerge w:val="restart"/>
            <w:vAlign w:val="center"/>
          </w:tcPr>
          <w:p w14:paraId="70AA7FFF" w14:textId="43B834DB" w:rsidR="00EC6B2F" w:rsidRPr="00E816AE" w:rsidRDefault="00EC6B2F" w:rsidP="00CB6E06">
            <w:pPr>
              <w:spacing w:before="60" w:after="60"/>
              <w:rPr>
                <w:rFonts w:ascii="Arial" w:hAnsi="Arial" w:cs="Arial"/>
                <w:spacing w:val="-10"/>
                <w:sz w:val="20"/>
                <w:szCs w:val="20"/>
              </w:rPr>
            </w:pPr>
            <w:r w:rsidRPr="00E816AE">
              <w:rPr>
                <w:rFonts w:ascii="Arial" w:hAnsi="Arial" w:cs="Arial"/>
                <w:spacing w:val="-10"/>
                <w:sz w:val="20"/>
                <w:szCs w:val="20"/>
              </w:rPr>
              <w:t>Dirección de Organización Electoral y Educación Cívica</w:t>
            </w:r>
          </w:p>
        </w:tc>
      </w:tr>
      <w:tr w:rsidR="00EC6B2F" w:rsidRPr="00E816AE" w14:paraId="51E1DD60" w14:textId="57FD4C0D" w:rsidTr="00535213">
        <w:tc>
          <w:tcPr>
            <w:tcW w:w="3114" w:type="dxa"/>
            <w:vAlign w:val="center"/>
          </w:tcPr>
          <w:p w14:paraId="38391E93" w14:textId="1F753D3F" w:rsidR="00EC6B2F" w:rsidRPr="00E816AE" w:rsidRDefault="00EC6B2F" w:rsidP="00CB6E06">
            <w:pPr>
              <w:spacing w:before="60" w:after="60"/>
              <w:rPr>
                <w:rFonts w:ascii="Arial" w:hAnsi="Arial" w:cs="Arial"/>
                <w:spacing w:val="-10"/>
                <w:sz w:val="20"/>
                <w:szCs w:val="20"/>
              </w:rPr>
            </w:pPr>
            <w:r w:rsidRPr="00E816AE">
              <w:rPr>
                <w:rFonts w:ascii="Arial" w:hAnsi="Arial" w:cs="Arial"/>
                <w:spacing w:val="-10"/>
                <w:sz w:val="20"/>
                <w:szCs w:val="20"/>
              </w:rPr>
              <w:t>Elizabeth Ibarra Urióstegui</w:t>
            </w:r>
          </w:p>
        </w:tc>
        <w:tc>
          <w:tcPr>
            <w:tcW w:w="1984" w:type="dxa"/>
            <w:vAlign w:val="center"/>
          </w:tcPr>
          <w:p w14:paraId="0256B63D" w14:textId="05681922" w:rsidR="00EC6B2F" w:rsidRPr="00E816AE" w:rsidRDefault="00EC6B2F" w:rsidP="00CB6E06">
            <w:pPr>
              <w:spacing w:before="60" w:after="60"/>
              <w:rPr>
                <w:rFonts w:ascii="Arial" w:hAnsi="Arial" w:cs="Arial"/>
                <w:spacing w:val="-10"/>
                <w:sz w:val="20"/>
                <w:szCs w:val="20"/>
              </w:rPr>
            </w:pPr>
            <w:r w:rsidRPr="00E816AE">
              <w:rPr>
                <w:rFonts w:ascii="Arial" w:hAnsi="Arial" w:cs="Arial"/>
                <w:spacing w:val="-10"/>
                <w:sz w:val="20"/>
                <w:szCs w:val="20"/>
              </w:rPr>
              <w:t>Coordinador “D” SPEN</w:t>
            </w:r>
          </w:p>
        </w:tc>
        <w:tc>
          <w:tcPr>
            <w:tcW w:w="2268" w:type="dxa"/>
            <w:vAlign w:val="center"/>
          </w:tcPr>
          <w:p w14:paraId="5399E48D" w14:textId="0598D6A4" w:rsidR="00EC6B2F" w:rsidRPr="00E816AE" w:rsidRDefault="00EC6B2F" w:rsidP="00CB6E06">
            <w:pPr>
              <w:spacing w:before="60" w:after="60"/>
              <w:rPr>
                <w:rFonts w:ascii="Arial" w:hAnsi="Arial" w:cs="Arial"/>
                <w:spacing w:val="-10"/>
                <w:sz w:val="20"/>
                <w:szCs w:val="20"/>
              </w:rPr>
            </w:pPr>
            <w:r w:rsidRPr="00E816AE">
              <w:rPr>
                <w:rFonts w:ascii="Arial" w:hAnsi="Arial" w:cs="Arial"/>
                <w:spacing w:val="-10"/>
                <w:sz w:val="20"/>
                <w:szCs w:val="20"/>
              </w:rPr>
              <w:t>Coordinador “C” SPEN</w:t>
            </w:r>
          </w:p>
        </w:tc>
        <w:tc>
          <w:tcPr>
            <w:tcW w:w="1462" w:type="dxa"/>
            <w:vMerge/>
            <w:vAlign w:val="center"/>
          </w:tcPr>
          <w:p w14:paraId="2B5B76A6" w14:textId="77777777" w:rsidR="00EC6B2F" w:rsidRPr="00E816AE" w:rsidRDefault="00EC6B2F" w:rsidP="00CB6E06">
            <w:pPr>
              <w:spacing w:before="60" w:after="60"/>
              <w:rPr>
                <w:rFonts w:ascii="Arial" w:hAnsi="Arial" w:cs="Arial"/>
                <w:spacing w:val="-10"/>
                <w:sz w:val="20"/>
                <w:szCs w:val="20"/>
              </w:rPr>
            </w:pPr>
          </w:p>
        </w:tc>
      </w:tr>
      <w:tr w:rsidR="00EC6B2F" w:rsidRPr="00E816AE" w14:paraId="21FD4F48" w14:textId="7361AC9B" w:rsidTr="00535213">
        <w:tc>
          <w:tcPr>
            <w:tcW w:w="3114" w:type="dxa"/>
            <w:vAlign w:val="center"/>
          </w:tcPr>
          <w:p w14:paraId="438C580C" w14:textId="510F9AD7" w:rsidR="00EC6B2F" w:rsidRPr="00E816AE" w:rsidRDefault="00EC6B2F" w:rsidP="00CB6E06">
            <w:pPr>
              <w:spacing w:before="60" w:after="60"/>
              <w:rPr>
                <w:rFonts w:ascii="Arial" w:hAnsi="Arial" w:cs="Arial"/>
                <w:spacing w:val="-10"/>
                <w:sz w:val="20"/>
                <w:szCs w:val="20"/>
              </w:rPr>
            </w:pPr>
            <w:r w:rsidRPr="00E816AE">
              <w:rPr>
                <w:rFonts w:ascii="Arial" w:hAnsi="Arial" w:cs="Arial"/>
                <w:spacing w:val="-10"/>
                <w:sz w:val="20"/>
                <w:szCs w:val="20"/>
              </w:rPr>
              <w:t>Alejandro Haddad Castillo</w:t>
            </w:r>
          </w:p>
        </w:tc>
        <w:tc>
          <w:tcPr>
            <w:tcW w:w="1984" w:type="dxa"/>
            <w:vAlign w:val="center"/>
          </w:tcPr>
          <w:p w14:paraId="7A1A8E3C" w14:textId="7996977A" w:rsidR="00EC6B2F" w:rsidRPr="00E816AE" w:rsidRDefault="00EC6B2F" w:rsidP="00CB6E06">
            <w:pPr>
              <w:spacing w:before="60" w:after="60"/>
              <w:rPr>
                <w:rFonts w:ascii="Arial" w:hAnsi="Arial" w:cs="Arial"/>
                <w:spacing w:val="-10"/>
                <w:sz w:val="20"/>
                <w:szCs w:val="20"/>
              </w:rPr>
            </w:pPr>
            <w:r w:rsidRPr="00E816AE">
              <w:rPr>
                <w:rFonts w:ascii="Arial" w:hAnsi="Arial" w:cs="Arial"/>
                <w:spacing w:val="-10"/>
                <w:sz w:val="20"/>
                <w:szCs w:val="20"/>
              </w:rPr>
              <w:t>Técnico “D” SPEN</w:t>
            </w:r>
          </w:p>
        </w:tc>
        <w:tc>
          <w:tcPr>
            <w:tcW w:w="2268" w:type="dxa"/>
            <w:vAlign w:val="center"/>
          </w:tcPr>
          <w:p w14:paraId="67CF97BE" w14:textId="031E304A" w:rsidR="00EC6B2F" w:rsidRPr="00E816AE" w:rsidRDefault="00EC6B2F" w:rsidP="00CB6E06">
            <w:pPr>
              <w:spacing w:before="60" w:after="60"/>
              <w:rPr>
                <w:rFonts w:ascii="Arial" w:hAnsi="Arial" w:cs="Arial"/>
                <w:spacing w:val="-10"/>
                <w:sz w:val="20"/>
                <w:szCs w:val="20"/>
              </w:rPr>
            </w:pPr>
            <w:r w:rsidRPr="00E816AE">
              <w:rPr>
                <w:rFonts w:ascii="Arial" w:hAnsi="Arial" w:cs="Arial"/>
                <w:spacing w:val="-10"/>
                <w:sz w:val="20"/>
                <w:szCs w:val="20"/>
              </w:rPr>
              <w:t>Técnico “B” SPEN</w:t>
            </w:r>
          </w:p>
        </w:tc>
        <w:tc>
          <w:tcPr>
            <w:tcW w:w="1462" w:type="dxa"/>
            <w:vMerge/>
            <w:vAlign w:val="center"/>
          </w:tcPr>
          <w:p w14:paraId="0527A582" w14:textId="77777777" w:rsidR="00EC6B2F" w:rsidRPr="00E816AE" w:rsidRDefault="00EC6B2F" w:rsidP="00CB6E06">
            <w:pPr>
              <w:spacing w:before="60" w:after="60"/>
              <w:rPr>
                <w:rFonts w:ascii="Arial" w:hAnsi="Arial" w:cs="Arial"/>
                <w:spacing w:val="-10"/>
                <w:sz w:val="20"/>
                <w:szCs w:val="20"/>
              </w:rPr>
            </w:pPr>
          </w:p>
        </w:tc>
      </w:tr>
      <w:tr w:rsidR="00EC6B2F" w:rsidRPr="00E816AE" w14:paraId="39A331CE" w14:textId="77777777" w:rsidTr="00535213">
        <w:tc>
          <w:tcPr>
            <w:tcW w:w="3114" w:type="dxa"/>
            <w:vAlign w:val="center"/>
          </w:tcPr>
          <w:p w14:paraId="79042B8D" w14:textId="1B34E0A9" w:rsidR="00EC6B2F" w:rsidRPr="00E816AE" w:rsidRDefault="00EC6B2F" w:rsidP="00CB6E06">
            <w:pPr>
              <w:spacing w:before="60" w:after="60"/>
              <w:rPr>
                <w:rFonts w:ascii="Arial" w:hAnsi="Arial" w:cs="Arial"/>
                <w:spacing w:val="-10"/>
                <w:sz w:val="20"/>
                <w:szCs w:val="20"/>
              </w:rPr>
            </w:pPr>
            <w:r w:rsidRPr="00E816AE">
              <w:rPr>
                <w:rFonts w:ascii="Arial" w:hAnsi="Arial" w:cs="Arial"/>
                <w:spacing w:val="-10"/>
                <w:sz w:val="20"/>
                <w:szCs w:val="20"/>
              </w:rPr>
              <w:t>Diana Ramos López</w:t>
            </w:r>
          </w:p>
        </w:tc>
        <w:tc>
          <w:tcPr>
            <w:tcW w:w="1984" w:type="dxa"/>
            <w:vAlign w:val="center"/>
          </w:tcPr>
          <w:p w14:paraId="3007A753" w14:textId="213E1BBB" w:rsidR="00EC6B2F" w:rsidRPr="00E816AE" w:rsidRDefault="00EC6B2F" w:rsidP="00CB6E06">
            <w:pPr>
              <w:spacing w:before="60" w:after="60"/>
              <w:rPr>
                <w:rFonts w:ascii="Arial" w:hAnsi="Arial" w:cs="Arial"/>
                <w:spacing w:val="-10"/>
                <w:sz w:val="20"/>
                <w:szCs w:val="20"/>
              </w:rPr>
            </w:pPr>
            <w:r w:rsidRPr="00E816AE">
              <w:rPr>
                <w:rFonts w:ascii="Arial" w:hAnsi="Arial" w:cs="Arial"/>
                <w:spacing w:val="-10"/>
                <w:sz w:val="20"/>
                <w:szCs w:val="20"/>
              </w:rPr>
              <w:t>Técnico “D” SPEN</w:t>
            </w:r>
          </w:p>
        </w:tc>
        <w:tc>
          <w:tcPr>
            <w:tcW w:w="2268" w:type="dxa"/>
            <w:vAlign w:val="center"/>
          </w:tcPr>
          <w:p w14:paraId="30AAF298" w14:textId="27C27F38" w:rsidR="00EC6B2F" w:rsidRPr="00E816AE" w:rsidRDefault="00EC6B2F" w:rsidP="00CB6E06">
            <w:pPr>
              <w:spacing w:before="60" w:after="60"/>
              <w:rPr>
                <w:rFonts w:ascii="Arial" w:hAnsi="Arial" w:cs="Arial"/>
                <w:spacing w:val="-10"/>
                <w:sz w:val="20"/>
                <w:szCs w:val="20"/>
              </w:rPr>
            </w:pPr>
            <w:r w:rsidRPr="00E816AE">
              <w:rPr>
                <w:rFonts w:ascii="Arial" w:hAnsi="Arial" w:cs="Arial"/>
                <w:spacing w:val="-10"/>
                <w:sz w:val="20"/>
                <w:szCs w:val="20"/>
              </w:rPr>
              <w:t>Técnico “B” SPEN</w:t>
            </w:r>
          </w:p>
        </w:tc>
        <w:tc>
          <w:tcPr>
            <w:tcW w:w="1462" w:type="dxa"/>
            <w:vMerge/>
            <w:vAlign w:val="center"/>
          </w:tcPr>
          <w:p w14:paraId="29298A16" w14:textId="77777777" w:rsidR="00EC6B2F" w:rsidRPr="00E816AE" w:rsidRDefault="00EC6B2F" w:rsidP="00CB6E06">
            <w:pPr>
              <w:spacing w:before="60" w:after="60"/>
              <w:rPr>
                <w:rFonts w:ascii="Arial" w:hAnsi="Arial" w:cs="Arial"/>
                <w:spacing w:val="-10"/>
                <w:sz w:val="20"/>
                <w:szCs w:val="20"/>
              </w:rPr>
            </w:pPr>
          </w:p>
        </w:tc>
      </w:tr>
      <w:tr w:rsidR="00EC6B2F" w:rsidRPr="00E816AE" w14:paraId="10CBB60A" w14:textId="77777777" w:rsidTr="00535213">
        <w:tc>
          <w:tcPr>
            <w:tcW w:w="3114" w:type="dxa"/>
            <w:vAlign w:val="center"/>
          </w:tcPr>
          <w:p w14:paraId="6196ABFF" w14:textId="628ABDDB" w:rsidR="00EC6B2F" w:rsidRPr="00E816AE" w:rsidRDefault="00EC6B2F" w:rsidP="00CB6E06">
            <w:pPr>
              <w:spacing w:before="60" w:after="60"/>
              <w:rPr>
                <w:rFonts w:ascii="Arial" w:hAnsi="Arial" w:cs="Arial"/>
                <w:spacing w:val="-10"/>
                <w:sz w:val="20"/>
                <w:szCs w:val="20"/>
              </w:rPr>
            </w:pPr>
            <w:r w:rsidRPr="00E816AE">
              <w:rPr>
                <w:rFonts w:ascii="Arial" w:hAnsi="Arial" w:cs="Arial"/>
                <w:spacing w:val="-10"/>
                <w:sz w:val="20"/>
                <w:szCs w:val="20"/>
              </w:rPr>
              <w:t xml:space="preserve">Jorge Alberto </w:t>
            </w:r>
            <w:proofErr w:type="spellStart"/>
            <w:r w:rsidRPr="00E816AE">
              <w:rPr>
                <w:rFonts w:ascii="Arial" w:hAnsi="Arial" w:cs="Arial"/>
                <w:spacing w:val="-10"/>
                <w:sz w:val="20"/>
                <w:szCs w:val="20"/>
              </w:rPr>
              <w:t>Saraoz</w:t>
            </w:r>
            <w:proofErr w:type="spellEnd"/>
            <w:r w:rsidRPr="00E816AE">
              <w:rPr>
                <w:rFonts w:ascii="Arial" w:hAnsi="Arial" w:cs="Arial"/>
                <w:spacing w:val="-10"/>
                <w:sz w:val="20"/>
                <w:szCs w:val="20"/>
              </w:rPr>
              <w:t xml:space="preserve"> </w:t>
            </w:r>
            <w:proofErr w:type="spellStart"/>
            <w:r w:rsidRPr="00E816AE">
              <w:rPr>
                <w:rFonts w:ascii="Arial" w:hAnsi="Arial" w:cs="Arial"/>
                <w:spacing w:val="-10"/>
                <w:sz w:val="20"/>
                <w:szCs w:val="20"/>
              </w:rPr>
              <w:t>Dozal</w:t>
            </w:r>
            <w:proofErr w:type="spellEnd"/>
          </w:p>
        </w:tc>
        <w:tc>
          <w:tcPr>
            <w:tcW w:w="1984" w:type="dxa"/>
            <w:vAlign w:val="center"/>
          </w:tcPr>
          <w:p w14:paraId="6C513458" w14:textId="66BAAAE0" w:rsidR="00EC6B2F" w:rsidRPr="00E816AE" w:rsidRDefault="00EC6B2F" w:rsidP="00CB6E06">
            <w:pPr>
              <w:spacing w:before="60" w:after="60"/>
              <w:rPr>
                <w:rFonts w:ascii="Arial" w:hAnsi="Arial" w:cs="Arial"/>
                <w:spacing w:val="-10"/>
                <w:sz w:val="20"/>
                <w:szCs w:val="20"/>
              </w:rPr>
            </w:pPr>
            <w:r w:rsidRPr="00E816AE">
              <w:rPr>
                <w:rFonts w:ascii="Arial" w:hAnsi="Arial" w:cs="Arial"/>
                <w:spacing w:val="-10"/>
                <w:sz w:val="20"/>
                <w:szCs w:val="20"/>
              </w:rPr>
              <w:t>Técnico “D” SPEN</w:t>
            </w:r>
          </w:p>
        </w:tc>
        <w:tc>
          <w:tcPr>
            <w:tcW w:w="2268" w:type="dxa"/>
            <w:vAlign w:val="center"/>
          </w:tcPr>
          <w:p w14:paraId="02520497" w14:textId="6B975A83" w:rsidR="00EC6B2F" w:rsidRPr="00E816AE" w:rsidRDefault="00EC6B2F" w:rsidP="00CB6E06">
            <w:pPr>
              <w:spacing w:before="60" w:after="60"/>
              <w:rPr>
                <w:rFonts w:ascii="Arial" w:hAnsi="Arial" w:cs="Arial"/>
                <w:spacing w:val="-10"/>
                <w:sz w:val="20"/>
                <w:szCs w:val="20"/>
              </w:rPr>
            </w:pPr>
            <w:r w:rsidRPr="00E816AE">
              <w:rPr>
                <w:rFonts w:ascii="Arial" w:hAnsi="Arial" w:cs="Arial"/>
                <w:spacing w:val="-10"/>
                <w:sz w:val="20"/>
                <w:szCs w:val="20"/>
              </w:rPr>
              <w:t>Técnico “B” SPEN</w:t>
            </w:r>
          </w:p>
        </w:tc>
        <w:tc>
          <w:tcPr>
            <w:tcW w:w="1462" w:type="dxa"/>
            <w:vMerge/>
            <w:vAlign w:val="center"/>
          </w:tcPr>
          <w:p w14:paraId="1F86C8A2" w14:textId="77777777" w:rsidR="00EC6B2F" w:rsidRPr="00E816AE" w:rsidRDefault="00EC6B2F" w:rsidP="00CB6E06">
            <w:pPr>
              <w:spacing w:before="60" w:after="60"/>
              <w:rPr>
                <w:rFonts w:ascii="Arial" w:hAnsi="Arial" w:cs="Arial"/>
                <w:spacing w:val="-10"/>
                <w:sz w:val="20"/>
                <w:szCs w:val="20"/>
              </w:rPr>
            </w:pPr>
          </w:p>
        </w:tc>
      </w:tr>
      <w:tr w:rsidR="00EC6B2F" w:rsidRPr="00E816AE" w14:paraId="41D21322" w14:textId="77777777" w:rsidTr="00535213">
        <w:tc>
          <w:tcPr>
            <w:tcW w:w="3114" w:type="dxa"/>
            <w:vAlign w:val="center"/>
          </w:tcPr>
          <w:p w14:paraId="5B35D27E" w14:textId="65596B44" w:rsidR="00EC6B2F" w:rsidRPr="00E816AE" w:rsidRDefault="00EC6B2F" w:rsidP="00CB6E06">
            <w:pPr>
              <w:spacing w:before="60" w:after="60"/>
              <w:rPr>
                <w:rFonts w:ascii="Arial" w:hAnsi="Arial" w:cs="Arial"/>
                <w:spacing w:val="-10"/>
                <w:sz w:val="20"/>
                <w:szCs w:val="20"/>
              </w:rPr>
            </w:pPr>
            <w:r w:rsidRPr="00E816AE">
              <w:rPr>
                <w:rFonts w:ascii="Arial" w:hAnsi="Arial" w:cs="Arial"/>
                <w:spacing w:val="-10"/>
                <w:sz w:val="20"/>
                <w:szCs w:val="20"/>
              </w:rPr>
              <w:t>Christian de Jesús Montejo Córdova</w:t>
            </w:r>
          </w:p>
        </w:tc>
        <w:tc>
          <w:tcPr>
            <w:tcW w:w="1984" w:type="dxa"/>
            <w:vAlign w:val="center"/>
          </w:tcPr>
          <w:p w14:paraId="3AD90CCE" w14:textId="0E22E929" w:rsidR="00EC6B2F" w:rsidRPr="00E816AE" w:rsidRDefault="00EC6B2F" w:rsidP="00CB6E06">
            <w:pPr>
              <w:spacing w:before="60" w:after="60"/>
              <w:rPr>
                <w:rFonts w:ascii="Arial" w:hAnsi="Arial" w:cs="Arial"/>
                <w:spacing w:val="-10"/>
                <w:sz w:val="20"/>
                <w:szCs w:val="20"/>
              </w:rPr>
            </w:pPr>
            <w:r w:rsidRPr="00E816AE">
              <w:rPr>
                <w:rFonts w:ascii="Arial" w:hAnsi="Arial" w:cs="Arial"/>
                <w:spacing w:val="-10"/>
                <w:sz w:val="20"/>
                <w:szCs w:val="20"/>
              </w:rPr>
              <w:t>Técnico “B1” SPEN</w:t>
            </w:r>
          </w:p>
        </w:tc>
        <w:tc>
          <w:tcPr>
            <w:tcW w:w="2268" w:type="dxa"/>
            <w:vAlign w:val="center"/>
          </w:tcPr>
          <w:p w14:paraId="33CD1D4B" w14:textId="28784542" w:rsidR="00EC6B2F" w:rsidRPr="00E816AE" w:rsidRDefault="00EC6B2F" w:rsidP="00CB6E06">
            <w:pPr>
              <w:spacing w:before="60" w:after="60"/>
              <w:rPr>
                <w:rFonts w:ascii="Arial" w:hAnsi="Arial" w:cs="Arial"/>
                <w:spacing w:val="-10"/>
                <w:sz w:val="20"/>
                <w:szCs w:val="20"/>
              </w:rPr>
            </w:pPr>
            <w:r w:rsidRPr="00E816AE">
              <w:rPr>
                <w:rFonts w:ascii="Arial" w:hAnsi="Arial" w:cs="Arial"/>
                <w:spacing w:val="-10"/>
                <w:sz w:val="20"/>
                <w:szCs w:val="20"/>
              </w:rPr>
              <w:t>Técnico “B” SPEN</w:t>
            </w:r>
          </w:p>
        </w:tc>
        <w:tc>
          <w:tcPr>
            <w:tcW w:w="1462" w:type="dxa"/>
            <w:vMerge/>
            <w:vAlign w:val="center"/>
          </w:tcPr>
          <w:p w14:paraId="5EE993A5" w14:textId="77777777" w:rsidR="00EC6B2F" w:rsidRPr="00E816AE" w:rsidRDefault="00EC6B2F" w:rsidP="00CB6E06">
            <w:pPr>
              <w:spacing w:before="60" w:after="60"/>
              <w:rPr>
                <w:rFonts w:ascii="Arial" w:hAnsi="Arial" w:cs="Arial"/>
                <w:spacing w:val="-10"/>
                <w:sz w:val="20"/>
                <w:szCs w:val="20"/>
              </w:rPr>
            </w:pPr>
          </w:p>
        </w:tc>
      </w:tr>
      <w:tr w:rsidR="00EC6B2F" w:rsidRPr="00E816AE" w14:paraId="1D6C4F96" w14:textId="77777777" w:rsidTr="00535213">
        <w:tc>
          <w:tcPr>
            <w:tcW w:w="3114" w:type="dxa"/>
            <w:vAlign w:val="center"/>
          </w:tcPr>
          <w:p w14:paraId="33391C04" w14:textId="64DE20D4" w:rsidR="00EC6B2F" w:rsidRPr="00E816AE" w:rsidRDefault="00EC6B2F" w:rsidP="00EC6B2F">
            <w:pPr>
              <w:spacing w:before="60" w:after="60"/>
              <w:rPr>
                <w:rFonts w:ascii="Arial" w:hAnsi="Arial" w:cs="Arial"/>
                <w:spacing w:val="-10"/>
                <w:sz w:val="20"/>
                <w:szCs w:val="20"/>
              </w:rPr>
            </w:pPr>
            <w:r w:rsidRPr="00E816AE">
              <w:rPr>
                <w:rFonts w:ascii="Arial" w:hAnsi="Arial" w:cs="Arial"/>
                <w:spacing w:val="-10"/>
                <w:sz w:val="20"/>
                <w:szCs w:val="20"/>
              </w:rPr>
              <w:t>Héctor Manuel Niebla Cazares</w:t>
            </w:r>
          </w:p>
        </w:tc>
        <w:tc>
          <w:tcPr>
            <w:tcW w:w="1984" w:type="dxa"/>
            <w:vAlign w:val="center"/>
          </w:tcPr>
          <w:p w14:paraId="30F48777" w14:textId="02883FF4" w:rsidR="00EC6B2F" w:rsidRPr="00E816AE" w:rsidRDefault="00EC6B2F" w:rsidP="00EC6B2F">
            <w:pPr>
              <w:spacing w:before="60" w:after="60"/>
              <w:rPr>
                <w:rFonts w:ascii="Arial" w:hAnsi="Arial" w:cs="Arial"/>
                <w:spacing w:val="-10"/>
                <w:sz w:val="20"/>
                <w:szCs w:val="20"/>
              </w:rPr>
            </w:pPr>
            <w:r w:rsidRPr="00E816AE">
              <w:rPr>
                <w:rFonts w:ascii="Arial" w:hAnsi="Arial" w:cs="Arial"/>
                <w:spacing w:val="-10"/>
                <w:sz w:val="20"/>
                <w:szCs w:val="20"/>
              </w:rPr>
              <w:t>Técnico “C” SPEN</w:t>
            </w:r>
          </w:p>
        </w:tc>
        <w:tc>
          <w:tcPr>
            <w:tcW w:w="2268" w:type="dxa"/>
            <w:vAlign w:val="center"/>
          </w:tcPr>
          <w:p w14:paraId="2FFDBB0B" w14:textId="2905BD95" w:rsidR="00EC6B2F" w:rsidRPr="00E816AE" w:rsidRDefault="00EC6B2F" w:rsidP="00EC6B2F">
            <w:pPr>
              <w:spacing w:before="60" w:after="60"/>
              <w:rPr>
                <w:rFonts w:ascii="Arial" w:hAnsi="Arial" w:cs="Arial"/>
                <w:spacing w:val="-10"/>
                <w:sz w:val="20"/>
                <w:szCs w:val="20"/>
              </w:rPr>
            </w:pPr>
            <w:r w:rsidRPr="00E816AE">
              <w:rPr>
                <w:rFonts w:ascii="Arial" w:hAnsi="Arial" w:cs="Arial"/>
                <w:spacing w:val="-10"/>
                <w:sz w:val="20"/>
                <w:szCs w:val="20"/>
              </w:rPr>
              <w:t>Técnico “B” SPEN</w:t>
            </w:r>
          </w:p>
        </w:tc>
        <w:tc>
          <w:tcPr>
            <w:tcW w:w="1462" w:type="dxa"/>
            <w:vMerge w:val="restart"/>
            <w:vAlign w:val="center"/>
          </w:tcPr>
          <w:p w14:paraId="33FD7488" w14:textId="3CFF2D6A" w:rsidR="00EC6B2F" w:rsidRPr="00E816AE" w:rsidRDefault="00EC6B2F" w:rsidP="00EC6B2F">
            <w:pPr>
              <w:spacing w:before="60" w:after="60"/>
              <w:rPr>
                <w:rFonts w:ascii="Arial" w:hAnsi="Arial" w:cs="Arial"/>
                <w:spacing w:val="-10"/>
                <w:sz w:val="20"/>
                <w:szCs w:val="20"/>
              </w:rPr>
            </w:pPr>
            <w:r w:rsidRPr="00E816AE">
              <w:rPr>
                <w:rFonts w:ascii="Arial" w:hAnsi="Arial" w:cs="Arial"/>
                <w:spacing w:val="-10"/>
                <w:sz w:val="20"/>
                <w:szCs w:val="20"/>
              </w:rPr>
              <w:t>Secretaría Ejecutiva</w:t>
            </w:r>
          </w:p>
        </w:tc>
      </w:tr>
      <w:tr w:rsidR="00EC6B2F" w:rsidRPr="00E816AE" w14:paraId="57CE32DE" w14:textId="77777777" w:rsidTr="00535213">
        <w:tc>
          <w:tcPr>
            <w:tcW w:w="3114" w:type="dxa"/>
            <w:vAlign w:val="center"/>
          </w:tcPr>
          <w:p w14:paraId="029A5C83" w14:textId="4885DAE9" w:rsidR="00EC6B2F" w:rsidRPr="00E816AE" w:rsidRDefault="00EC6B2F" w:rsidP="00EC6B2F">
            <w:pPr>
              <w:spacing w:before="60" w:after="60"/>
              <w:rPr>
                <w:rFonts w:ascii="Arial" w:hAnsi="Arial" w:cs="Arial"/>
                <w:spacing w:val="-10"/>
                <w:sz w:val="20"/>
                <w:szCs w:val="20"/>
              </w:rPr>
            </w:pPr>
            <w:r w:rsidRPr="00E816AE">
              <w:rPr>
                <w:rFonts w:ascii="Arial" w:hAnsi="Arial" w:cs="Arial"/>
                <w:spacing w:val="-10"/>
                <w:sz w:val="20"/>
                <w:szCs w:val="20"/>
              </w:rPr>
              <w:t xml:space="preserve">Luis Felipe </w:t>
            </w:r>
            <w:r w:rsidR="00966026" w:rsidRPr="00E816AE">
              <w:rPr>
                <w:rFonts w:ascii="Arial" w:hAnsi="Arial" w:cs="Arial"/>
                <w:spacing w:val="-10"/>
                <w:sz w:val="20"/>
                <w:szCs w:val="20"/>
              </w:rPr>
              <w:t>Ricárdez</w:t>
            </w:r>
            <w:r w:rsidRPr="00E816AE">
              <w:rPr>
                <w:rFonts w:ascii="Arial" w:hAnsi="Arial" w:cs="Arial"/>
                <w:spacing w:val="-10"/>
                <w:sz w:val="20"/>
                <w:szCs w:val="20"/>
              </w:rPr>
              <w:t xml:space="preserve"> Medina</w:t>
            </w:r>
          </w:p>
        </w:tc>
        <w:tc>
          <w:tcPr>
            <w:tcW w:w="1984" w:type="dxa"/>
            <w:vAlign w:val="center"/>
          </w:tcPr>
          <w:p w14:paraId="76DBAFFB" w14:textId="2D286A71" w:rsidR="00EC6B2F" w:rsidRPr="00E816AE" w:rsidRDefault="00EC6B2F" w:rsidP="00EC6B2F">
            <w:pPr>
              <w:spacing w:before="60" w:after="60"/>
              <w:rPr>
                <w:rFonts w:ascii="Arial" w:hAnsi="Arial" w:cs="Arial"/>
                <w:spacing w:val="-10"/>
                <w:sz w:val="20"/>
                <w:szCs w:val="20"/>
              </w:rPr>
            </w:pPr>
            <w:r w:rsidRPr="00E816AE">
              <w:rPr>
                <w:rFonts w:ascii="Arial" w:hAnsi="Arial" w:cs="Arial"/>
                <w:spacing w:val="-10"/>
                <w:sz w:val="20"/>
                <w:szCs w:val="20"/>
              </w:rPr>
              <w:t>Técnico “C” SPEN</w:t>
            </w:r>
          </w:p>
        </w:tc>
        <w:tc>
          <w:tcPr>
            <w:tcW w:w="2268" w:type="dxa"/>
            <w:vAlign w:val="center"/>
          </w:tcPr>
          <w:p w14:paraId="64FB1856" w14:textId="5C46D757" w:rsidR="00EC6B2F" w:rsidRPr="00E816AE" w:rsidRDefault="00EC6B2F" w:rsidP="00EC6B2F">
            <w:pPr>
              <w:spacing w:before="60" w:after="60"/>
              <w:rPr>
                <w:rFonts w:ascii="Arial" w:hAnsi="Arial" w:cs="Arial"/>
                <w:spacing w:val="-10"/>
                <w:sz w:val="20"/>
                <w:szCs w:val="20"/>
              </w:rPr>
            </w:pPr>
            <w:r w:rsidRPr="00E816AE">
              <w:rPr>
                <w:rFonts w:ascii="Arial" w:hAnsi="Arial" w:cs="Arial"/>
                <w:spacing w:val="-10"/>
                <w:sz w:val="20"/>
                <w:szCs w:val="20"/>
              </w:rPr>
              <w:t>Técnico “B” SPEN</w:t>
            </w:r>
          </w:p>
        </w:tc>
        <w:tc>
          <w:tcPr>
            <w:tcW w:w="1462" w:type="dxa"/>
            <w:vMerge/>
            <w:vAlign w:val="center"/>
          </w:tcPr>
          <w:p w14:paraId="0FE1783B" w14:textId="77777777" w:rsidR="00EC6B2F" w:rsidRPr="00E816AE" w:rsidRDefault="00EC6B2F" w:rsidP="00EC6B2F">
            <w:pPr>
              <w:spacing w:before="60" w:after="60"/>
              <w:rPr>
                <w:rFonts w:ascii="Arial" w:hAnsi="Arial" w:cs="Arial"/>
                <w:spacing w:val="-10"/>
                <w:sz w:val="20"/>
                <w:szCs w:val="20"/>
              </w:rPr>
            </w:pPr>
          </w:p>
        </w:tc>
      </w:tr>
    </w:tbl>
    <w:p w14:paraId="6E78FAE0" w14:textId="6B0CFA25" w:rsidR="00DA2310" w:rsidRPr="00E816AE" w:rsidRDefault="00ED58B1" w:rsidP="00DA2310">
      <w:pPr>
        <w:rPr>
          <w:rFonts w:ascii="Arial" w:hAnsi="Arial" w:cs="Arial"/>
          <w:sz w:val="22"/>
          <w:szCs w:val="22"/>
        </w:rPr>
      </w:pPr>
      <w:r w:rsidRPr="00E816AE">
        <w:rPr>
          <w:rFonts w:ascii="Arial" w:hAnsi="Arial" w:cs="Arial"/>
          <w:sz w:val="22"/>
          <w:szCs w:val="22"/>
        </w:rPr>
        <w:lastRenderedPageBreak/>
        <w:t xml:space="preserve">Del mismo modo, existe una vacante con categoría Técnico/a “B1” </w:t>
      </w:r>
      <w:r w:rsidR="00605C1C" w:rsidRPr="00E816AE">
        <w:rPr>
          <w:rFonts w:ascii="Arial" w:hAnsi="Arial" w:cs="Arial"/>
          <w:sz w:val="22"/>
          <w:szCs w:val="22"/>
        </w:rPr>
        <w:t xml:space="preserve">SPEN </w:t>
      </w:r>
      <w:r w:rsidRPr="00E816AE">
        <w:rPr>
          <w:rFonts w:ascii="Arial" w:hAnsi="Arial" w:cs="Arial"/>
          <w:sz w:val="22"/>
          <w:szCs w:val="22"/>
        </w:rPr>
        <w:t xml:space="preserve">que </w:t>
      </w:r>
      <w:r w:rsidR="00874ED4" w:rsidRPr="00E816AE">
        <w:rPr>
          <w:rFonts w:ascii="Arial" w:hAnsi="Arial" w:cs="Arial"/>
          <w:sz w:val="22"/>
          <w:szCs w:val="22"/>
        </w:rPr>
        <w:t>se</w:t>
      </w:r>
      <w:r w:rsidRPr="00E816AE">
        <w:rPr>
          <w:rFonts w:ascii="Arial" w:hAnsi="Arial" w:cs="Arial"/>
          <w:sz w:val="22"/>
          <w:szCs w:val="22"/>
        </w:rPr>
        <w:t xml:space="preserve"> homologa a Técnico/a “B” SPEN</w:t>
      </w:r>
      <w:r w:rsidR="00384B64" w:rsidRPr="00E816AE">
        <w:rPr>
          <w:rFonts w:ascii="Arial" w:hAnsi="Arial" w:cs="Arial"/>
          <w:sz w:val="22"/>
          <w:szCs w:val="22"/>
        </w:rPr>
        <w:t>, lo que implica que se nivela el salario de diez categorías</w:t>
      </w:r>
      <w:r w:rsidR="00116EE9" w:rsidRPr="00E816AE">
        <w:rPr>
          <w:rFonts w:ascii="Arial" w:hAnsi="Arial" w:cs="Arial"/>
          <w:sz w:val="22"/>
          <w:szCs w:val="22"/>
        </w:rPr>
        <w:t xml:space="preserve"> que corresponden al Servicio Profesional.</w:t>
      </w:r>
    </w:p>
    <w:p w14:paraId="0210980B" w14:textId="59F0DE04" w:rsidR="00926761" w:rsidRPr="00E816AE" w:rsidRDefault="00DA6BBB" w:rsidP="00DA6BBB">
      <w:pPr>
        <w:spacing w:line="288" w:lineRule="auto"/>
        <w:rPr>
          <w:rFonts w:ascii="Arial" w:hAnsi="Arial" w:cs="Arial"/>
          <w:sz w:val="22"/>
          <w:szCs w:val="22"/>
        </w:rPr>
      </w:pPr>
      <w:r w:rsidRPr="00E816AE">
        <w:rPr>
          <w:rFonts w:ascii="Arial" w:hAnsi="Arial" w:cs="Arial"/>
          <w:sz w:val="22"/>
          <w:szCs w:val="22"/>
        </w:rPr>
        <w:t xml:space="preserve">Cabe mencionar que, con la medida aprobada por el Consejo Estatal se reduce la brecha salarial que existe entre las categorías que tienen funciones o actividades idénticas o similares. Además, </w:t>
      </w:r>
      <w:r w:rsidR="00926761" w:rsidRPr="00E816AE">
        <w:rPr>
          <w:rFonts w:ascii="Arial" w:hAnsi="Arial" w:cs="Arial"/>
          <w:sz w:val="22"/>
          <w:szCs w:val="22"/>
        </w:rPr>
        <w:t xml:space="preserve">la homologación salarial atiende a la naturaleza y fines de los recursos que están de por medio para el pago de su salario, ya que no se genera un gasto adicional ni se trastocan los salarios determinados en el tabulador de sueldos aprobado por el Congreso del Estado. Con ello no se vulneran los principios que inspiran al gasto público, contenidos en el artículo 134 constitucional, relativos a la honradez, eficiencia, eficacia y economía, en todo caso se atiende al principio de igualdad laboral de una forma razonable al presupuesto asignado a este Instituto. </w:t>
      </w:r>
    </w:p>
    <w:p w14:paraId="2EECEEF3" w14:textId="13DBB5E9" w:rsidR="00B86F11" w:rsidRPr="00E816AE" w:rsidRDefault="00947F73" w:rsidP="00926761">
      <w:pPr>
        <w:rPr>
          <w:rFonts w:ascii="Arial" w:hAnsi="Arial" w:cs="Arial"/>
          <w:sz w:val="22"/>
          <w:szCs w:val="22"/>
        </w:rPr>
      </w:pPr>
      <w:r w:rsidRPr="00E816AE">
        <w:rPr>
          <w:rFonts w:ascii="Arial" w:hAnsi="Arial" w:cs="Arial"/>
          <w:sz w:val="22"/>
          <w:szCs w:val="22"/>
        </w:rPr>
        <w:t xml:space="preserve">Además, a juicio de este órgano electoral no se vulneran las disposiciones presupuestales, toda vez que la creación de las plazas y la homologación salarial son actos que se realizan </w:t>
      </w:r>
      <w:r w:rsidR="00B86F11" w:rsidRPr="00E816AE">
        <w:rPr>
          <w:rFonts w:ascii="Arial" w:hAnsi="Arial" w:cs="Arial"/>
          <w:sz w:val="22"/>
          <w:szCs w:val="22"/>
        </w:rPr>
        <w:t>a partir</w:t>
      </w:r>
      <w:r w:rsidRPr="00E816AE">
        <w:rPr>
          <w:rFonts w:ascii="Arial" w:hAnsi="Arial" w:cs="Arial"/>
          <w:sz w:val="22"/>
          <w:szCs w:val="22"/>
        </w:rPr>
        <w:t xml:space="preserve"> </w:t>
      </w:r>
      <w:r w:rsidR="00B86F11" w:rsidRPr="00E816AE">
        <w:rPr>
          <w:rFonts w:ascii="Arial" w:hAnsi="Arial" w:cs="Arial"/>
          <w:sz w:val="22"/>
          <w:szCs w:val="22"/>
        </w:rPr>
        <w:t>d</w:t>
      </w:r>
      <w:r w:rsidRPr="00E816AE">
        <w:rPr>
          <w:rFonts w:ascii="Arial" w:hAnsi="Arial" w:cs="Arial"/>
          <w:sz w:val="22"/>
          <w:szCs w:val="22"/>
        </w:rPr>
        <w:t xml:space="preserve">el presupuesto autorizado para el presente ejercicio; </w:t>
      </w:r>
      <w:r w:rsidR="00B86F11" w:rsidRPr="00E816AE">
        <w:rPr>
          <w:rFonts w:ascii="Arial" w:hAnsi="Arial" w:cs="Arial"/>
          <w:sz w:val="22"/>
          <w:szCs w:val="22"/>
        </w:rPr>
        <w:t>pues se obtienen de aquellos inicialmente asignados a las categorías de Coordinador/a de lo Contencioso Electoral “B” SPEN y de Técnico/a adscrita a la Dirección Jurídica, por lo que ya se encuentran incluidos dentro del capítulo 1000</w:t>
      </w:r>
      <w:r w:rsidR="000A3D20" w:rsidRPr="00E816AE">
        <w:rPr>
          <w:rFonts w:ascii="Arial" w:hAnsi="Arial" w:cs="Arial"/>
          <w:sz w:val="22"/>
          <w:szCs w:val="22"/>
        </w:rPr>
        <w:t>; siendo éste el máximo de recursos que pueden destinarse para dicho propósito.</w:t>
      </w:r>
    </w:p>
    <w:p w14:paraId="266888C4" w14:textId="175F4CCD" w:rsidR="009D19E0" w:rsidRPr="00E816AE" w:rsidRDefault="009D19E0" w:rsidP="00926761">
      <w:pPr>
        <w:rPr>
          <w:rFonts w:ascii="Arial" w:hAnsi="Arial" w:cs="Arial"/>
          <w:sz w:val="22"/>
          <w:szCs w:val="22"/>
        </w:rPr>
      </w:pPr>
      <w:r w:rsidRPr="00E816AE">
        <w:rPr>
          <w:rFonts w:ascii="Arial" w:hAnsi="Arial" w:cs="Arial"/>
          <w:sz w:val="22"/>
          <w:szCs w:val="22"/>
        </w:rPr>
        <w:t>Finalmente, considerando la ministración mensual de los recursos asignados a este Instituto, la homologación salarial surtirá efectos a partir del 16 de agosto de 2025.</w:t>
      </w:r>
    </w:p>
    <w:p w14:paraId="07A60BD0" w14:textId="472E0EC6" w:rsidR="00201A5D" w:rsidRPr="00E816AE" w:rsidRDefault="00201A5D" w:rsidP="00926761">
      <w:pPr>
        <w:rPr>
          <w:rFonts w:ascii="Arial" w:hAnsi="Arial" w:cs="Arial"/>
          <w:sz w:val="22"/>
          <w:szCs w:val="22"/>
        </w:rPr>
      </w:pPr>
      <w:r w:rsidRPr="00E816AE">
        <w:rPr>
          <w:rFonts w:ascii="Arial" w:hAnsi="Arial" w:cs="Arial"/>
          <w:sz w:val="22"/>
          <w:szCs w:val="22"/>
        </w:rPr>
        <w:t>Sobre la base de las consideraciones señaladas, esta Junta Ejecutiva emite el siguiente:</w:t>
      </w:r>
    </w:p>
    <w:p w14:paraId="3C71F73D" w14:textId="1F1AAE90" w:rsidR="00C24A03" w:rsidRPr="00E816AE" w:rsidRDefault="00C24A03" w:rsidP="00E816AE">
      <w:pPr>
        <w:pStyle w:val="Ttulo1"/>
        <w:tabs>
          <w:tab w:val="left" w:pos="8789"/>
        </w:tabs>
        <w:rPr>
          <w:rFonts w:ascii="Arial" w:hAnsi="Arial" w:cs="Arial"/>
          <w:sz w:val="24"/>
          <w:szCs w:val="24"/>
        </w:rPr>
      </w:pPr>
      <w:r w:rsidRPr="00E816AE">
        <w:rPr>
          <w:rFonts w:ascii="Arial" w:hAnsi="Arial" w:cs="Arial"/>
          <w:sz w:val="24"/>
          <w:szCs w:val="24"/>
        </w:rPr>
        <w:t>Acuerdo</w:t>
      </w:r>
    </w:p>
    <w:p w14:paraId="77FB0850" w14:textId="49AF47BE" w:rsidR="00EB4B88" w:rsidRPr="00E816AE" w:rsidRDefault="00C24A03" w:rsidP="00EB4B88">
      <w:pPr>
        <w:rPr>
          <w:rFonts w:ascii="Arial" w:hAnsi="Arial" w:cs="Arial"/>
          <w:sz w:val="22"/>
          <w:szCs w:val="22"/>
        </w:rPr>
      </w:pPr>
      <w:r w:rsidRPr="00E816AE">
        <w:rPr>
          <w:rFonts w:ascii="Arial" w:hAnsi="Arial" w:cs="Arial"/>
          <w:b/>
          <w:bCs/>
          <w:sz w:val="22"/>
          <w:szCs w:val="22"/>
        </w:rPr>
        <w:t>Primero</w:t>
      </w:r>
      <w:r w:rsidR="00EB4B88" w:rsidRPr="00E816AE">
        <w:rPr>
          <w:rFonts w:ascii="Arial" w:hAnsi="Arial" w:cs="Arial"/>
          <w:b/>
          <w:bCs/>
          <w:sz w:val="22"/>
          <w:szCs w:val="22"/>
        </w:rPr>
        <w:t>.</w:t>
      </w:r>
      <w:r w:rsidR="00EB4B88" w:rsidRPr="00E816AE">
        <w:rPr>
          <w:rFonts w:ascii="Arial" w:hAnsi="Arial" w:cs="Arial"/>
          <w:sz w:val="22"/>
          <w:szCs w:val="22"/>
        </w:rPr>
        <w:t xml:space="preserve"> En cumplimiento al acuerdo CE/2025/017 aprobado por el Consejo Estatal, se homologa el salario de las categorías de Coordinador/a “D” SPEN al nivel de la Coordinación “C” SPEN, así como las de Técnico/a “B1” SPEN, Técnico/a “C” SPEN y Técnico/a “D” SPEN a la categoría de Técnico/a “B” SPEN de conformidad con el considerando </w:t>
      </w:r>
      <w:r w:rsidR="00D25A08" w:rsidRPr="00E816AE">
        <w:rPr>
          <w:rFonts w:ascii="Arial" w:hAnsi="Arial" w:cs="Arial"/>
          <w:sz w:val="22"/>
          <w:szCs w:val="22"/>
        </w:rPr>
        <w:t>2.9</w:t>
      </w:r>
      <w:r w:rsidR="00EB4B88" w:rsidRPr="00E816AE">
        <w:rPr>
          <w:rFonts w:ascii="Arial" w:hAnsi="Arial" w:cs="Arial"/>
          <w:sz w:val="22"/>
          <w:szCs w:val="22"/>
        </w:rPr>
        <w:t xml:space="preserve"> del presente acuerdo y con efectos a partir del 16 de agosto del 2025.</w:t>
      </w:r>
    </w:p>
    <w:p w14:paraId="2EF7D67E" w14:textId="36FC1549" w:rsidR="00EB4B88" w:rsidRPr="00E816AE" w:rsidRDefault="00EB4B88" w:rsidP="00EB4B88">
      <w:pPr>
        <w:rPr>
          <w:rFonts w:ascii="Arial" w:hAnsi="Arial" w:cs="Arial"/>
          <w:sz w:val="22"/>
          <w:szCs w:val="22"/>
        </w:rPr>
      </w:pPr>
      <w:r w:rsidRPr="00E816AE">
        <w:rPr>
          <w:rFonts w:ascii="Arial" w:hAnsi="Arial" w:cs="Arial"/>
          <w:b/>
          <w:bCs/>
          <w:sz w:val="22"/>
          <w:szCs w:val="22"/>
        </w:rPr>
        <w:t>Segundo.</w:t>
      </w:r>
      <w:r w:rsidRPr="00E816AE">
        <w:rPr>
          <w:rFonts w:ascii="Arial" w:hAnsi="Arial" w:cs="Arial"/>
          <w:sz w:val="22"/>
          <w:szCs w:val="22"/>
        </w:rPr>
        <w:t xml:space="preserve"> Asimismo, se crea la categoría de Técnico “B” con adscripción a la Coordinación de lo Contencioso Electoral para su incorporación al Servicio Profesional del propio Instituto.  En consecuencia, hágase del conocimiento del Consejo Estatal para que, determine lo conducente.</w:t>
      </w:r>
    </w:p>
    <w:p w14:paraId="3D843505" w14:textId="008094AB" w:rsidR="00C33B23" w:rsidRPr="00E816AE" w:rsidRDefault="00EB4B88" w:rsidP="00926761">
      <w:pPr>
        <w:rPr>
          <w:rFonts w:ascii="Arial" w:hAnsi="Arial" w:cs="Arial"/>
          <w:sz w:val="22"/>
          <w:szCs w:val="22"/>
        </w:rPr>
      </w:pPr>
      <w:r w:rsidRPr="00E816AE">
        <w:rPr>
          <w:rFonts w:ascii="Arial" w:hAnsi="Arial" w:cs="Arial"/>
          <w:b/>
          <w:bCs/>
          <w:sz w:val="22"/>
          <w:szCs w:val="22"/>
        </w:rPr>
        <w:lastRenderedPageBreak/>
        <w:t>Tercero.</w:t>
      </w:r>
      <w:r w:rsidRPr="00E816AE">
        <w:rPr>
          <w:rFonts w:ascii="Arial" w:hAnsi="Arial" w:cs="Arial"/>
          <w:sz w:val="22"/>
          <w:szCs w:val="22"/>
        </w:rPr>
        <w:t xml:space="preserve"> </w:t>
      </w:r>
      <w:r w:rsidR="00C33B23" w:rsidRPr="00E816AE">
        <w:rPr>
          <w:rFonts w:ascii="Arial" w:hAnsi="Arial" w:cs="Arial"/>
          <w:sz w:val="22"/>
          <w:szCs w:val="22"/>
        </w:rPr>
        <w:t>Se instruye al Secretario Ejecutivo haga del conocimiento de la Presidencia de la Comisión Permanente de Seguimiento al Servicio Profesional Electoral Nacional del Instituto Electoral y de Participación Ciudadana de Tabasco, el contenido del presente acuerdo.</w:t>
      </w:r>
    </w:p>
    <w:p w14:paraId="5E6E5A47" w14:textId="73D9B2B2" w:rsidR="00C33B23" w:rsidRPr="00E816AE" w:rsidRDefault="00C33B23" w:rsidP="00C33B23">
      <w:pPr>
        <w:rPr>
          <w:rFonts w:ascii="Arial" w:hAnsi="Arial" w:cs="Arial"/>
          <w:sz w:val="22"/>
          <w:szCs w:val="22"/>
        </w:rPr>
      </w:pPr>
      <w:r w:rsidRPr="00E816AE">
        <w:rPr>
          <w:rFonts w:ascii="Arial" w:hAnsi="Arial" w:cs="Arial"/>
          <w:b/>
          <w:bCs/>
          <w:sz w:val="22"/>
          <w:szCs w:val="22"/>
        </w:rPr>
        <w:t xml:space="preserve">Cuarto. </w:t>
      </w:r>
      <w:r w:rsidRPr="00E816AE">
        <w:rPr>
          <w:rFonts w:ascii="Arial" w:hAnsi="Arial" w:cs="Arial"/>
          <w:sz w:val="22"/>
          <w:szCs w:val="22"/>
        </w:rPr>
        <w:t>Se instruye a la Dirección de Administración realice los trámites administrativos necesarios para dar cumplimiento al presente acuerdo y, en su oportunidad, actualice las categorías en el tabulador de sueldos del propio Instituto.</w:t>
      </w:r>
    </w:p>
    <w:p w14:paraId="17861243" w14:textId="5AE1B333" w:rsidR="00E37B2E" w:rsidRPr="00E816AE" w:rsidRDefault="00E37B2E" w:rsidP="00E37B2E">
      <w:pPr>
        <w:rPr>
          <w:rFonts w:ascii="Arial" w:hAnsi="Arial" w:cs="Arial"/>
          <w:sz w:val="22"/>
          <w:szCs w:val="22"/>
        </w:rPr>
      </w:pPr>
      <w:r w:rsidRPr="00E816AE">
        <w:rPr>
          <w:rFonts w:ascii="Arial" w:hAnsi="Arial" w:cs="Arial"/>
          <w:sz w:val="22"/>
          <w:szCs w:val="22"/>
        </w:rPr>
        <w:t xml:space="preserve">El presente acuerdo se aprobó en sesión </w:t>
      </w:r>
      <w:r w:rsidR="00E816AE">
        <w:rPr>
          <w:rFonts w:ascii="Arial" w:hAnsi="Arial" w:cs="Arial"/>
          <w:sz w:val="22"/>
          <w:szCs w:val="22"/>
        </w:rPr>
        <w:t>extraordinaria</w:t>
      </w:r>
      <w:r w:rsidRPr="00E816AE">
        <w:rPr>
          <w:rFonts w:ascii="Arial" w:hAnsi="Arial" w:cs="Arial"/>
          <w:sz w:val="22"/>
          <w:szCs w:val="22"/>
        </w:rPr>
        <w:t xml:space="preserve"> efectuada el </w:t>
      </w:r>
      <w:r w:rsidR="00E816AE">
        <w:rPr>
          <w:rFonts w:ascii="Arial" w:hAnsi="Arial" w:cs="Arial"/>
          <w:sz w:val="22"/>
          <w:szCs w:val="22"/>
        </w:rPr>
        <w:t>día nueve</w:t>
      </w:r>
      <w:r w:rsidRPr="00E816AE">
        <w:rPr>
          <w:rFonts w:ascii="Arial" w:hAnsi="Arial" w:cs="Arial"/>
          <w:sz w:val="22"/>
          <w:szCs w:val="22"/>
        </w:rPr>
        <w:t xml:space="preserve"> de </w:t>
      </w:r>
      <w:r w:rsidR="00E816AE">
        <w:rPr>
          <w:rFonts w:ascii="Arial" w:hAnsi="Arial" w:cs="Arial"/>
          <w:sz w:val="22"/>
          <w:szCs w:val="22"/>
        </w:rPr>
        <w:t>julio</w:t>
      </w:r>
      <w:r w:rsidRPr="00E816AE">
        <w:rPr>
          <w:rFonts w:ascii="Arial" w:hAnsi="Arial" w:cs="Arial"/>
          <w:sz w:val="22"/>
          <w:szCs w:val="22"/>
        </w:rPr>
        <w:t xml:space="preserve">  del año dos mil veinticinco, por votación </w:t>
      </w:r>
      <w:r w:rsidR="00E816AE">
        <w:rPr>
          <w:rFonts w:ascii="Arial" w:hAnsi="Arial" w:cs="Arial"/>
          <w:sz w:val="22"/>
          <w:szCs w:val="22"/>
        </w:rPr>
        <w:t>unánime</w:t>
      </w:r>
      <w:r w:rsidRPr="00E816AE">
        <w:rPr>
          <w:rFonts w:ascii="Arial" w:hAnsi="Arial" w:cs="Arial"/>
          <w:sz w:val="22"/>
          <w:szCs w:val="22"/>
        </w:rPr>
        <w:t xml:space="preserve"> de la y los integrantes de la Junta Estatal Ejecutiva del Instituto Electoral y de Participación Ciudadana de Tabasco: </w:t>
      </w:r>
      <w:r w:rsidR="00E816AE">
        <w:rPr>
          <w:rFonts w:ascii="Arial" w:hAnsi="Arial" w:cs="Arial"/>
          <w:sz w:val="22"/>
          <w:szCs w:val="22"/>
        </w:rPr>
        <w:t>Mtro</w:t>
      </w:r>
      <w:r w:rsidRPr="00E816AE">
        <w:rPr>
          <w:rFonts w:ascii="Arial" w:hAnsi="Arial" w:cs="Arial"/>
          <w:sz w:val="22"/>
          <w:szCs w:val="22"/>
        </w:rPr>
        <w:t>. Paul Alejandro González Torruco, Director de Administración; Lic. Ricardo Araiza González, Director de Organización Electoral y Educación Cívica, Lic. Jorge Alberto Zavala Frías, Secretario Ejecutivo y Mtra. Elizabeth Nava Gutiérrez, Presidenta de la Junta Estatal Ejecutiva.</w:t>
      </w:r>
    </w:p>
    <w:p w14:paraId="13AB13E1" w14:textId="77777777" w:rsidR="00432967" w:rsidRPr="00E816AE" w:rsidRDefault="00432967" w:rsidP="00E37B2E">
      <w:pPr>
        <w:rPr>
          <w:rFonts w:ascii="Arial" w:hAnsi="Arial" w:cs="Arial"/>
          <w:sz w:val="22"/>
          <w:szCs w:val="22"/>
        </w:rPr>
      </w:pPr>
    </w:p>
    <w:p w14:paraId="0D77524F" w14:textId="33915D18" w:rsidR="00E37B2E" w:rsidRDefault="00E37B2E" w:rsidP="00E37B2E">
      <w:pPr>
        <w:rPr>
          <w:rFonts w:ascii="Arial" w:hAnsi="Arial" w:cs="Arial"/>
          <w:sz w:val="22"/>
          <w:szCs w:val="22"/>
        </w:rPr>
      </w:pPr>
    </w:p>
    <w:p w14:paraId="6AAD229B" w14:textId="77777777" w:rsidR="00E816AE" w:rsidRPr="00E816AE" w:rsidRDefault="00E816AE" w:rsidP="00E37B2E">
      <w:pPr>
        <w:rPr>
          <w:rFonts w:ascii="Arial" w:hAnsi="Arial" w:cs="Arial"/>
          <w:sz w:val="22"/>
          <w:szCs w:val="22"/>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E37B2E" w:rsidRPr="00E816AE" w14:paraId="11C0F148" w14:textId="77777777" w:rsidTr="00A46B13">
        <w:tc>
          <w:tcPr>
            <w:tcW w:w="4395" w:type="dxa"/>
          </w:tcPr>
          <w:p w14:paraId="359D5C7E" w14:textId="77777777" w:rsidR="00E37B2E" w:rsidRPr="00E816AE" w:rsidRDefault="00E37B2E" w:rsidP="00A46B13">
            <w:pPr>
              <w:widowControl w:val="0"/>
              <w:spacing w:before="0" w:after="0"/>
              <w:jc w:val="center"/>
              <w:rPr>
                <w:rFonts w:ascii="Arial" w:hAnsi="Arial" w:cs="Arial"/>
                <w:b/>
                <w:spacing w:val="-10"/>
                <w:sz w:val="22"/>
                <w:szCs w:val="22"/>
              </w:rPr>
            </w:pPr>
            <w:r w:rsidRPr="00E816AE">
              <w:rPr>
                <w:rFonts w:ascii="Arial" w:hAnsi="Arial" w:cs="Arial"/>
                <w:b/>
                <w:spacing w:val="-10"/>
                <w:sz w:val="22"/>
                <w:szCs w:val="22"/>
              </w:rPr>
              <w:t>MTRA. ELIZABETH NAVA GUTIÉRREZ</w:t>
            </w:r>
          </w:p>
          <w:p w14:paraId="70F225A9" w14:textId="77777777" w:rsidR="00E37B2E" w:rsidRPr="00E816AE" w:rsidRDefault="00E37B2E" w:rsidP="00A46B13">
            <w:pPr>
              <w:widowControl w:val="0"/>
              <w:spacing w:before="0" w:after="0"/>
              <w:jc w:val="center"/>
              <w:rPr>
                <w:rFonts w:ascii="Arial" w:hAnsi="Arial" w:cs="Arial"/>
                <w:b/>
                <w:sz w:val="22"/>
                <w:szCs w:val="22"/>
              </w:rPr>
            </w:pPr>
            <w:r w:rsidRPr="00E816AE">
              <w:rPr>
                <w:rFonts w:ascii="Arial" w:hAnsi="Arial" w:cs="Arial"/>
                <w:b/>
                <w:spacing w:val="-10"/>
                <w:sz w:val="22"/>
                <w:szCs w:val="22"/>
              </w:rPr>
              <w:t>CONSEJERA PRESIDENTA</w:t>
            </w:r>
          </w:p>
        </w:tc>
        <w:tc>
          <w:tcPr>
            <w:tcW w:w="278" w:type="dxa"/>
          </w:tcPr>
          <w:p w14:paraId="149BC713" w14:textId="77777777" w:rsidR="00E37B2E" w:rsidRPr="00E816AE" w:rsidRDefault="00E37B2E" w:rsidP="00A46B13">
            <w:pPr>
              <w:widowControl w:val="0"/>
              <w:spacing w:before="0" w:after="0"/>
              <w:jc w:val="center"/>
              <w:rPr>
                <w:rFonts w:ascii="Arial" w:hAnsi="Arial" w:cs="Arial"/>
                <w:b/>
                <w:sz w:val="22"/>
                <w:szCs w:val="22"/>
              </w:rPr>
            </w:pPr>
          </w:p>
        </w:tc>
        <w:tc>
          <w:tcPr>
            <w:tcW w:w="4400" w:type="dxa"/>
          </w:tcPr>
          <w:p w14:paraId="3730CEFD" w14:textId="77777777" w:rsidR="00E37B2E" w:rsidRPr="00E816AE" w:rsidRDefault="00E37B2E" w:rsidP="00A46B13">
            <w:pPr>
              <w:widowControl w:val="0"/>
              <w:spacing w:before="0" w:after="0"/>
              <w:jc w:val="center"/>
              <w:rPr>
                <w:rFonts w:ascii="Arial" w:hAnsi="Arial" w:cs="Arial"/>
                <w:b/>
                <w:spacing w:val="-10"/>
                <w:sz w:val="22"/>
                <w:szCs w:val="22"/>
              </w:rPr>
            </w:pPr>
            <w:r w:rsidRPr="00E816AE">
              <w:rPr>
                <w:rFonts w:ascii="Arial" w:hAnsi="Arial" w:cs="Arial"/>
                <w:b/>
                <w:spacing w:val="-10"/>
                <w:sz w:val="22"/>
                <w:szCs w:val="22"/>
              </w:rPr>
              <w:t>LIC. JORGE ALBERTO ZAVALA FRÍAS</w:t>
            </w:r>
          </w:p>
          <w:p w14:paraId="66818465" w14:textId="77777777" w:rsidR="00E37B2E" w:rsidRPr="00E816AE" w:rsidRDefault="00E37B2E" w:rsidP="00A46B13">
            <w:pPr>
              <w:widowControl w:val="0"/>
              <w:spacing w:before="0" w:after="0"/>
              <w:jc w:val="center"/>
              <w:rPr>
                <w:rFonts w:ascii="Arial" w:hAnsi="Arial" w:cs="Arial"/>
                <w:b/>
                <w:sz w:val="22"/>
                <w:szCs w:val="22"/>
              </w:rPr>
            </w:pPr>
            <w:r w:rsidRPr="00E816AE">
              <w:rPr>
                <w:rFonts w:ascii="Arial" w:hAnsi="Arial" w:cs="Arial"/>
                <w:b/>
                <w:spacing w:val="-10"/>
                <w:sz w:val="22"/>
                <w:szCs w:val="22"/>
              </w:rPr>
              <w:t>SECRETARIO EJECUTIVO</w:t>
            </w:r>
          </w:p>
        </w:tc>
      </w:tr>
    </w:tbl>
    <w:p w14:paraId="408DB5D9" w14:textId="77777777" w:rsidR="00E37B2E" w:rsidRPr="00E816AE" w:rsidRDefault="00E37B2E" w:rsidP="00926761">
      <w:pPr>
        <w:rPr>
          <w:rFonts w:ascii="Arial" w:hAnsi="Arial" w:cs="Arial"/>
          <w:sz w:val="22"/>
          <w:szCs w:val="22"/>
        </w:rPr>
      </w:pPr>
    </w:p>
    <w:sectPr w:rsidR="00E37B2E" w:rsidRPr="00E816AE" w:rsidSect="00E816AE">
      <w:headerReference w:type="default" r:id="rId7"/>
      <w:footerReference w:type="default" r:id="rId8"/>
      <w:pgSz w:w="12240" w:h="15840" w:code="1"/>
      <w:pgMar w:top="2835" w:right="1892"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4BA73" w14:textId="77777777" w:rsidR="00C316B2" w:rsidRDefault="00C316B2" w:rsidP="00E37B2E">
      <w:pPr>
        <w:spacing w:before="0" w:after="0" w:line="240" w:lineRule="auto"/>
      </w:pPr>
      <w:r>
        <w:separator/>
      </w:r>
    </w:p>
  </w:endnote>
  <w:endnote w:type="continuationSeparator" w:id="0">
    <w:p w14:paraId="08BAB313" w14:textId="77777777" w:rsidR="00C316B2" w:rsidRDefault="00C316B2" w:rsidP="00E37B2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1" w:fontKey="{F0087922-8FA6-4EE3-AD79-D2819B5A23B9}"/>
    <w:embedBold r:id="rId2" w:fontKey="{743CAF30-C13B-4355-B471-A0FF6042CE7C}"/>
    <w:embedItalic r:id="rId3" w:fontKey="{4C5A8B24-6232-42ED-98C4-C9DF1E0AEFF0}"/>
  </w:font>
  <w:font w:name="Exo">
    <w:altName w:val="Times New Roman"/>
    <w:charset w:val="00"/>
    <w:family w:val="auto"/>
    <w:pitch w:val="variable"/>
    <w:sig w:usb0="A00000FF" w:usb1="4000204B" w:usb2="00000000" w:usb3="00000000" w:csb0="00000193" w:csb1="00000000"/>
    <w:embedRegular r:id="rId4" w:fontKey="{A79D63E8-BB02-491B-BB90-44594E224D42}"/>
    <w:embedBold r:id="rId5" w:fontKey="{D27FE393-469B-477B-A685-3A9EA9592401}"/>
    <w:embedItalic r:id="rId6" w:fontKey="{E7638893-B91E-4DDA-8530-A9DC9BF363B6}"/>
  </w:font>
  <w:font w:name="Aptos Display">
    <w:charset w:val="00"/>
    <w:family w:val="swiss"/>
    <w:pitch w:val="variable"/>
    <w:sig w:usb0="20000287" w:usb1="00000003" w:usb2="00000000" w:usb3="00000000" w:csb0="0000019F" w:csb1="00000000"/>
    <w:embedRegular r:id="rId7" w:fontKey="{B899BFC2-985C-46CE-A58B-1B4FF886C7A7}"/>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93366"/>
        <w:sz w:val="20"/>
        <w:szCs w:val="20"/>
      </w:rPr>
      <w:id w:val="-174041397"/>
      <w:docPartObj>
        <w:docPartGallery w:val="Page Numbers (Top of Page)"/>
        <w:docPartUnique/>
      </w:docPartObj>
    </w:sdtPr>
    <w:sdtEndPr>
      <w:rPr>
        <w:rFonts w:ascii="Arial" w:hAnsi="Arial" w:cs="Arial"/>
      </w:rPr>
    </w:sdtEndPr>
    <w:sdtContent>
      <w:p w14:paraId="0357F822" w14:textId="59798B32" w:rsidR="00E37B2E" w:rsidRPr="00E816AE" w:rsidRDefault="00E37B2E" w:rsidP="00E37B2E">
        <w:pPr>
          <w:pStyle w:val="Piedepgina"/>
          <w:spacing w:before="120"/>
          <w:jc w:val="right"/>
          <w:rPr>
            <w:rFonts w:ascii="Arial" w:hAnsi="Arial" w:cs="Arial"/>
            <w:color w:val="993366"/>
            <w:sz w:val="20"/>
            <w:szCs w:val="20"/>
          </w:rPr>
        </w:pPr>
        <w:r w:rsidRPr="00E816AE">
          <w:rPr>
            <w:rFonts w:ascii="Arial" w:hAnsi="Arial" w:cs="Arial"/>
            <w:b/>
            <w:bCs/>
            <w:color w:val="993366"/>
          </w:rPr>
          <w:t xml:space="preserve">Página </w:t>
        </w:r>
        <w:r w:rsidRPr="00E816AE">
          <w:rPr>
            <w:rFonts w:ascii="Arial" w:hAnsi="Arial" w:cs="Arial"/>
            <w:b/>
            <w:bCs/>
            <w:color w:val="993366"/>
          </w:rPr>
          <w:fldChar w:fldCharType="begin"/>
        </w:r>
        <w:r w:rsidRPr="00E816AE">
          <w:rPr>
            <w:rFonts w:ascii="Arial" w:hAnsi="Arial" w:cs="Arial"/>
            <w:b/>
            <w:bCs/>
            <w:color w:val="993366"/>
          </w:rPr>
          <w:instrText>PAGE</w:instrText>
        </w:r>
        <w:r w:rsidRPr="00E816AE">
          <w:rPr>
            <w:rFonts w:ascii="Arial" w:hAnsi="Arial" w:cs="Arial"/>
            <w:b/>
            <w:bCs/>
            <w:color w:val="993366"/>
          </w:rPr>
          <w:fldChar w:fldCharType="separate"/>
        </w:r>
        <w:r w:rsidR="0003796F">
          <w:rPr>
            <w:rFonts w:ascii="Arial" w:hAnsi="Arial" w:cs="Arial"/>
            <w:b/>
            <w:bCs/>
            <w:noProof/>
            <w:color w:val="993366"/>
          </w:rPr>
          <w:t>13</w:t>
        </w:r>
        <w:r w:rsidRPr="00E816AE">
          <w:rPr>
            <w:rFonts w:ascii="Arial" w:hAnsi="Arial" w:cs="Arial"/>
            <w:b/>
            <w:bCs/>
            <w:color w:val="993366"/>
          </w:rPr>
          <w:fldChar w:fldCharType="end"/>
        </w:r>
        <w:r w:rsidRPr="00E816AE">
          <w:rPr>
            <w:rFonts w:ascii="Arial" w:hAnsi="Arial" w:cs="Arial"/>
            <w:b/>
            <w:bCs/>
            <w:color w:val="993366"/>
          </w:rPr>
          <w:t xml:space="preserve"> | </w:t>
        </w:r>
        <w:r w:rsidRPr="00E816AE">
          <w:rPr>
            <w:rFonts w:ascii="Arial" w:hAnsi="Arial" w:cs="Arial"/>
            <w:b/>
            <w:bCs/>
            <w:color w:val="993366"/>
          </w:rPr>
          <w:fldChar w:fldCharType="begin"/>
        </w:r>
        <w:r w:rsidRPr="00E816AE">
          <w:rPr>
            <w:rFonts w:ascii="Arial" w:hAnsi="Arial" w:cs="Arial"/>
            <w:b/>
            <w:bCs/>
            <w:color w:val="993366"/>
          </w:rPr>
          <w:instrText>NUMPAGES</w:instrText>
        </w:r>
        <w:r w:rsidRPr="00E816AE">
          <w:rPr>
            <w:rFonts w:ascii="Arial" w:hAnsi="Arial" w:cs="Arial"/>
            <w:b/>
            <w:bCs/>
            <w:color w:val="993366"/>
          </w:rPr>
          <w:fldChar w:fldCharType="separate"/>
        </w:r>
        <w:r w:rsidR="0003796F">
          <w:rPr>
            <w:rFonts w:ascii="Arial" w:hAnsi="Arial" w:cs="Arial"/>
            <w:b/>
            <w:bCs/>
            <w:noProof/>
            <w:color w:val="993366"/>
          </w:rPr>
          <w:t>13</w:t>
        </w:r>
        <w:r w:rsidRPr="00E816AE">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69A96" w14:textId="77777777" w:rsidR="00C316B2" w:rsidRDefault="00C316B2" w:rsidP="00E37B2E">
      <w:pPr>
        <w:spacing w:before="0" w:after="0" w:line="240" w:lineRule="auto"/>
      </w:pPr>
      <w:r>
        <w:separator/>
      </w:r>
    </w:p>
  </w:footnote>
  <w:footnote w:type="continuationSeparator" w:id="0">
    <w:p w14:paraId="6AEFADCE" w14:textId="77777777" w:rsidR="00C316B2" w:rsidRDefault="00C316B2" w:rsidP="00E37B2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50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843"/>
    </w:tblGrid>
    <w:tr w:rsidR="00054EEF" w:rsidRPr="005E43CB" w14:paraId="3DECC83E" w14:textId="77777777" w:rsidTr="00A46B13">
      <w:tc>
        <w:tcPr>
          <w:tcW w:w="1418" w:type="dxa"/>
        </w:tcPr>
        <w:p w14:paraId="6492D206" w14:textId="77777777" w:rsidR="00054EEF" w:rsidRPr="005E43CB" w:rsidRDefault="00054EEF" w:rsidP="00054EEF">
          <w:pPr>
            <w:pStyle w:val="Encabezado"/>
            <w:ind w:left="-170"/>
            <w:jc w:val="left"/>
          </w:pPr>
          <w:r w:rsidRPr="005E43CB">
            <w:rPr>
              <w:b/>
              <w:noProof/>
              <w:sz w:val="32"/>
              <w:lang w:val="es-MX" w:eastAsia="es-MX"/>
            </w:rPr>
            <w:drawing>
              <wp:inline distT="0" distB="0" distL="0" distR="0" wp14:anchorId="3FCAC5C5" wp14:editId="6111F44D">
                <wp:extent cx="1014331" cy="1199403"/>
                <wp:effectExtent l="0" t="0" r="0" b="1270"/>
                <wp:docPr id="7" name="Imagen 7" descr="Dibujo animado de un animal con la boca abiert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620323" name="Imagen 1569620323" descr="Dibujo animado de un animal con la boca abierta&#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6F9016D4" w14:textId="77777777" w:rsidR="00054EEF" w:rsidRPr="00E816AE" w:rsidRDefault="00054EEF" w:rsidP="00054EEF">
          <w:pPr>
            <w:pStyle w:val="Encabezado"/>
            <w:spacing w:before="720"/>
            <w:jc w:val="center"/>
            <w:rPr>
              <w:rFonts w:ascii="Arial" w:hAnsi="Arial" w:cs="Arial"/>
              <w:b/>
              <w:bCs/>
              <w:sz w:val="25"/>
              <w:szCs w:val="25"/>
            </w:rPr>
          </w:pPr>
          <w:r w:rsidRPr="00E816AE">
            <w:rPr>
              <w:rFonts w:ascii="Arial" w:hAnsi="Arial" w:cs="Arial"/>
              <w:b/>
              <w:bCs/>
              <w:sz w:val="25"/>
              <w:szCs w:val="25"/>
            </w:rPr>
            <w:t>INSTITUTO ELECTORAL Y DE PARTICIPACIÓN CIUDADANA DE TABASCO</w:t>
          </w:r>
        </w:p>
        <w:p w14:paraId="05C8BD61" w14:textId="77777777" w:rsidR="00054EEF" w:rsidRPr="005E43CB" w:rsidRDefault="00054EEF" w:rsidP="00054EEF">
          <w:pPr>
            <w:pStyle w:val="Encabezado"/>
            <w:jc w:val="center"/>
            <w:rPr>
              <w:sz w:val="25"/>
              <w:szCs w:val="25"/>
            </w:rPr>
          </w:pPr>
          <w:r w:rsidRPr="00E816AE">
            <w:rPr>
              <w:rFonts w:ascii="Arial" w:hAnsi="Arial" w:cs="Arial"/>
              <w:sz w:val="25"/>
              <w:szCs w:val="25"/>
            </w:rPr>
            <w:t>JUNTA ESTATAL EJECUTIVA</w:t>
          </w:r>
        </w:p>
      </w:tc>
      <w:tc>
        <w:tcPr>
          <w:tcW w:w="1843" w:type="dxa"/>
        </w:tcPr>
        <w:p w14:paraId="0115D72F" w14:textId="77777777" w:rsidR="00054EEF" w:rsidRPr="005E43CB" w:rsidRDefault="00054EEF" w:rsidP="00054EEF">
          <w:pPr>
            <w:pStyle w:val="Encabezado"/>
            <w:spacing w:before="480"/>
          </w:pPr>
          <w:r>
            <w:rPr>
              <w:noProof/>
              <w:lang w:val="es-MX" w:eastAsia="es-MX"/>
            </w:rPr>
            <w:drawing>
              <wp:inline distT="0" distB="0" distL="0" distR="0" wp14:anchorId="08D610BB" wp14:editId="174C98D9">
                <wp:extent cx="942975" cy="774065"/>
                <wp:effectExtent l="0" t="0" r="9525" b="6985"/>
                <wp:docPr id="8" name="Imagen 8" descr="Logotipo, 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107626" name="Imagen 1830107626" descr="Logotipo, Icono&#10;&#10;El contenido generado por IA puede ser incorrecto."/>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2975" cy="774065"/>
                        </a:xfrm>
                        <a:prstGeom prst="rect">
                          <a:avLst/>
                        </a:prstGeom>
                      </pic:spPr>
                    </pic:pic>
                  </a:graphicData>
                </a:graphic>
              </wp:inline>
            </w:drawing>
          </w:r>
        </w:p>
      </w:tc>
    </w:tr>
  </w:tbl>
  <w:p w14:paraId="0A979B98" w14:textId="23AF82B0" w:rsidR="00054EEF" w:rsidRPr="00526DA2" w:rsidRDefault="00526DA2" w:rsidP="00526DA2">
    <w:pPr>
      <w:pStyle w:val="Encabezado"/>
      <w:jc w:val="right"/>
      <w:rPr>
        <w:rFonts w:ascii="Arial" w:hAnsi="Arial" w:cs="Arial"/>
        <w:b/>
      </w:rPr>
    </w:pPr>
    <w:proofErr w:type="spellStart"/>
    <w:r w:rsidRPr="00526DA2">
      <w:rPr>
        <w:rFonts w:ascii="Arial" w:hAnsi="Arial" w:cs="Arial"/>
        <w:b/>
      </w:rPr>
      <w:t>JEE</w:t>
    </w:r>
    <w:proofErr w:type="spellEnd"/>
    <w:r w:rsidRPr="00526DA2">
      <w:rPr>
        <w:rFonts w:ascii="Arial" w:hAnsi="Arial" w:cs="Arial"/>
        <w:b/>
      </w:rPr>
      <w:t>/2025/026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41B58"/>
    <w:multiLevelType w:val="hybridMultilevel"/>
    <w:tmpl w:val="894EDFAC"/>
    <w:lvl w:ilvl="0" w:tplc="15606F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CE698E"/>
    <w:multiLevelType w:val="hybridMultilevel"/>
    <w:tmpl w:val="B80C16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3C75CD"/>
    <w:multiLevelType w:val="hybridMultilevel"/>
    <w:tmpl w:val="354C35CC"/>
    <w:lvl w:ilvl="0" w:tplc="986CE0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72631C"/>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55E90D77"/>
    <w:multiLevelType w:val="hybridMultilevel"/>
    <w:tmpl w:val="794607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96E2010"/>
    <w:multiLevelType w:val="hybridMultilevel"/>
    <w:tmpl w:val="3724A76E"/>
    <w:lvl w:ilvl="0" w:tplc="15606F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6F3389C"/>
    <w:multiLevelType w:val="hybridMultilevel"/>
    <w:tmpl w:val="CD524E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TrueType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F67"/>
    <w:rsid w:val="000076F2"/>
    <w:rsid w:val="0003796F"/>
    <w:rsid w:val="00054EEF"/>
    <w:rsid w:val="000A3D20"/>
    <w:rsid w:val="001114D7"/>
    <w:rsid w:val="00116EE9"/>
    <w:rsid w:val="0014024E"/>
    <w:rsid w:val="00184592"/>
    <w:rsid w:val="001E232A"/>
    <w:rsid w:val="00201A5D"/>
    <w:rsid w:val="00290047"/>
    <w:rsid w:val="002C3F67"/>
    <w:rsid w:val="0031248E"/>
    <w:rsid w:val="00331ECD"/>
    <w:rsid w:val="00384B64"/>
    <w:rsid w:val="003E787C"/>
    <w:rsid w:val="00432967"/>
    <w:rsid w:val="0046224D"/>
    <w:rsid w:val="00496AB2"/>
    <w:rsid w:val="004D18A0"/>
    <w:rsid w:val="004D6129"/>
    <w:rsid w:val="004E230C"/>
    <w:rsid w:val="00526DA2"/>
    <w:rsid w:val="00535213"/>
    <w:rsid w:val="00593DEE"/>
    <w:rsid w:val="00605C1C"/>
    <w:rsid w:val="006279C0"/>
    <w:rsid w:val="00696143"/>
    <w:rsid w:val="007745BF"/>
    <w:rsid w:val="007A51FC"/>
    <w:rsid w:val="007C3475"/>
    <w:rsid w:val="007F261D"/>
    <w:rsid w:val="00835067"/>
    <w:rsid w:val="00873A5F"/>
    <w:rsid w:val="00874ED4"/>
    <w:rsid w:val="00926761"/>
    <w:rsid w:val="00937118"/>
    <w:rsid w:val="00947C48"/>
    <w:rsid w:val="00947F73"/>
    <w:rsid w:val="00966026"/>
    <w:rsid w:val="009D0DC2"/>
    <w:rsid w:val="009D19E0"/>
    <w:rsid w:val="00A367FD"/>
    <w:rsid w:val="00A4174B"/>
    <w:rsid w:val="00A46485"/>
    <w:rsid w:val="00A95AFB"/>
    <w:rsid w:val="00AC30A9"/>
    <w:rsid w:val="00B213CB"/>
    <w:rsid w:val="00B561BB"/>
    <w:rsid w:val="00B570D5"/>
    <w:rsid w:val="00B86F11"/>
    <w:rsid w:val="00BA7579"/>
    <w:rsid w:val="00C24A03"/>
    <w:rsid w:val="00C272F0"/>
    <w:rsid w:val="00C316B2"/>
    <w:rsid w:val="00C33B23"/>
    <w:rsid w:val="00CB6E06"/>
    <w:rsid w:val="00D1264D"/>
    <w:rsid w:val="00D25A08"/>
    <w:rsid w:val="00D55B33"/>
    <w:rsid w:val="00D83821"/>
    <w:rsid w:val="00D90BAC"/>
    <w:rsid w:val="00DA2310"/>
    <w:rsid w:val="00DA6BBB"/>
    <w:rsid w:val="00DE7812"/>
    <w:rsid w:val="00DF5051"/>
    <w:rsid w:val="00E205C8"/>
    <w:rsid w:val="00E37B2E"/>
    <w:rsid w:val="00E66A7A"/>
    <w:rsid w:val="00E7759C"/>
    <w:rsid w:val="00E816AE"/>
    <w:rsid w:val="00EB4B88"/>
    <w:rsid w:val="00EC6B2F"/>
    <w:rsid w:val="00ED58B1"/>
    <w:rsid w:val="00F006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3881E"/>
  <w15:chartTrackingRefBased/>
  <w15:docId w15:val="{73C11B69-207C-4F8B-8932-5350C3191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F67"/>
    <w:pPr>
      <w:spacing w:before="240" w:after="240" w:line="276" w:lineRule="auto"/>
      <w:jc w:val="both"/>
    </w:pPr>
    <w:rPr>
      <w:rFonts w:ascii="Exo" w:hAnsi="Exo"/>
      <w:lang w:val="es-ES"/>
    </w:rPr>
  </w:style>
  <w:style w:type="paragraph" w:styleId="Ttulo1">
    <w:name w:val="heading 1"/>
    <w:basedOn w:val="Normal"/>
    <w:next w:val="Normal"/>
    <w:link w:val="Ttulo1Car"/>
    <w:uiPriority w:val="9"/>
    <w:qFormat/>
    <w:rsid w:val="002C3F67"/>
    <w:pPr>
      <w:numPr>
        <w:numId w:val="7"/>
      </w:numPr>
      <w:spacing w:before="600" w:after="360"/>
      <w:jc w:val="center"/>
      <w:outlineLvl w:val="0"/>
    </w:pPr>
    <w:rPr>
      <w:b/>
      <w:bCs/>
      <w:sz w:val="28"/>
      <w:szCs w:val="28"/>
    </w:rPr>
  </w:style>
  <w:style w:type="paragraph" w:styleId="Ttulo2">
    <w:name w:val="heading 2"/>
    <w:basedOn w:val="Normal"/>
    <w:next w:val="Normal"/>
    <w:link w:val="Ttulo2Car"/>
    <w:uiPriority w:val="9"/>
    <w:unhideWhenUsed/>
    <w:qFormat/>
    <w:rsid w:val="00D55B33"/>
    <w:pPr>
      <w:numPr>
        <w:ilvl w:val="1"/>
        <w:numId w:val="7"/>
      </w:numPr>
      <w:spacing w:before="480"/>
      <w:outlineLvl w:val="1"/>
    </w:pPr>
    <w:rPr>
      <w:b/>
      <w:bCs/>
    </w:rPr>
  </w:style>
  <w:style w:type="paragraph" w:styleId="Ttulo3">
    <w:name w:val="heading 3"/>
    <w:basedOn w:val="Normal"/>
    <w:next w:val="Normal"/>
    <w:link w:val="Ttulo3Car"/>
    <w:uiPriority w:val="9"/>
    <w:semiHidden/>
    <w:unhideWhenUsed/>
    <w:qFormat/>
    <w:rsid w:val="002C3F67"/>
    <w:pPr>
      <w:keepNext/>
      <w:keepLines/>
      <w:numPr>
        <w:ilvl w:val="2"/>
        <w:numId w:val="7"/>
      </w:numPr>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C3F67"/>
    <w:pPr>
      <w:keepNext/>
      <w:keepLines/>
      <w:numPr>
        <w:ilvl w:val="3"/>
        <w:numId w:val="7"/>
      </w:numPr>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C3F67"/>
    <w:pPr>
      <w:keepNext/>
      <w:keepLines/>
      <w:numPr>
        <w:ilvl w:val="4"/>
        <w:numId w:val="7"/>
      </w:numPr>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C3F67"/>
    <w:pPr>
      <w:keepNext/>
      <w:keepLines/>
      <w:numPr>
        <w:ilvl w:val="5"/>
        <w:numId w:val="7"/>
      </w:numPr>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C3F67"/>
    <w:pPr>
      <w:keepNext/>
      <w:keepLines/>
      <w:numPr>
        <w:ilvl w:val="6"/>
        <w:numId w:val="7"/>
      </w:numPr>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C3F67"/>
    <w:pPr>
      <w:keepNext/>
      <w:keepLines/>
      <w:numPr>
        <w:ilvl w:val="7"/>
        <w:numId w:val="7"/>
      </w:numPr>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C3F67"/>
    <w:pPr>
      <w:keepNext/>
      <w:keepLines/>
      <w:numPr>
        <w:ilvl w:val="8"/>
        <w:numId w:val="7"/>
      </w:numPr>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3F67"/>
    <w:rPr>
      <w:rFonts w:ascii="Exo" w:hAnsi="Exo"/>
      <w:b/>
      <w:bCs/>
      <w:sz w:val="28"/>
      <w:szCs w:val="28"/>
      <w:lang w:val="es-ES"/>
    </w:rPr>
  </w:style>
  <w:style w:type="character" w:customStyle="1" w:styleId="Ttulo2Car">
    <w:name w:val="Título 2 Car"/>
    <w:basedOn w:val="Fuentedeprrafopredeter"/>
    <w:link w:val="Ttulo2"/>
    <w:uiPriority w:val="9"/>
    <w:rsid w:val="00D55B33"/>
    <w:rPr>
      <w:rFonts w:ascii="Exo" w:hAnsi="Exo"/>
      <w:b/>
      <w:bCs/>
      <w:lang w:val="es-ES"/>
    </w:rPr>
  </w:style>
  <w:style w:type="character" w:customStyle="1" w:styleId="Ttulo3Car">
    <w:name w:val="Título 3 Car"/>
    <w:basedOn w:val="Fuentedeprrafopredeter"/>
    <w:link w:val="Ttulo3"/>
    <w:uiPriority w:val="9"/>
    <w:semiHidden/>
    <w:rsid w:val="002C3F6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C3F6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C3F6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C3F6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C3F6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C3F6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C3F67"/>
    <w:rPr>
      <w:rFonts w:eastAsiaTheme="majorEastAsia" w:cstheme="majorBidi"/>
      <w:color w:val="272727" w:themeColor="text1" w:themeTint="D8"/>
    </w:rPr>
  </w:style>
  <w:style w:type="paragraph" w:styleId="Ttulo">
    <w:name w:val="Title"/>
    <w:basedOn w:val="Normal"/>
    <w:next w:val="Normal"/>
    <w:link w:val="TtuloCar"/>
    <w:uiPriority w:val="10"/>
    <w:qFormat/>
    <w:rsid w:val="002C3F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C3F6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C3F6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C3F6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C3F67"/>
    <w:pPr>
      <w:spacing w:before="160"/>
      <w:jc w:val="center"/>
    </w:pPr>
    <w:rPr>
      <w:i/>
      <w:iCs/>
      <w:color w:val="404040" w:themeColor="text1" w:themeTint="BF"/>
    </w:rPr>
  </w:style>
  <w:style w:type="character" w:customStyle="1" w:styleId="CitaCar">
    <w:name w:val="Cita Car"/>
    <w:basedOn w:val="Fuentedeprrafopredeter"/>
    <w:link w:val="Cita"/>
    <w:uiPriority w:val="29"/>
    <w:rsid w:val="002C3F67"/>
    <w:rPr>
      <w:i/>
      <w:iCs/>
      <w:color w:val="404040" w:themeColor="text1" w:themeTint="BF"/>
    </w:rPr>
  </w:style>
  <w:style w:type="paragraph" w:styleId="Prrafodelista">
    <w:name w:val="List Paragraph"/>
    <w:basedOn w:val="Normal"/>
    <w:uiPriority w:val="34"/>
    <w:qFormat/>
    <w:rsid w:val="002C3F67"/>
    <w:pPr>
      <w:ind w:left="720"/>
      <w:contextualSpacing/>
    </w:pPr>
  </w:style>
  <w:style w:type="character" w:styleId="nfasisintenso">
    <w:name w:val="Intense Emphasis"/>
    <w:basedOn w:val="Fuentedeprrafopredeter"/>
    <w:uiPriority w:val="21"/>
    <w:qFormat/>
    <w:rsid w:val="002C3F67"/>
    <w:rPr>
      <w:i/>
      <w:iCs/>
      <w:color w:val="0F4761" w:themeColor="accent1" w:themeShade="BF"/>
    </w:rPr>
  </w:style>
  <w:style w:type="paragraph" w:styleId="Citadestacada">
    <w:name w:val="Intense Quote"/>
    <w:basedOn w:val="Normal"/>
    <w:next w:val="Normal"/>
    <w:link w:val="CitadestacadaCar"/>
    <w:uiPriority w:val="30"/>
    <w:qFormat/>
    <w:rsid w:val="002C3F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C3F67"/>
    <w:rPr>
      <w:i/>
      <w:iCs/>
      <w:color w:val="0F4761" w:themeColor="accent1" w:themeShade="BF"/>
    </w:rPr>
  </w:style>
  <w:style w:type="character" w:styleId="Referenciaintensa">
    <w:name w:val="Intense Reference"/>
    <w:basedOn w:val="Fuentedeprrafopredeter"/>
    <w:uiPriority w:val="32"/>
    <w:qFormat/>
    <w:rsid w:val="002C3F67"/>
    <w:rPr>
      <w:b/>
      <w:bCs/>
      <w:smallCaps/>
      <w:color w:val="0F4761" w:themeColor="accent1" w:themeShade="BF"/>
      <w:spacing w:val="5"/>
    </w:rPr>
  </w:style>
  <w:style w:type="table" w:styleId="Tablaconcuadrcula">
    <w:name w:val="Table Grid"/>
    <w:basedOn w:val="Tablanormal"/>
    <w:uiPriority w:val="39"/>
    <w:rsid w:val="00CB6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37B2E"/>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E37B2E"/>
    <w:rPr>
      <w:rFonts w:ascii="Exo" w:hAnsi="Exo"/>
      <w:lang w:val="es-ES"/>
    </w:rPr>
  </w:style>
  <w:style w:type="paragraph" w:styleId="Piedepgina">
    <w:name w:val="footer"/>
    <w:basedOn w:val="Normal"/>
    <w:link w:val="PiedepginaCar"/>
    <w:uiPriority w:val="99"/>
    <w:unhideWhenUsed/>
    <w:rsid w:val="00E37B2E"/>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E37B2E"/>
    <w:rPr>
      <w:rFonts w:ascii="Exo" w:hAnsi="Ex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237</TotalTime>
  <Pages>13</Pages>
  <Words>3819</Words>
  <Characters>21008</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91</cp:revision>
  <dcterms:created xsi:type="dcterms:W3CDTF">2025-07-07T16:56:00Z</dcterms:created>
  <dcterms:modified xsi:type="dcterms:W3CDTF">2025-07-09T15:59:00Z</dcterms:modified>
</cp:coreProperties>
</file>