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DC" w:rsidRDefault="00792110" w:rsidP="003D47DC">
      <w:pPr>
        <w:spacing w:before="240" w:after="240" w:line="276" w:lineRule="auto"/>
        <w:jc w:val="both"/>
        <w:rPr>
          <w:rFonts w:ascii="Arial" w:hAnsi="Arial" w:cs="Arial"/>
          <w:b/>
          <w:sz w:val="24"/>
          <w:szCs w:val="24"/>
        </w:rPr>
      </w:pPr>
      <w:r w:rsidRPr="00792110">
        <w:rPr>
          <w:rFonts w:ascii="Arial" w:hAnsi="Arial" w:cs="Arial"/>
          <w:b/>
          <w:sz w:val="24"/>
          <w:szCs w:val="24"/>
        </w:rPr>
        <w:t>ACUERDO QUE, A PROPUESTA DE LA SECRETARIA EJECUTIVA, EMITE LA JUNTA ESTATAL EJECUTIVA DEL INSTITUTO ELECTORAL Y DE PARTICIPACIÓN CIUDADANA DE TABASCO, MEDIANTE EL CUAL SE DETERMINA EL MONTO CORRESPONDIENTE AL FONDO FIJO O REVOLVENTE PARA EL DESARROLLO DE LAS FUNCIONES DE LAS JUNTAS ELECTORALES DISTRITALES DEL PROPIO INSTITUTO, CON MOTIVO DEL PROCESO ELECTORAL LOCAL ORDINARIO 2023-2024</w:t>
      </w:r>
    </w:p>
    <w:p w:rsidR="00792110" w:rsidRPr="00792110" w:rsidRDefault="00792110" w:rsidP="003D47DC">
      <w:pPr>
        <w:spacing w:before="240" w:after="240" w:line="276" w:lineRule="auto"/>
        <w:jc w:val="both"/>
        <w:rPr>
          <w:rFonts w:ascii="Arial" w:hAnsi="Arial" w:cs="Arial"/>
          <w:b/>
          <w:sz w:val="24"/>
          <w:szCs w:val="24"/>
        </w:rPr>
      </w:pPr>
    </w:p>
    <w:p w:rsidR="0051289A" w:rsidRDefault="0051289A" w:rsidP="008B70F6">
      <w:pPr>
        <w:spacing w:before="240" w:after="240" w:line="276" w:lineRule="auto"/>
        <w:jc w:val="both"/>
        <w:rPr>
          <w:rFonts w:ascii="Arial" w:hAnsi="Arial" w:cs="Arial"/>
          <w:sz w:val="23"/>
          <w:szCs w:val="23"/>
        </w:rPr>
      </w:pPr>
      <w:r w:rsidRPr="00792110">
        <w:rPr>
          <w:rFonts w:ascii="Arial" w:hAnsi="Arial" w:cs="Arial"/>
          <w:sz w:val="23"/>
          <w:szCs w:val="23"/>
        </w:rPr>
        <w:t>Para efectos del presente acuerdo se usarán las abreviaturas y definiciones siguientes:</w:t>
      </w:r>
    </w:p>
    <w:p w:rsidR="00792110" w:rsidRPr="00792110" w:rsidRDefault="00792110" w:rsidP="008B70F6">
      <w:pPr>
        <w:spacing w:before="240" w:after="240" w:line="276" w:lineRule="auto"/>
        <w:jc w:val="both"/>
        <w:rPr>
          <w:rFonts w:ascii="Arial" w:hAnsi="Arial" w:cs="Arial"/>
          <w:sz w:val="23"/>
          <w:szCs w:val="23"/>
        </w:rPr>
      </w:pP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51289A" w:rsidRPr="00A824B1" w:rsidTr="00393D47">
        <w:trPr>
          <w:jc w:val="center"/>
        </w:trPr>
        <w:tc>
          <w:tcPr>
            <w:tcW w:w="2664" w:type="dxa"/>
            <w:vAlign w:val="center"/>
          </w:tcPr>
          <w:p w:rsidR="0051289A" w:rsidRPr="00792110" w:rsidRDefault="0051289A" w:rsidP="0051289A">
            <w:pPr>
              <w:spacing w:before="60" w:after="60" w:line="264" w:lineRule="auto"/>
              <w:jc w:val="right"/>
              <w:rPr>
                <w:rFonts w:ascii="Exo" w:hAnsi="Exo"/>
                <w:b/>
                <w:sz w:val="20"/>
                <w:szCs w:val="20"/>
              </w:rPr>
            </w:pPr>
            <w:r w:rsidRPr="00792110">
              <w:rPr>
                <w:rFonts w:ascii="Exo" w:hAnsi="Exo"/>
                <w:b/>
                <w:sz w:val="20"/>
                <w:szCs w:val="20"/>
              </w:rPr>
              <w:t>Consejo Estatal:</w:t>
            </w:r>
          </w:p>
        </w:tc>
        <w:tc>
          <w:tcPr>
            <w:tcW w:w="3998" w:type="dxa"/>
            <w:vAlign w:val="center"/>
          </w:tcPr>
          <w:p w:rsidR="0051289A" w:rsidRPr="00792110" w:rsidRDefault="0051289A" w:rsidP="0051289A">
            <w:pPr>
              <w:spacing w:before="60" w:after="60" w:line="264" w:lineRule="auto"/>
              <w:ind w:left="113" w:right="113"/>
              <w:jc w:val="both"/>
              <w:rPr>
                <w:rFonts w:ascii="Exo" w:hAnsi="Exo"/>
                <w:sz w:val="20"/>
                <w:szCs w:val="20"/>
              </w:rPr>
            </w:pPr>
            <w:r w:rsidRPr="00792110">
              <w:rPr>
                <w:rFonts w:ascii="Exo" w:hAnsi="Exo"/>
                <w:sz w:val="20"/>
                <w:szCs w:val="20"/>
              </w:rPr>
              <w:t>Consejo Estatal del Instituto Electoral y de Participación Ciudadana de Tabasco.</w:t>
            </w:r>
          </w:p>
        </w:tc>
      </w:tr>
      <w:tr w:rsidR="0051289A" w:rsidRPr="00A824B1" w:rsidTr="00393D47">
        <w:trPr>
          <w:jc w:val="center"/>
        </w:trPr>
        <w:tc>
          <w:tcPr>
            <w:tcW w:w="2664" w:type="dxa"/>
            <w:vAlign w:val="center"/>
          </w:tcPr>
          <w:p w:rsidR="0051289A" w:rsidRPr="00792110" w:rsidRDefault="0051289A" w:rsidP="0051289A">
            <w:pPr>
              <w:spacing w:before="60" w:after="60" w:line="264" w:lineRule="auto"/>
              <w:jc w:val="right"/>
              <w:rPr>
                <w:rFonts w:ascii="Exo" w:hAnsi="Exo"/>
                <w:b/>
                <w:sz w:val="20"/>
                <w:szCs w:val="20"/>
              </w:rPr>
            </w:pPr>
            <w:r w:rsidRPr="00792110">
              <w:rPr>
                <w:rFonts w:ascii="Exo" w:hAnsi="Exo"/>
                <w:b/>
                <w:sz w:val="20"/>
                <w:szCs w:val="20"/>
              </w:rPr>
              <w:t>Consejos Distritales:</w:t>
            </w:r>
          </w:p>
        </w:tc>
        <w:tc>
          <w:tcPr>
            <w:tcW w:w="3998" w:type="dxa"/>
            <w:vAlign w:val="center"/>
          </w:tcPr>
          <w:p w:rsidR="0051289A" w:rsidRPr="00792110" w:rsidRDefault="0051289A" w:rsidP="0051289A">
            <w:pPr>
              <w:spacing w:before="60" w:after="60" w:line="264" w:lineRule="auto"/>
              <w:ind w:left="113" w:right="113"/>
              <w:jc w:val="both"/>
              <w:rPr>
                <w:rFonts w:ascii="Exo" w:hAnsi="Exo"/>
                <w:sz w:val="20"/>
                <w:szCs w:val="20"/>
              </w:rPr>
            </w:pPr>
            <w:r w:rsidRPr="00792110">
              <w:rPr>
                <w:rFonts w:ascii="Exo" w:hAnsi="Exo"/>
                <w:sz w:val="20"/>
                <w:szCs w:val="20"/>
              </w:rPr>
              <w:t>Consejos Electorales Distritales del Instituto Electoral y de Participación Ciudadana de Tabasco.</w:t>
            </w:r>
          </w:p>
        </w:tc>
      </w:tr>
      <w:tr w:rsidR="0051289A" w:rsidRPr="00A824B1" w:rsidTr="00393D47">
        <w:trPr>
          <w:jc w:val="center"/>
        </w:trPr>
        <w:tc>
          <w:tcPr>
            <w:tcW w:w="2664" w:type="dxa"/>
            <w:vAlign w:val="center"/>
          </w:tcPr>
          <w:p w:rsidR="0051289A" w:rsidRPr="00792110" w:rsidRDefault="0051289A" w:rsidP="0051289A">
            <w:pPr>
              <w:spacing w:before="60" w:after="60" w:line="264" w:lineRule="auto"/>
              <w:jc w:val="right"/>
              <w:rPr>
                <w:rFonts w:ascii="Exo" w:hAnsi="Exo"/>
                <w:b/>
                <w:sz w:val="20"/>
                <w:szCs w:val="20"/>
              </w:rPr>
            </w:pPr>
            <w:r w:rsidRPr="00792110">
              <w:rPr>
                <w:rFonts w:ascii="Exo" w:hAnsi="Exo"/>
                <w:b/>
                <w:sz w:val="20"/>
                <w:szCs w:val="20"/>
              </w:rPr>
              <w:t>Constitución Federal:</w:t>
            </w:r>
          </w:p>
        </w:tc>
        <w:tc>
          <w:tcPr>
            <w:tcW w:w="3998" w:type="dxa"/>
            <w:vAlign w:val="center"/>
          </w:tcPr>
          <w:p w:rsidR="0051289A" w:rsidRPr="00792110" w:rsidRDefault="0051289A" w:rsidP="0051289A">
            <w:pPr>
              <w:spacing w:before="60" w:after="60" w:line="264" w:lineRule="auto"/>
              <w:ind w:left="113" w:right="113"/>
              <w:jc w:val="both"/>
              <w:rPr>
                <w:rFonts w:ascii="Exo" w:hAnsi="Exo"/>
                <w:sz w:val="20"/>
                <w:szCs w:val="20"/>
              </w:rPr>
            </w:pPr>
            <w:r w:rsidRPr="00792110">
              <w:rPr>
                <w:rFonts w:ascii="Exo" w:hAnsi="Exo"/>
                <w:sz w:val="20"/>
                <w:szCs w:val="20"/>
              </w:rPr>
              <w:t>Constitución Política de los Estados Unidos Mexicanos.</w:t>
            </w:r>
          </w:p>
        </w:tc>
      </w:tr>
      <w:tr w:rsidR="0051289A" w:rsidRPr="00A824B1" w:rsidTr="00393D47">
        <w:trPr>
          <w:jc w:val="center"/>
        </w:trPr>
        <w:tc>
          <w:tcPr>
            <w:tcW w:w="2664" w:type="dxa"/>
            <w:vAlign w:val="center"/>
          </w:tcPr>
          <w:p w:rsidR="0051289A" w:rsidRPr="00792110" w:rsidRDefault="0051289A" w:rsidP="0051289A">
            <w:pPr>
              <w:spacing w:before="60" w:after="60" w:line="264" w:lineRule="auto"/>
              <w:jc w:val="right"/>
              <w:rPr>
                <w:rFonts w:ascii="Exo" w:hAnsi="Exo"/>
                <w:b/>
                <w:sz w:val="20"/>
                <w:szCs w:val="20"/>
              </w:rPr>
            </w:pPr>
            <w:r w:rsidRPr="00792110">
              <w:rPr>
                <w:rFonts w:ascii="Exo" w:hAnsi="Exo"/>
                <w:b/>
                <w:sz w:val="20"/>
                <w:szCs w:val="20"/>
              </w:rPr>
              <w:t>Constitución Local:</w:t>
            </w:r>
          </w:p>
        </w:tc>
        <w:tc>
          <w:tcPr>
            <w:tcW w:w="3998" w:type="dxa"/>
            <w:vAlign w:val="center"/>
          </w:tcPr>
          <w:p w:rsidR="0051289A" w:rsidRPr="00792110" w:rsidRDefault="0051289A" w:rsidP="0051289A">
            <w:pPr>
              <w:spacing w:before="60" w:after="60" w:line="264" w:lineRule="auto"/>
              <w:ind w:left="113" w:right="113"/>
              <w:jc w:val="both"/>
              <w:rPr>
                <w:rFonts w:ascii="Exo" w:hAnsi="Exo"/>
                <w:sz w:val="20"/>
                <w:szCs w:val="20"/>
              </w:rPr>
            </w:pPr>
            <w:r w:rsidRPr="00792110">
              <w:rPr>
                <w:rFonts w:ascii="Exo" w:hAnsi="Exo"/>
                <w:sz w:val="20"/>
                <w:szCs w:val="20"/>
              </w:rPr>
              <w:t>Constitución Política del Estado Libre y Soberano de Tabasco.</w:t>
            </w:r>
          </w:p>
        </w:tc>
      </w:tr>
      <w:tr w:rsidR="0051289A" w:rsidRPr="00A824B1" w:rsidTr="00393D47">
        <w:trPr>
          <w:jc w:val="center"/>
        </w:trPr>
        <w:tc>
          <w:tcPr>
            <w:tcW w:w="2664" w:type="dxa"/>
            <w:vAlign w:val="center"/>
          </w:tcPr>
          <w:p w:rsidR="0051289A" w:rsidRPr="00792110" w:rsidRDefault="0051289A" w:rsidP="0051289A">
            <w:pPr>
              <w:spacing w:before="60" w:after="60" w:line="264" w:lineRule="auto"/>
              <w:jc w:val="right"/>
              <w:rPr>
                <w:rFonts w:ascii="Exo" w:hAnsi="Exo"/>
                <w:b/>
                <w:sz w:val="20"/>
                <w:szCs w:val="20"/>
              </w:rPr>
            </w:pPr>
            <w:r w:rsidRPr="00792110">
              <w:rPr>
                <w:rFonts w:ascii="Exo" w:hAnsi="Exo"/>
                <w:b/>
                <w:sz w:val="20"/>
                <w:szCs w:val="20"/>
              </w:rPr>
              <w:t>Instituto:</w:t>
            </w:r>
          </w:p>
        </w:tc>
        <w:tc>
          <w:tcPr>
            <w:tcW w:w="3998" w:type="dxa"/>
            <w:vAlign w:val="center"/>
          </w:tcPr>
          <w:p w:rsidR="0051289A" w:rsidRPr="00792110" w:rsidRDefault="0051289A" w:rsidP="0051289A">
            <w:pPr>
              <w:spacing w:before="60" w:after="60" w:line="264" w:lineRule="auto"/>
              <w:ind w:left="113" w:right="113"/>
              <w:jc w:val="both"/>
              <w:rPr>
                <w:rFonts w:ascii="Exo" w:hAnsi="Exo"/>
                <w:sz w:val="20"/>
                <w:szCs w:val="20"/>
              </w:rPr>
            </w:pPr>
            <w:r w:rsidRPr="00792110">
              <w:rPr>
                <w:rFonts w:ascii="Exo" w:hAnsi="Exo"/>
                <w:sz w:val="20"/>
                <w:szCs w:val="20"/>
              </w:rPr>
              <w:t>Instituto Electoral y de Participación Ciudadana de Tabasco.</w:t>
            </w:r>
          </w:p>
        </w:tc>
      </w:tr>
      <w:tr w:rsidR="0051289A" w:rsidRPr="00A824B1" w:rsidTr="00393D47">
        <w:trPr>
          <w:jc w:val="center"/>
        </w:trPr>
        <w:tc>
          <w:tcPr>
            <w:tcW w:w="2664" w:type="dxa"/>
            <w:vAlign w:val="center"/>
          </w:tcPr>
          <w:p w:rsidR="0051289A" w:rsidRPr="00792110" w:rsidRDefault="0051289A" w:rsidP="0051289A">
            <w:pPr>
              <w:spacing w:before="60" w:after="60" w:line="264" w:lineRule="auto"/>
              <w:jc w:val="right"/>
              <w:rPr>
                <w:rFonts w:ascii="Exo" w:hAnsi="Exo"/>
                <w:b/>
                <w:sz w:val="20"/>
                <w:szCs w:val="20"/>
              </w:rPr>
            </w:pPr>
            <w:r w:rsidRPr="00792110">
              <w:rPr>
                <w:rFonts w:ascii="Exo" w:hAnsi="Exo"/>
                <w:b/>
                <w:sz w:val="20"/>
                <w:szCs w:val="20"/>
              </w:rPr>
              <w:t>Junta Ejecutiva:</w:t>
            </w:r>
          </w:p>
        </w:tc>
        <w:tc>
          <w:tcPr>
            <w:tcW w:w="3998" w:type="dxa"/>
            <w:vAlign w:val="center"/>
          </w:tcPr>
          <w:p w:rsidR="0051289A" w:rsidRPr="00792110" w:rsidRDefault="0051289A" w:rsidP="0051289A">
            <w:pPr>
              <w:spacing w:before="60" w:after="60" w:line="264" w:lineRule="auto"/>
              <w:ind w:left="113" w:right="113"/>
              <w:jc w:val="both"/>
              <w:rPr>
                <w:rFonts w:ascii="Exo" w:hAnsi="Exo"/>
                <w:sz w:val="20"/>
                <w:szCs w:val="20"/>
              </w:rPr>
            </w:pPr>
            <w:r w:rsidRPr="00792110">
              <w:rPr>
                <w:rFonts w:ascii="Exo" w:hAnsi="Exo"/>
                <w:sz w:val="20"/>
                <w:szCs w:val="20"/>
              </w:rPr>
              <w:t>Junta Estatal Ejecutiva del Instituto Electoral y de Participación Ciudadana de Tabasco.</w:t>
            </w:r>
          </w:p>
        </w:tc>
      </w:tr>
      <w:tr w:rsidR="0051289A" w:rsidRPr="00A824B1" w:rsidTr="00393D47">
        <w:trPr>
          <w:jc w:val="center"/>
        </w:trPr>
        <w:tc>
          <w:tcPr>
            <w:tcW w:w="2664" w:type="dxa"/>
            <w:vAlign w:val="center"/>
          </w:tcPr>
          <w:p w:rsidR="0051289A" w:rsidRPr="00792110" w:rsidRDefault="0051289A" w:rsidP="0051289A">
            <w:pPr>
              <w:spacing w:before="60" w:after="60" w:line="264" w:lineRule="auto"/>
              <w:jc w:val="right"/>
              <w:rPr>
                <w:rFonts w:ascii="Exo" w:hAnsi="Exo"/>
                <w:b/>
                <w:sz w:val="20"/>
                <w:szCs w:val="20"/>
              </w:rPr>
            </w:pPr>
            <w:r w:rsidRPr="00792110">
              <w:rPr>
                <w:rFonts w:ascii="Exo" w:hAnsi="Exo"/>
                <w:b/>
                <w:sz w:val="20"/>
                <w:szCs w:val="20"/>
              </w:rPr>
              <w:t>Juntas Distritales:</w:t>
            </w:r>
          </w:p>
        </w:tc>
        <w:tc>
          <w:tcPr>
            <w:tcW w:w="3998" w:type="dxa"/>
            <w:vAlign w:val="center"/>
          </w:tcPr>
          <w:p w:rsidR="0051289A" w:rsidRPr="00792110" w:rsidRDefault="0051289A" w:rsidP="0051289A">
            <w:pPr>
              <w:spacing w:before="60" w:after="60" w:line="264" w:lineRule="auto"/>
              <w:ind w:left="113" w:right="113"/>
              <w:jc w:val="both"/>
              <w:rPr>
                <w:rFonts w:ascii="Exo" w:hAnsi="Exo"/>
                <w:sz w:val="20"/>
                <w:szCs w:val="20"/>
              </w:rPr>
            </w:pPr>
            <w:r w:rsidRPr="00792110">
              <w:rPr>
                <w:rFonts w:ascii="Exo" w:hAnsi="Exo"/>
                <w:sz w:val="20"/>
                <w:szCs w:val="20"/>
              </w:rPr>
              <w:t>Juntas Electorales Distritales del Instituto Electoral y de Participación Ciudadana de Tabasco.</w:t>
            </w:r>
          </w:p>
        </w:tc>
      </w:tr>
      <w:tr w:rsidR="0051289A" w:rsidRPr="00A824B1" w:rsidTr="00393D47">
        <w:trPr>
          <w:jc w:val="center"/>
        </w:trPr>
        <w:tc>
          <w:tcPr>
            <w:tcW w:w="2664" w:type="dxa"/>
            <w:vAlign w:val="center"/>
          </w:tcPr>
          <w:p w:rsidR="0051289A" w:rsidRPr="00792110" w:rsidRDefault="0051289A" w:rsidP="0051289A">
            <w:pPr>
              <w:spacing w:before="60" w:after="60" w:line="264" w:lineRule="auto"/>
              <w:jc w:val="right"/>
              <w:rPr>
                <w:rFonts w:ascii="Exo" w:hAnsi="Exo"/>
                <w:b/>
                <w:sz w:val="20"/>
                <w:szCs w:val="20"/>
              </w:rPr>
            </w:pPr>
            <w:r w:rsidRPr="00792110">
              <w:rPr>
                <w:rFonts w:ascii="Exo" w:hAnsi="Exo"/>
                <w:b/>
                <w:sz w:val="20"/>
                <w:szCs w:val="20"/>
              </w:rPr>
              <w:t>Ley Electoral:</w:t>
            </w:r>
          </w:p>
        </w:tc>
        <w:tc>
          <w:tcPr>
            <w:tcW w:w="3998" w:type="dxa"/>
            <w:vAlign w:val="center"/>
          </w:tcPr>
          <w:p w:rsidR="0051289A" w:rsidRPr="00792110" w:rsidRDefault="0051289A" w:rsidP="0051289A">
            <w:pPr>
              <w:spacing w:before="60" w:after="60" w:line="264" w:lineRule="auto"/>
              <w:ind w:left="113" w:right="113"/>
              <w:jc w:val="both"/>
              <w:rPr>
                <w:rFonts w:ascii="Exo" w:hAnsi="Exo"/>
                <w:sz w:val="20"/>
                <w:szCs w:val="20"/>
              </w:rPr>
            </w:pPr>
            <w:r w:rsidRPr="00792110">
              <w:rPr>
                <w:rFonts w:ascii="Exo" w:hAnsi="Exo"/>
                <w:sz w:val="20"/>
                <w:szCs w:val="20"/>
              </w:rPr>
              <w:t>Ley Electoral y de Partidos Políticos del Estado de Tabasco.</w:t>
            </w:r>
          </w:p>
        </w:tc>
      </w:tr>
    </w:tbl>
    <w:p w:rsidR="00792110" w:rsidRDefault="00792110" w:rsidP="00792110">
      <w:pPr>
        <w:pStyle w:val="Ttulo1"/>
        <w:numPr>
          <w:ilvl w:val="0"/>
          <w:numId w:val="0"/>
        </w:numPr>
        <w:ind w:left="432"/>
        <w:jc w:val="left"/>
      </w:pPr>
    </w:p>
    <w:p w:rsidR="008B70F6" w:rsidRPr="00792110" w:rsidRDefault="008B70F6" w:rsidP="0051289A">
      <w:pPr>
        <w:pStyle w:val="Ttulo1"/>
        <w:rPr>
          <w:rFonts w:ascii="Arial" w:hAnsi="Arial" w:cs="Arial"/>
          <w:sz w:val="24"/>
          <w:szCs w:val="24"/>
        </w:rPr>
      </w:pPr>
      <w:r w:rsidRPr="00792110">
        <w:rPr>
          <w:rFonts w:ascii="Arial" w:hAnsi="Arial" w:cs="Arial"/>
          <w:sz w:val="24"/>
          <w:szCs w:val="24"/>
        </w:rPr>
        <w:lastRenderedPageBreak/>
        <w:t>Antecedentes</w:t>
      </w:r>
    </w:p>
    <w:p w:rsidR="008B70F6" w:rsidRPr="00792110" w:rsidRDefault="008B70F6" w:rsidP="008B70F6">
      <w:pPr>
        <w:pStyle w:val="Ttulo2"/>
        <w:rPr>
          <w:rFonts w:ascii="Arial" w:hAnsi="Arial" w:cs="Arial"/>
          <w:sz w:val="23"/>
        </w:rPr>
      </w:pPr>
      <w:r w:rsidRPr="00792110">
        <w:rPr>
          <w:rFonts w:ascii="Arial" w:hAnsi="Arial" w:cs="Arial"/>
          <w:sz w:val="23"/>
        </w:rPr>
        <w:t>Reglamento de Sesiones de la Junta Estatal</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El 22 de julio de 2022, el Consejo Estatal emitió el acuerdo CE/2022/21 y con ello aprobó el Reglamento de Sesiones de la Junta Estatal, el cual es de observancia obligatoria para las personas servidoras públicos del Instituto y tiene por objeto establecer las reglas que regulen la celebración y el desarrollo de las sesiones de dicho órgano central y las atribuciones y facultades de sus integrantes en las mismas.</w:t>
      </w:r>
    </w:p>
    <w:p w:rsidR="008B70F6" w:rsidRPr="00792110" w:rsidRDefault="008B70F6" w:rsidP="008B70F6">
      <w:pPr>
        <w:pStyle w:val="Ttulo2"/>
        <w:rPr>
          <w:rFonts w:ascii="Arial" w:hAnsi="Arial" w:cs="Arial"/>
          <w:sz w:val="23"/>
        </w:rPr>
      </w:pPr>
      <w:r w:rsidRPr="00792110">
        <w:rPr>
          <w:rFonts w:ascii="Arial" w:hAnsi="Arial" w:cs="Arial"/>
          <w:sz w:val="23"/>
        </w:rPr>
        <w:t>Inicio del Proceso Electoral</w:t>
      </w:r>
      <w:bookmarkStart w:id="0" w:name="_GoBack"/>
      <w:bookmarkEnd w:id="0"/>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8B70F6" w:rsidRPr="00792110" w:rsidRDefault="008B70F6" w:rsidP="008B70F6">
      <w:pPr>
        <w:pStyle w:val="Ttulo2"/>
        <w:rPr>
          <w:rFonts w:ascii="Arial" w:hAnsi="Arial" w:cs="Arial"/>
          <w:sz w:val="23"/>
        </w:rPr>
      </w:pPr>
      <w:r w:rsidRPr="00792110">
        <w:rPr>
          <w:rFonts w:ascii="Arial" w:hAnsi="Arial" w:cs="Arial"/>
          <w:sz w:val="23"/>
        </w:rPr>
        <w:t>Instalación de las Juntas Distritales</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 xml:space="preserve">El 17 de diciembre de 2023, </w:t>
      </w:r>
      <w:r w:rsidR="0051289A" w:rsidRPr="00792110">
        <w:rPr>
          <w:rFonts w:ascii="Arial" w:hAnsi="Arial" w:cs="Arial"/>
          <w:sz w:val="23"/>
          <w:szCs w:val="23"/>
        </w:rPr>
        <w:t xml:space="preserve">de conformidad con el artículo 125 de la Ley Electoral </w:t>
      </w:r>
      <w:r w:rsidRPr="00792110">
        <w:rPr>
          <w:rFonts w:ascii="Arial" w:hAnsi="Arial" w:cs="Arial"/>
          <w:sz w:val="23"/>
          <w:szCs w:val="23"/>
        </w:rPr>
        <w:t xml:space="preserve">se instalaron las </w:t>
      </w:r>
      <w:r w:rsidR="0017455C" w:rsidRPr="00792110">
        <w:rPr>
          <w:rFonts w:ascii="Arial" w:hAnsi="Arial" w:cs="Arial"/>
          <w:sz w:val="23"/>
          <w:szCs w:val="23"/>
        </w:rPr>
        <w:t xml:space="preserve">veintiún </w:t>
      </w:r>
      <w:r w:rsidRPr="00792110">
        <w:rPr>
          <w:rFonts w:ascii="Arial" w:hAnsi="Arial" w:cs="Arial"/>
          <w:sz w:val="23"/>
          <w:szCs w:val="23"/>
        </w:rPr>
        <w:t>Juntas Distritales</w:t>
      </w:r>
      <w:r w:rsidR="0051289A" w:rsidRPr="00792110">
        <w:rPr>
          <w:rFonts w:ascii="Arial" w:hAnsi="Arial" w:cs="Arial"/>
          <w:sz w:val="23"/>
          <w:szCs w:val="23"/>
        </w:rPr>
        <w:t xml:space="preserve"> en la entidad.</w:t>
      </w:r>
    </w:p>
    <w:p w:rsidR="008B70F6" w:rsidRPr="00792110" w:rsidRDefault="008B70F6" w:rsidP="008B70F6">
      <w:pPr>
        <w:pStyle w:val="Ttulo2"/>
        <w:rPr>
          <w:rFonts w:ascii="Arial" w:hAnsi="Arial" w:cs="Arial"/>
          <w:sz w:val="23"/>
        </w:rPr>
      </w:pPr>
      <w:r w:rsidRPr="00792110">
        <w:rPr>
          <w:rFonts w:ascii="Arial" w:hAnsi="Arial" w:cs="Arial"/>
          <w:sz w:val="23"/>
        </w:rPr>
        <w:t>Aprobación del Presupuesto Anual correspondiente al ejercicio 2024</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El 20 de diciembre de 2023, se publicó en el Suplemento “K”, Edición 8482 al Periódico Oficial del Estado número 10565, el decreto 182 relativo al Presupuesto Anual de Egresos aprobado por el H. Congreso del Estado de Tabasco, correspondiente al ejercicio 2024, el cual contiene entre otros aspectos, la política de gasto de los órganos autónomos.</w:t>
      </w:r>
    </w:p>
    <w:p w:rsidR="008B70F6" w:rsidRPr="00792110" w:rsidRDefault="008B70F6" w:rsidP="008B70F6">
      <w:pPr>
        <w:pStyle w:val="Ttulo2"/>
        <w:rPr>
          <w:rFonts w:ascii="Arial" w:hAnsi="Arial" w:cs="Arial"/>
          <w:sz w:val="23"/>
        </w:rPr>
      </w:pPr>
      <w:r w:rsidRPr="00792110">
        <w:rPr>
          <w:rFonts w:ascii="Arial" w:hAnsi="Arial" w:cs="Arial"/>
          <w:sz w:val="23"/>
        </w:rPr>
        <w:t>Presupuesto del Instituto correspondiente al ejercicio 2024</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 xml:space="preserve">De conformidad con el Presupuesto antes mencionado, el H. Congreso del Estado, para el ejercicio 2024 asignó al Instituto Electoral recursos por la cantidad de $433,400,000.00 (cuatrocientos treinta y tres millones cuatrocientos </w:t>
      </w:r>
      <w:r w:rsidR="00F710B2" w:rsidRPr="00792110">
        <w:rPr>
          <w:rFonts w:ascii="Arial" w:hAnsi="Arial" w:cs="Arial"/>
          <w:sz w:val="23"/>
          <w:szCs w:val="23"/>
        </w:rPr>
        <w:t xml:space="preserve">mil </w:t>
      </w:r>
      <w:r w:rsidRPr="00792110">
        <w:rPr>
          <w:rFonts w:ascii="Arial" w:hAnsi="Arial" w:cs="Arial"/>
          <w:sz w:val="23"/>
          <w:szCs w:val="23"/>
        </w:rPr>
        <w:t>pesos 00/100), cantidad que incluye el gasto previsto para el financiamiento público de los partidos políticos con derecho a éste.</w:t>
      </w:r>
    </w:p>
    <w:p w:rsidR="0017455C" w:rsidRPr="00792110" w:rsidRDefault="0017455C" w:rsidP="0017455C">
      <w:pPr>
        <w:pStyle w:val="Ttulo2"/>
        <w:rPr>
          <w:rFonts w:ascii="Arial" w:hAnsi="Arial" w:cs="Arial"/>
          <w:sz w:val="23"/>
        </w:rPr>
      </w:pPr>
      <w:r w:rsidRPr="00792110">
        <w:rPr>
          <w:rFonts w:ascii="Arial" w:hAnsi="Arial" w:cs="Arial"/>
          <w:sz w:val="23"/>
        </w:rPr>
        <w:t>Jornada electoral</w:t>
      </w:r>
    </w:p>
    <w:p w:rsidR="0017455C" w:rsidRPr="00792110" w:rsidRDefault="0017455C" w:rsidP="0017455C">
      <w:pPr>
        <w:spacing w:before="240" w:after="240" w:line="276" w:lineRule="auto"/>
        <w:jc w:val="both"/>
        <w:rPr>
          <w:rFonts w:ascii="Arial" w:hAnsi="Arial" w:cs="Arial"/>
          <w:sz w:val="23"/>
          <w:szCs w:val="23"/>
        </w:rPr>
      </w:pPr>
      <w:r w:rsidRPr="00792110">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8B70F6" w:rsidRPr="00792110" w:rsidRDefault="008B70F6" w:rsidP="008B70F6">
      <w:pPr>
        <w:pStyle w:val="Ttulo1"/>
        <w:rPr>
          <w:rFonts w:ascii="Arial" w:hAnsi="Arial" w:cs="Arial"/>
          <w:sz w:val="24"/>
          <w:szCs w:val="24"/>
        </w:rPr>
      </w:pPr>
      <w:r w:rsidRPr="00792110">
        <w:rPr>
          <w:rFonts w:ascii="Arial" w:hAnsi="Arial" w:cs="Arial"/>
          <w:sz w:val="24"/>
          <w:szCs w:val="24"/>
        </w:rPr>
        <w:t>Considerando</w:t>
      </w:r>
    </w:p>
    <w:p w:rsidR="008B70F6" w:rsidRPr="00792110" w:rsidRDefault="008B70F6" w:rsidP="008B70F6">
      <w:pPr>
        <w:pStyle w:val="Ttulo2"/>
        <w:rPr>
          <w:rFonts w:ascii="Arial" w:hAnsi="Arial" w:cs="Arial"/>
          <w:sz w:val="23"/>
        </w:rPr>
      </w:pPr>
      <w:r>
        <w:t xml:space="preserve">Fines </w:t>
      </w:r>
      <w:r w:rsidRPr="00792110">
        <w:rPr>
          <w:rFonts w:ascii="Arial" w:hAnsi="Arial" w:cs="Arial"/>
          <w:sz w:val="23"/>
        </w:rPr>
        <w:t>del Instituto</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Que, los artículos 9, apartado C, fracción I, de la Constitución Local; 3 numeral 3, 100 y 102, de la Ley Electoral, establecen que, el Instituto es el organismo público local de carácter permanente, autónomo en su funcionamiento, independiente en sus decisiones y profesional en su desempeño, dotado de personalidad jurídica y patrimonio propios que se rige por los principios de certeza, legalidad, independencia, inclusión, imparcialidad, máxima publicidad, transparencia, rendición de cuentas, objetividad, paridad, interculturalidad, y las realizarán con perspectiva de género y enfoque de derechos humanos.</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Por su parte, el artículo 101, de la Ley Electoral, establece como finalidades del Instituto Electoral las siguientes: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8B70F6" w:rsidRPr="00792110" w:rsidRDefault="008B70F6" w:rsidP="008B70F6">
      <w:pPr>
        <w:pStyle w:val="Ttulo2"/>
        <w:rPr>
          <w:rFonts w:ascii="Arial" w:hAnsi="Arial" w:cs="Arial"/>
          <w:sz w:val="23"/>
        </w:rPr>
      </w:pPr>
      <w:r w:rsidRPr="00792110">
        <w:rPr>
          <w:rFonts w:ascii="Arial" w:hAnsi="Arial" w:cs="Arial"/>
          <w:sz w:val="23"/>
        </w:rPr>
        <w:t xml:space="preserve">Órganos Centrales del Instituto </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Que, el artículo 105, de la Ley Electoral, señala que, son órganos centrales del Instituto los siguientes: I. Consejo Estatal; II. Presidencia del Consejo Estatal; III. Junta Ejecutiva; IV. Secretaría Ejecutiva, y V. Órgano Técnico de Fiscalización.</w:t>
      </w:r>
    </w:p>
    <w:p w:rsidR="008B70F6" w:rsidRPr="00792110" w:rsidRDefault="008B70F6" w:rsidP="008B70F6">
      <w:pPr>
        <w:pStyle w:val="Ttulo2"/>
        <w:rPr>
          <w:rFonts w:ascii="Arial" w:hAnsi="Arial" w:cs="Arial"/>
          <w:sz w:val="23"/>
        </w:rPr>
      </w:pPr>
      <w:r w:rsidRPr="00792110">
        <w:rPr>
          <w:rFonts w:ascii="Arial" w:hAnsi="Arial" w:cs="Arial"/>
          <w:sz w:val="23"/>
        </w:rPr>
        <w:t>Órganos desconcentrados</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 xml:space="preserve">Que, el artículo 124, capítulo primero de la Ley Electoral, establece que las Juntas Distritales son órganos operativos temporales que se integrarán para cada proceso electoral con una o un Vocal Ejecutivo, una o un Vocal Secretario y una o un Vocal de Organización Electoral y Educación Cívica. </w:t>
      </w:r>
    </w:p>
    <w:p w:rsidR="008B70F6" w:rsidRPr="00792110" w:rsidRDefault="008B70F6" w:rsidP="008B70F6">
      <w:pPr>
        <w:pStyle w:val="Ttulo2"/>
        <w:rPr>
          <w:rFonts w:ascii="Arial" w:hAnsi="Arial" w:cs="Arial"/>
          <w:sz w:val="23"/>
        </w:rPr>
      </w:pPr>
      <w:r w:rsidRPr="00792110">
        <w:rPr>
          <w:rFonts w:ascii="Arial" w:hAnsi="Arial" w:cs="Arial"/>
          <w:sz w:val="23"/>
        </w:rPr>
        <w:t xml:space="preserve">Órgano Superior de Dirección del Instituto </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Que, de acuerdo con lo estipulado en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8B70F6" w:rsidRPr="00792110" w:rsidRDefault="008B70F6" w:rsidP="008B70F6">
      <w:pPr>
        <w:pStyle w:val="Ttulo2"/>
        <w:rPr>
          <w:rFonts w:ascii="Arial" w:hAnsi="Arial" w:cs="Arial"/>
          <w:sz w:val="23"/>
        </w:rPr>
      </w:pPr>
      <w:r w:rsidRPr="00792110">
        <w:rPr>
          <w:rFonts w:ascii="Arial" w:hAnsi="Arial" w:cs="Arial"/>
          <w:sz w:val="23"/>
        </w:rPr>
        <w:t>Integración del Órgano de Dirección Superior</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Que, de conformidad con los artículos 99, de la Ley General y 107, numeral 1, de la Ley Electoral,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17455C" w:rsidRPr="00792110" w:rsidRDefault="0017455C" w:rsidP="0017455C">
      <w:pPr>
        <w:pStyle w:val="Ttulo2"/>
        <w:rPr>
          <w:rFonts w:ascii="Arial" w:hAnsi="Arial" w:cs="Arial"/>
          <w:sz w:val="23"/>
        </w:rPr>
      </w:pPr>
      <w:r w:rsidRPr="00792110">
        <w:rPr>
          <w:rFonts w:ascii="Arial" w:hAnsi="Arial" w:cs="Arial"/>
          <w:sz w:val="23"/>
        </w:rPr>
        <w:t xml:space="preserve">Administración del Instituto </w:t>
      </w:r>
    </w:p>
    <w:p w:rsidR="0017455C" w:rsidRPr="00792110" w:rsidRDefault="0017455C" w:rsidP="0017455C">
      <w:pPr>
        <w:spacing w:before="240" w:after="240" w:line="276" w:lineRule="auto"/>
        <w:jc w:val="both"/>
        <w:rPr>
          <w:rFonts w:ascii="Arial" w:hAnsi="Arial" w:cs="Arial"/>
          <w:sz w:val="23"/>
          <w:szCs w:val="23"/>
        </w:rPr>
      </w:pPr>
      <w:r w:rsidRPr="00792110">
        <w:rPr>
          <w:rFonts w:ascii="Arial" w:hAnsi="Arial" w:cs="Arial"/>
          <w:sz w:val="23"/>
          <w:szCs w:val="23"/>
        </w:rPr>
        <w:t>Que, el artículo 117 numeral 1 de la Ley Electoral establece que, entre otras, la Secretaría Ejecutiva, tiene la atribución de coordinar la Junta Ejecutiva, conducir la administración y supervisar el desarrollo adecuado de las actividades de los órganos ejecutivos y técnicos del Instituto.</w:t>
      </w:r>
    </w:p>
    <w:p w:rsidR="0017455C" w:rsidRPr="00792110" w:rsidRDefault="0017455C" w:rsidP="0017455C">
      <w:pPr>
        <w:spacing w:before="240" w:after="240" w:line="276" w:lineRule="auto"/>
        <w:jc w:val="both"/>
        <w:rPr>
          <w:rFonts w:ascii="Arial" w:hAnsi="Arial" w:cs="Arial"/>
          <w:sz w:val="23"/>
          <w:szCs w:val="23"/>
        </w:rPr>
      </w:pPr>
      <w:r w:rsidRPr="00792110">
        <w:rPr>
          <w:rFonts w:ascii="Arial" w:hAnsi="Arial" w:cs="Arial"/>
          <w:sz w:val="23"/>
          <w:szCs w:val="23"/>
        </w:rPr>
        <w:t>Conforme a lo anterior, corresponde a la Secretaría Ejecutiva proveer a los órganos del Instituto de los elementos primordiales para el cumplimiento de sus funciones, en términos de lo que refiere el artículo 117, numeral 2, fracción XVIII de la Ley Electoral.</w:t>
      </w:r>
    </w:p>
    <w:p w:rsidR="008B70F6" w:rsidRPr="00792110" w:rsidRDefault="008B70F6" w:rsidP="008B70F6">
      <w:pPr>
        <w:pStyle w:val="Ttulo2"/>
        <w:rPr>
          <w:rFonts w:ascii="Arial" w:hAnsi="Arial" w:cs="Arial"/>
          <w:sz w:val="23"/>
        </w:rPr>
      </w:pPr>
      <w:r w:rsidRPr="00792110">
        <w:rPr>
          <w:rFonts w:ascii="Arial" w:hAnsi="Arial" w:cs="Arial"/>
          <w:sz w:val="23"/>
        </w:rPr>
        <w:t>Integración de la Junta Ejecutiva</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Asimismo, el numeral 2, del artículo mencionado establece que, las o los titulares del Órgano Técnico de Fiscalización y de la Contraloría General podrán participar en las sesiones de la Junta Ejecutiva, a convocatoria de la Presidencia del Consejo.</w:t>
      </w:r>
    </w:p>
    <w:p w:rsidR="008B70F6" w:rsidRPr="00792110" w:rsidRDefault="008B70F6" w:rsidP="008B70F6">
      <w:pPr>
        <w:pStyle w:val="Ttulo2"/>
        <w:rPr>
          <w:rFonts w:ascii="Arial" w:hAnsi="Arial" w:cs="Arial"/>
          <w:sz w:val="23"/>
        </w:rPr>
      </w:pPr>
      <w:r w:rsidRPr="00792110">
        <w:rPr>
          <w:rFonts w:ascii="Arial" w:hAnsi="Arial" w:cs="Arial"/>
          <w:sz w:val="23"/>
        </w:rPr>
        <w:t>Atribuciones de la Junta Ejecutiva</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Que, el numeral 1, del artículo 119, de la Ley Electoral, señala que, la Junta Ejecutiva se reunirá por lo menos una vez al mes y ejercerá las atribuciones siguientes:</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Proponer al Consejo Estatal las políticas generales y los programas del Instituto Estatal;</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Fijar los procedimientos administrativos, conforme a las políticas y programas generales del Instituto;</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Revisar el cumplimiento de los trabajos relativos a los productos electorales que habrá de aportar el Registro Federal de Electores para el Proceso Local, conforme al convenio y documentos técnicos celebrados con el Instituto Nacional Electoral;</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Vigilar el cumplimiento de las normas aplicables a los Partidos Políticos, las agrupaciones políticas y candidatos;</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Supervisar el cumplimiento de los programas y actividades de las Direcciones del Instituto;</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Nombrar a los miembros de las Juntas Distritales, a propuesta de su Presidenta o Presidente, y supervisar el cumplimiento de sus actividades; así como aprobar, conforme al presupuesto autorizado, la estructura de las vocalías de acuerdo con las necesidades del proceso electoral;</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Nombrar, en su caso, a la o el funcionario que acudirá a las sesiones de la Comisión Local de Vigilancia del Registro Federal de Electores, con facultades de enlace con el Instituto Nacional Electoral, de conformidad con el convenio respectivo que se suscriba;</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Conocer de los informes de la Contraloría General respecto de los expedientes relativos a las faltas administrativas y, en su caso, sobre imposición de sanciones a las personas servidoras públicas del Instituto Estatal;</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Formular los estudios y, en su caso, los proyectos de convenio que deban suscribirse entre el Instituto con el INE;</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Presentar a consideración del Consejo Estatal el proyecto de dictamen de pérdida de registro de algún partido político local o agrupación política local, que se encuentren en cualquiera de los supuestos establecidos en esta Ley;</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Resolver, en el ámbito de su competencia, los medios de impugnación en contra de los actos o resoluciones de la Secretaría Ejecutiva y de las Juntas Distritales del Instituto, en los términos establecidos en la ley de la materia;</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Integrar los expedientes relativos a las faltas administrativas en materia electoral y, en su caso, proponer las sanciones, en los términos que establece esta Ley, y</w:t>
      </w:r>
    </w:p>
    <w:p w:rsidR="008B70F6" w:rsidRPr="00792110" w:rsidRDefault="008B70F6" w:rsidP="008B70F6">
      <w:pPr>
        <w:pStyle w:val="Prrafodelista"/>
        <w:numPr>
          <w:ilvl w:val="0"/>
          <w:numId w:val="4"/>
        </w:numPr>
        <w:spacing w:before="240" w:after="240" w:line="276" w:lineRule="auto"/>
        <w:ind w:left="720"/>
        <w:contextualSpacing w:val="0"/>
        <w:jc w:val="both"/>
        <w:rPr>
          <w:rFonts w:ascii="Arial" w:hAnsi="Arial" w:cs="Arial"/>
          <w:sz w:val="23"/>
          <w:szCs w:val="23"/>
        </w:rPr>
      </w:pPr>
      <w:r w:rsidRPr="00792110">
        <w:rPr>
          <w:rFonts w:ascii="Arial" w:hAnsi="Arial" w:cs="Arial"/>
          <w:sz w:val="23"/>
          <w:szCs w:val="23"/>
        </w:rPr>
        <w:t>Las demás que le encomiende esta Ley, el Consejo Estatal y el Consejero Presidente.</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Además, en términos del artículo 4, numerales 2 y 3 del Reglamento de Sesiones, la Junta Ejecutiva es el órgano encargado de velar por el buen desempeño y el funcionamiento administrativo del Instituto, así como de supervisar la administración de los recursos financieros, humanos y materiales de este, teniendo las atribuciones asignadas y establecidas en la Ley Electoral, aquellas que le establezcan los acuerdos y las demás disposiciones que emita el Consejo Estatal.</w:t>
      </w:r>
    </w:p>
    <w:p w:rsidR="0017455C" w:rsidRPr="00792110" w:rsidRDefault="0017455C" w:rsidP="0017455C">
      <w:pPr>
        <w:pStyle w:val="Ttulo2"/>
        <w:rPr>
          <w:rFonts w:ascii="Arial" w:hAnsi="Arial" w:cs="Arial"/>
          <w:sz w:val="23"/>
        </w:rPr>
      </w:pPr>
      <w:r w:rsidRPr="00792110">
        <w:rPr>
          <w:rFonts w:ascii="Arial" w:hAnsi="Arial" w:cs="Arial"/>
          <w:sz w:val="23"/>
        </w:rPr>
        <w:t>Juntas distritales</w:t>
      </w:r>
    </w:p>
    <w:p w:rsidR="0017455C" w:rsidRPr="00792110" w:rsidRDefault="0017455C" w:rsidP="0017455C">
      <w:pPr>
        <w:spacing w:before="240" w:after="240" w:line="276" w:lineRule="auto"/>
        <w:jc w:val="both"/>
        <w:rPr>
          <w:rFonts w:ascii="Arial" w:hAnsi="Arial" w:cs="Arial"/>
          <w:sz w:val="23"/>
          <w:szCs w:val="23"/>
        </w:rPr>
      </w:pPr>
      <w:r w:rsidRPr="00792110">
        <w:rPr>
          <w:rFonts w:ascii="Arial" w:hAnsi="Arial" w:cs="Arial"/>
          <w:sz w:val="23"/>
          <w:szCs w:val="23"/>
        </w:rPr>
        <w:t>Que, el artículo 124 numeral 1 de la Ley Electoral, dispone que las Juntas Distritales son órganos operativos temporales que se integrarán para cada proceso electoral con una o un Vocal Ejecutivo, una o un Vocal Secretario y una o un Vocal de Organización Electoral y Educación Cívica.</w:t>
      </w:r>
    </w:p>
    <w:p w:rsidR="0017455C" w:rsidRPr="00792110" w:rsidRDefault="0017455C" w:rsidP="0017455C">
      <w:pPr>
        <w:pStyle w:val="Ttulo2"/>
        <w:rPr>
          <w:rFonts w:ascii="Arial" w:hAnsi="Arial" w:cs="Arial"/>
          <w:sz w:val="23"/>
        </w:rPr>
      </w:pPr>
      <w:r w:rsidRPr="00792110">
        <w:rPr>
          <w:rFonts w:ascii="Arial" w:hAnsi="Arial" w:cs="Arial"/>
          <w:sz w:val="23"/>
        </w:rPr>
        <w:t>Consejos Distritales</w:t>
      </w:r>
    </w:p>
    <w:p w:rsidR="0017455C" w:rsidRPr="00792110" w:rsidRDefault="0017455C" w:rsidP="0017455C">
      <w:pPr>
        <w:spacing w:before="240" w:after="240" w:line="276" w:lineRule="auto"/>
        <w:jc w:val="both"/>
        <w:rPr>
          <w:rFonts w:ascii="Arial" w:hAnsi="Arial" w:cs="Arial"/>
          <w:sz w:val="23"/>
          <w:szCs w:val="23"/>
        </w:rPr>
      </w:pPr>
      <w:r w:rsidRPr="00792110">
        <w:rPr>
          <w:rFonts w:ascii="Arial" w:hAnsi="Arial" w:cs="Arial"/>
          <w:sz w:val="23"/>
          <w:szCs w:val="23"/>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rsidR="0017455C" w:rsidRPr="00792110" w:rsidRDefault="0017455C" w:rsidP="0017455C">
      <w:pPr>
        <w:pStyle w:val="Ttulo2"/>
        <w:rPr>
          <w:rFonts w:ascii="Arial" w:hAnsi="Arial" w:cs="Arial"/>
          <w:sz w:val="23"/>
        </w:rPr>
      </w:pPr>
      <w:r w:rsidRPr="00792110">
        <w:rPr>
          <w:rFonts w:ascii="Arial" w:hAnsi="Arial" w:cs="Arial"/>
          <w:sz w:val="23"/>
        </w:rPr>
        <w:t>Inicio de sesiones de los Consejos Distritales</w:t>
      </w:r>
    </w:p>
    <w:p w:rsidR="0017455C" w:rsidRPr="00792110" w:rsidRDefault="0017455C" w:rsidP="0017455C">
      <w:pPr>
        <w:spacing w:before="240" w:after="240" w:line="276" w:lineRule="auto"/>
        <w:jc w:val="both"/>
        <w:rPr>
          <w:rFonts w:ascii="Arial" w:hAnsi="Arial" w:cs="Arial"/>
          <w:sz w:val="23"/>
          <w:szCs w:val="23"/>
        </w:rPr>
      </w:pPr>
      <w:r w:rsidRPr="00792110">
        <w:rPr>
          <w:rFonts w:ascii="Arial" w:hAnsi="Arial" w:cs="Arial"/>
          <w:sz w:val="23"/>
          <w:szCs w:val="23"/>
        </w:rPr>
        <w:t>Que, el artículo 129 numeral 1 de la Ley Electoral establece que los Consejos Distritales iniciarán sus sesiones durante la segunda semana del mes de diciembre del año previo al de la elección ordinaria. 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rsidR="0017455C" w:rsidRPr="00792110" w:rsidRDefault="0017455C" w:rsidP="0017455C">
      <w:pPr>
        <w:pStyle w:val="Ttulo2"/>
        <w:rPr>
          <w:rFonts w:ascii="Arial" w:hAnsi="Arial" w:cs="Arial"/>
          <w:sz w:val="23"/>
        </w:rPr>
      </w:pPr>
      <w:r w:rsidRPr="00792110">
        <w:rPr>
          <w:rFonts w:ascii="Arial" w:hAnsi="Arial" w:cs="Arial"/>
          <w:sz w:val="23"/>
        </w:rPr>
        <w:t xml:space="preserve">Autonomía presupuestaria del Instituto </w:t>
      </w:r>
    </w:p>
    <w:p w:rsidR="0017455C" w:rsidRPr="00792110" w:rsidRDefault="0017455C" w:rsidP="0017455C">
      <w:pPr>
        <w:spacing w:before="240" w:after="240" w:line="276" w:lineRule="auto"/>
        <w:jc w:val="both"/>
        <w:rPr>
          <w:rFonts w:ascii="Arial" w:hAnsi="Arial" w:cs="Arial"/>
          <w:sz w:val="23"/>
          <w:szCs w:val="23"/>
        </w:rPr>
      </w:pPr>
      <w:r w:rsidRPr="00792110">
        <w:rPr>
          <w:rFonts w:ascii="Arial" w:hAnsi="Arial" w:cs="Arial"/>
          <w:sz w:val="23"/>
          <w:szCs w:val="23"/>
        </w:rPr>
        <w:t>Que, el artículo 6 de la Ley de Presupuesto y Responsabilidad Hacendaria del Estado de Tabasco y sus Municipios, sostiene que la autonomía presupuestaria otorgada a los órganos autónomos a través de la Constitución Local comprende:</w:t>
      </w:r>
    </w:p>
    <w:p w:rsidR="0017455C" w:rsidRPr="0079211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792110">
        <w:rPr>
          <w:rFonts w:ascii="Arial" w:hAnsi="Arial" w:cs="Arial"/>
          <w:sz w:val="23"/>
          <w:szCs w:val="23"/>
        </w:rPr>
        <w:t xml:space="preserve">La aprobación de su proyecto de presupuesto y su remisión a la Secretaría de Finanzas para su integración al proyecto de Presupuesto de Egresos, observando los criterios de política económica y demás disposiciones aplicables; </w:t>
      </w:r>
    </w:p>
    <w:p w:rsidR="0017455C" w:rsidRPr="0079211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792110">
        <w:rPr>
          <w:rFonts w:ascii="Arial" w:hAnsi="Arial" w:cs="Arial"/>
          <w:sz w:val="23"/>
          <w:szCs w:val="23"/>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rsidR="0017455C" w:rsidRPr="0079211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792110">
        <w:rPr>
          <w:rFonts w:ascii="Arial" w:hAnsi="Arial" w:cs="Arial"/>
          <w:sz w:val="23"/>
          <w:szCs w:val="23"/>
        </w:rPr>
        <w:t xml:space="preserve">La autorización de las adecuaciones a sus presupuestos sin requerir la aprobación de la Secretaría de Finanzas, observando las disposiciones de dicha Ley; </w:t>
      </w:r>
    </w:p>
    <w:p w:rsidR="0017455C" w:rsidRPr="0079211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792110">
        <w:rPr>
          <w:rFonts w:ascii="Arial" w:hAnsi="Arial" w:cs="Arial"/>
          <w:sz w:val="23"/>
          <w:szCs w:val="23"/>
        </w:rPr>
        <w:t xml:space="preserve">La realización de sus pagos a través de sus respectivas tesorerías o sus equivalentes; </w:t>
      </w:r>
    </w:p>
    <w:p w:rsidR="0017455C" w:rsidRPr="0079211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792110">
        <w:rPr>
          <w:rFonts w:ascii="Arial" w:hAnsi="Arial" w:cs="Arial"/>
          <w:sz w:val="23"/>
          <w:szCs w:val="23"/>
        </w:rPr>
        <w:t>La determinación de los ajustes que correspondan en sus presupuestos en caso de disminución de ingresos, observando, en lo conducente, lo dispuesto en el artículo 18 de la Ley mencionada; y</w:t>
      </w:r>
    </w:p>
    <w:p w:rsidR="0017455C" w:rsidRPr="00792110" w:rsidRDefault="0017455C" w:rsidP="0017455C">
      <w:pPr>
        <w:pStyle w:val="Prrafodelista"/>
        <w:numPr>
          <w:ilvl w:val="0"/>
          <w:numId w:val="1"/>
        </w:numPr>
        <w:spacing w:before="240" w:after="240" w:line="276" w:lineRule="auto"/>
        <w:ind w:left="357" w:hanging="357"/>
        <w:contextualSpacing w:val="0"/>
        <w:jc w:val="both"/>
        <w:rPr>
          <w:rFonts w:ascii="Arial" w:hAnsi="Arial" w:cs="Arial"/>
          <w:sz w:val="23"/>
          <w:szCs w:val="23"/>
        </w:rPr>
      </w:pPr>
      <w:r w:rsidRPr="00792110">
        <w:rPr>
          <w:rFonts w:ascii="Arial" w:hAnsi="Arial" w:cs="Arial"/>
          <w:sz w:val="23"/>
          <w:szCs w:val="23"/>
        </w:rPr>
        <w:t>Llevar la contabilidad y elaborar sus informes conforme a lo previsto en dicha Ley, así como enviarlos a la Secretaría de Finanzas para su integración a los informes trimestrales y a la cuenta pública.</w:t>
      </w:r>
    </w:p>
    <w:p w:rsidR="008B70F6" w:rsidRPr="00792110" w:rsidRDefault="008B70F6" w:rsidP="00D90B7A">
      <w:pPr>
        <w:pStyle w:val="Ttulo2"/>
        <w:rPr>
          <w:rFonts w:ascii="Arial" w:hAnsi="Arial" w:cs="Arial"/>
          <w:sz w:val="23"/>
        </w:rPr>
      </w:pPr>
      <w:r w:rsidRPr="00792110">
        <w:rPr>
          <w:rFonts w:ascii="Arial" w:hAnsi="Arial" w:cs="Arial"/>
          <w:sz w:val="23"/>
        </w:rPr>
        <w:t>Administración de los recursos financi</w:t>
      </w:r>
      <w:r w:rsidR="00D90B7A" w:rsidRPr="00792110">
        <w:rPr>
          <w:rFonts w:ascii="Arial" w:hAnsi="Arial" w:cs="Arial"/>
          <w:sz w:val="23"/>
        </w:rPr>
        <w:t>eros y materiales del Instituto</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 xml:space="preserve">Que, conforme </w:t>
      </w:r>
      <w:r w:rsidR="00D90B7A" w:rsidRPr="00792110">
        <w:rPr>
          <w:rFonts w:ascii="Arial" w:hAnsi="Arial" w:cs="Arial"/>
          <w:sz w:val="23"/>
          <w:szCs w:val="23"/>
        </w:rPr>
        <w:t>a</w:t>
      </w:r>
      <w:r w:rsidRPr="00792110">
        <w:rPr>
          <w:rFonts w:ascii="Arial" w:hAnsi="Arial" w:cs="Arial"/>
          <w:sz w:val="23"/>
          <w:szCs w:val="23"/>
        </w:rPr>
        <w:t>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rsidR="008B70F6" w:rsidRPr="00792110" w:rsidRDefault="00716838" w:rsidP="00D90B7A">
      <w:pPr>
        <w:pStyle w:val="Ttulo2"/>
        <w:rPr>
          <w:rFonts w:ascii="Arial" w:hAnsi="Arial" w:cs="Arial"/>
          <w:sz w:val="23"/>
        </w:rPr>
      </w:pPr>
      <w:r w:rsidRPr="00792110">
        <w:rPr>
          <w:rFonts w:ascii="Arial" w:hAnsi="Arial" w:cs="Arial"/>
          <w:sz w:val="23"/>
        </w:rPr>
        <w:t>Fondo fijo</w:t>
      </w:r>
    </w:p>
    <w:p w:rsidR="00716838"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 xml:space="preserve">Que, </w:t>
      </w:r>
      <w:r w:rsidR="00716838" w:rsidRPr="00792110">
        <w:rPr>
          <w:rFonts w:ascii="Arial" w:hAnsi="Arial" w:cs="Arial"/>
          <w:sz w:val="23"/>
          <w:szCs w:val="23"/>
        </w:rPr>
        <w:t>de acuerdo con el manual de normas presupuestarias y administrativas para el control del ejercicio presupuestal del Instituto, el Fondo Fijo es el efectivo proporcionado a las unidades administrativas y/o unidades responsables para el desarrollo de sus funciones, con el objeto de cubrir las necesidades elementales mínimas e inmediatas del gasto corriente, para el ejercicio de las funciones del Instituto.</w:t>
      </w:r>
    </w:p>
    <w:p w:rsidR="00716838" w:rsidRPr="00792110" w:rsidRDefault="00716838" w:rsidP="00716838">
      <w:pPr>
        <w:spacing w:before="240" w:after="240" w:line="276" w:lineRule="auto"/>
        <w:jc w:val="both"/>
        <w:rPr>
          <w:rFonts w:ascii="Arial" w:hAnsi="Arial" w:cs="Arial"/>
          <w:sz w:val="23"/>
          <w:szCs w:val="23"/>
        </w:rPr>
      </w:pPr>
      <w:r w:rsidRPr="00792110">
        <w:rPr>
          <w:rFonts w:ascii="Arial" w:hAnsi="Arial" w:cs="Arial"/>
          <w:sz w:val="23"/>
          <w:szCs w:val="23"/>
        </w:rPr>
        <w:t xml:space="preserve">En ese tenor, conforme al numeral 2.4.1. del manual mencionado, el Fondo Fijo será asignado a los órganos distritales que así lo requieran para el desarrollo de sus funciones siendo responsable la persona titular de la Vocalía Ejecutiva que reciba el fondo. </w:t>
      </w:r>
    </w:p>
    <w:p w:rsidR="00716838" w:rsidRPr="00792110" w:rsidRDefault="00716838" w:rsidP="00716838">
      <w:pPr>
        <w:spacing w:before="240" w:after="240" w:line="276" w:lineRule="auto"/>
        <w:jc w:val="both"/>
        <w:rPr>
          <w:rFonts w:ascii="Arial" w:hAnsi="Arial" w:cs="Arial"/>
          <w:sz w:val="23"/>
          <w:szCs w:val="23"/>
        </w:rPr>
      </w:pPr>
      <w:r w:rsidRPr="00792110">
        <w:rPr>
          <w:rFonts w:ascii="Arial" w:hAnsi="Arial" w:cs="Arial"/>
          <w:sz w:val="23"/>
          <w:szCs w:val="23"/>
        </w:rPr>
        <w:t>Asimismo, los pagos en efectivo que se efectúen en cada operación, no deberán rebasar el monto de $2,000.00 (dos mil pesos 00/100 moneda nacional) conforme a la legislación aplicable y los pagos por montos superiores al punto anterior deberán efectuarse a través de transferencia bancaria previo registro de la CLABE interbancaria o cuenta de cheques correspondiente; en el caso de pagos con cheque, serán nominativos, a nombre de personas físicas y jurídico-colectivas y con la leyenda “para abono en cuenta del beneficiario” el cual deberá estar invariablemente a nombre del beneficiario del pago.</w:t>
      </w:r>
    </w:p>
    <w:p w:rsidR="00716838" w:rsidRPr="00792110" w:rsidRDefault="00716838" w:rsidP="00716838">
      <w:pPr>
        <w:spacing w:before="240" w:after="240" w:line="276" w:lineRule="auto"/>
        <w:jc w:val="both"/>
        <w:rPr>
          <w:rFonts w:ascii="Arial" w:hAnsi="Arial" w:cs="Arial"/>
          <w:sz w:val="23"/>
          <w:szCs w:val="23"/>
        </w:rPr>
      </w:pPr>
      <w:r w:rsidRPr="00792110">
        <w:rPr>
          <w:rFonts w:ascii="Arial" w:hAnsi="Arial" w:cs="Arial"/>
          <w:sz w:val="23"/>
          <w:szCs w:val="23"/>
        </w:rPr>
        <w:t>En el caso de las Juntas Distritales, éstas comprobarán sus gastos a través de facturas emitidas por los proveedores y prestadores de servicios cuyos comprobantes deberán cumplir con los requisitos fiscales establecidos en el Código Fiscal de la Federación y la Ley del Impuesto Sobre la Renta, y demás requisitos del manual de normas señalado, dicha comprobación será presentada en la Coordinación de Recursos Financieros para su revisión, autorización y en su caso el reembolso correspondiente.</w:t>
      </w:r>
    </w:p>
    <w:p w:rsidR="008B70F6" w:rsidRPr="00792110" w:rsidRDefault="00393D47" w:rsidP="00D90B7A">
      <w:pPr>
        <w:pStyle w:val="Ttulo2"/>
        <w:rPr>
          <w:rFonts w:ascii="Arial" w:hAnsi="Arial" w:cs="Arial"/>
          <w:sz w:val="23"/>
        </w:rPr>
      </w:pPr>
      <w:r w:rsidRPr="00792110">
        <w:rPr>
          <w:rFonts w:ascii="Arial" w:hAnsi="Arial" w:cs="Arial"/>
          <w:sz w:val="23"/>
        </w:rPr>
        <w:t xml:space="preserve">Fondo fijo </w:t>
      </w:r>
      <w:r w:rsidR="0012340F" w:rsidRPr="00792110">
        <w:rPr>
          <w:rFonts w:ascii="Arial" w:hAnsi="Arial" w:cs="Arial"/>
          <w:sz w:val="23"/>
        </w:rPr>
        <w:t xml:space="preserve">o </w:t>
      </w:r>
      <w:proofErr w:type="spellStart"/>
      <w:r w:rsidR="0012340F" w:rsidRPr="00792110">
        <w:rPr>
          <w:rFonts w:ascii="Arial" w:hAnsi="Arial" w:cs="Arial"/>
          <w:sz w:val="23"/>
        </w:rPr>
        <w:t>revolvente</w:t>
      </w:r>
      <w:proofErr w:type="spellEnd"/>
      <w:r w:rsidR="0012340F" w:rsidRPr="00792110">
        <w:rPr>
          <w:rFonts w:ascii="Arial" w:hAnsi="Arial" w:cs="Arial"/>
          <w:sz w:val="23"/>
        </w:rPr>
        <w:t xml:space="preserve"> </w:t>
      </w:r>
      <w:r w:rsidRPr="00792110">
        <w:rPr>
          <w:rFonts w:ascii="Arial" w:hAnsi="Arial" w:cs="Arial"/>
          <w:sz w:val="23"/>
        </w:rPr>
        <w:t>para las juntas distritales</w:t>
      </w:r>
    </w:p>
    <w:p w:rsidR="00393D47" w:rsidRPr="00792110" w:rsidRDefault="00D90B7A" w:rsidP="00312FF4">
      <w:pPr>
        <w:spacing w:before="240" w:after="240" w:line="276" w:lineRule="auto"/>
        <w:jc w:val="both"/>
        <w:rPr>
          <w:rFonts w:ascii="Arial" w:hAnsi="Arial" w:cs="Arial"/>
          <w:sz w:val="23"/>
          <w:szCs w:val="23"/>
        </w:rPr>
      </w:pPr>
      <w:r w:rsidRPr="00792110">
        <w:rPr>
          <w:rFonts w:ascii="Arial" w:hAnsi="Arial" w:cs="Arial"/>
          <w:sz w:val="23"/>
          <w:szCs w:val="23"/>
        </w:rPr>
        <w:t xml:space="preserve">Que, </w:t>
      </w:r>
      <w:r w:rsidR="00393D47" w:rsidRPr="00792110">
        <w:rPr>
          <w:rFonts w:ascii="Arial" w:hAnsi="Arial" w:cs="Arial"/>
          <w:sz w:val="23"/>
          <w:szCs w:val="23"/>
        </w:rPr>
        <w:t xml:space="preserve">con base en las consideraciones anteriores y de acuerdo a la disponibilidad presupuestal de este Instituto, la Secretaría Ejecutiva propuso la asignación de </w:t>
      </w:r>
      <w:r w:rsidR="00312FF4" w:rsidRPr="00792110">
        <w:rPr>
          <w:rFonts w:ascii="Arial" w:hAnsi="Arial" w:cs="Arial"/>
          <w:sz w:val="23"/>
          <w:szCs w:val="23"/>
        </w:rPr>
        <w:t xml:space="preserve">un fondo fijo </w:t>
      </w:r>
      <w:r w:rsidR="00393D47" w:rsidRPr="00792110">
        <w:rPr>
          <w:rFonts w:ascii="Arial" w:hAnsi="Arial" w:cs="Arial"/>
          <w:sz w:val="23"/>
          <w:szCs w:val="23"/>
        </w:rPr>
        <w:t>para cad</w:t>
      </w:r>
      <w:r w:rsidR="00312FF4" w:rsidRPr="00792110">
        <w:rPr>
          <w:rFonts w:ascii="Arial" w:hAnsi="Arial" w:cs="Arial"/>
          <w:sz w:val="23"/>
          <w:szCs w:val="23"/>
        </w:rPr>
        <w:t xml:space="preserve">a una de las juntas distritales, el cual </w:t>
      </w:r>
      <w:r w:rsidR="00393D47" w:rsidRPr="00792110">
        <w:rPr>
          <w:rFonts w:ascii="Arial" w:hAnsi="Arial" w:cs="Arial"/>
          <w:sz w:val="23"/>
          <w:szCs w:val="23"/>
        </w:rPr>
        <w:t xml:space="preserve">estará sujeto a las disposiciones contenidas en el manual de normas de normas presupuestarias y administrativas para el control del ejercicio presupuestal del Instituto y su destino será única y exclusivamente para aquellas partidas </w:t>
      </w:r>
      <w:r w:rsidR="00312FF4" w:rsidRPr="00792110">
        <w:rPr>
          <w:rFonts w:ascii="Arial" w:hAnsi="Arial" w:cs="Arial"/>
          <w:sz w:val="23"/>
          <w:szCs w:val="23"/>
        </w:rPr>
        <w:t>que expresamente autorice la Secretaría Ejecutiva y la Dirección de Administración.</w:t>
      </w:r>
    </w:p>
    <w:p w:rsidR="00312FF4" w:rsidRPr="00792110" w:rsidRDefault="00312FF4" w:rsidP="00312FF4">
      <w:pPr>
        <w:spacing w:before="240" w:after="240" w:line="276" w:lineRule="auto"/>
        <w:jc w:val="both"/>
        <w:rPr>
          <w:rFonts w:ascii="Arial" w:hAnsi="Arial" w:cs="Arial"/>
          <w:sz w:val="23"/>
          <w:szCs w:val="23"/>
        </w:rPr>
      </w:pPr>
      <w:r w:rsidRPr="00792110">
        <w:rPr>
          <w:rFonts w:ascii="Arial" w:hAnsi="Arial" w:cs="Arial"/>
          <w:sz w:val="23"/>
          <w:szCs w:val="23"/>
        </w:rPr>
        <w:t>El fondo fijo está destinado para el pago de situaciones extraordinarias vinculadas con el desarrollo de las funciones de las juntas distritales y el Proceso Electoral Local Ordinario 2023 – 2024. En todo caso, la persona titular de la Vocalía Ejecutiva que reciba el fondo, será la responsable de su ejercicio y comprobación</w:t>
      </w:r>
      <w:r w:rsidR="00CD2ADA" w:rsidRPr="00792110">
        <w:rPr>
          <w:rFonts w:ascii="Arial" w:hAnsi="Arial" w:cs="Arial"/>
          <w:sz w:val="23"/>
          <w:szCs w:val="23"/>
        </w:rPr>
        <w:t xml:space="preserve"> mensual</w:t>
      </w:r>
      <w:r w:rsidRPr="00792110">
        <w:rPr>
          <w:rFonts w:ascii="Arial" w:hAnsi="Arial" w:cs="Arial"/>
          <w:sz w:val="23"/>
          <w:szCs w:val="23"/>
        </w:rPr>
        <w:t>.</w:t>
      </w:r>
    </w:p>
    <w:p w:rsidR="00312FF4" w:rsidRDefault="00622157" w:rsidP="00312FF4">
      <w:pPr>
        <w:spacing w:before="240" w:after="240" w:line="276" w:lineRule="auto"/>
        <w:jc w:val="both"/>
        <w:rPr>
          <w:rFonts w:ascii="Arial" w:hAnsi="Arial" w:cs="Arial"/>
          <w:sz w:val="23"/>
          <w:szCs w:val="23"/>
        </w:rPr>
      </w:pPr>
      <w:r w:rsidRPr="00792110">
        <w:rPr>
          <w:rFonts w:ascii="Arial" w:hAnsi="Arial" w:cs="Arial"/>
          <w:sz w:val="23"/>
          <w:szCs w:val="23"/>
        </w:rPr>
        <w:t xml:space="preserve">Para su asignación se consideraron no sólo las operaciones habituales de las juntas distritales, sino la ubicación, la dimensión territorial y en general las particularidades de cada distrito. En ese tenor, la </w:t>
      </w:r>
      <w:r w:rsidR="004F6033" w:rsidRPr="00792110">
        <w:rPr>
          <w:rFonts w:ascii="Arial" w:hAnsi="Arial" w:cs="Arial"/>
          <w:sz w:val="23"/>
          <w:szCs w:val="23"/>
        </w:rPr>
        <w:t xml:space="preserve">asignación será de forma mensual y su </w:t>
      </w:r>
      <w:r w:rsidRPr="00792110">
        <w:rPr>
          <w:rFonts w:ascii="Arial" w:hAnsi="Arial" w:cs="Arial"/>
          <w:sz w:val="23"/>
          <w:szCs w:val="23"/>
        </w:rPr>
        <w:t xml:space="preserve">distribución </w:t>
      </w:r>
      <w:r w:rsidR="00CD2ADA" w:rsidRPr="00792110">
        <w:rPr>
          <w:rFonts w:ascii="Arial" w:hAnsi="Arial" w:cs="Arial"/>
          <w:sz w:val="23"/>
          <w:szCs w:val="23"/>
        </w:rPr>
        <w:t xml:space="preserve">estará sujeta </w:t>
      </w:r>
      <w:r w:rsidRPr="00792110">
        <w:rPr>
          <w:rFonts w:ascii="Arial" w:hAnsi="Arial" w:cs="Arial"/>
          <w:sz w:val="23"/>
          <w:szCs w:val="23"/>
        </w:rPr>
        <w:t>a los siguientes montos:</w:t>
      </w:r>
    </w:p>
    <w:p w:rsidR="00792110" w:rsidRPr="00792110" w:rsidRDefault="00792110" w:rsidP="00312FF4">
      <w:pPr>
        <w:spacing w:before="240" w:after="240" w:line="276" w:lineRule="auto"/>
        <w:jc w:val="both"/>
        <w:rPr>
          <w:rFonts w:ascii="Arial" w:hAnsi="Arial" w:cs="Arial"/>
          <w:sz w:val="23"/>
          <w:szCs w:val="23"/>
        </w:rPr>
      </w:pP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9"/>
        <w:gridCol w:w="2079"/>
        <w:gridCol w:w="2079"/>
      </w:tblGrid>
      <w:tr w:rsidR="00740BA3" w:rsidRPr="00740BA3" w:rsidTr="00FF2687">
        <w:trPr>
          <w:jc w:val="center"/>
        </w:trPr>
        <w:tc>
          <w:tcPr>
            <w:tcW w:w="2079" w:type="dxa"/>
            <w:shd w:val="clear" w:color="auto" w:fill="993366"/>
          </w:tcPr>
          <w:p w:rsidR="00740BA3" w:rsidRPr="00FF2687" w:rsidRDefault="00740BA3" w:rsidP="00740BA3">
            <w:pPr>
              <w:spacing w:before="20" w:after="20" w:line="276" w:lineRule="auto"/>
              <w:jc w:val="center"/>
              <w:rPr>
                <w:rFonts w:ascii="Exo" w:hAnsi="Exo"/>
                <w:b/>
                <w:color w:val="FFFFFF" w:themeColor="background1"/>
                <w:sz w:val="20"/>
                <w:szCs w:val="20"/>
              </w:rPr>
            </w:pPr>
            <w:r w:rsidRPr="00FF2687">
              <w:rPr>
                <w:rFonts w:ascii="Exo" w:hAnsi="Exo"/>
                <w:b/>
                <w:color w:val="FFFFFF" w:themeColor="background1"/>
                <w:sz w:val="20"/>
                <w:szCs w:val="20"/>
              </w:rPr>
              <w:t>Distrito</w:t>
            </w:r>
          </w:p>
        </w:tc>
        <w:tc>
          <w:tcPr>
            <w:tcW w:w="2079" w:type="dxa"/>
            <w:shd w:val="clear" w:color="auto" w:fill="993366"/>
          </w:tcPr>
          <w:p w:rsidR="00740BA3" w:rsidRPr="00FF2687" w:rsidRDefault="00740BA3" w:rsidP="00740BA3">
            <w:pPr>
              <w:spacing w:before="20" w:after="20" w:line="276" w:lineRule="auto"/>
              <w:jc w:val="center"/>
              <w:rPr>
                <w:rFonts w:ascii="Exo" w:hAnsi="Exo"/>
                <w:b/>
                <w:color w:val="FFFFFF" w:themeColor="background1"/>
                <w:sz w:val="20"/>
                <w:szCs w:val="20"/>
              </w:rPr>
            </w:pPr>
            <w:r w:rsidRPr="00FF2687">
              <w:rPr>
                <w:rFonts w:ascii="Exo" w:hAnsi="Exo"/>
                <w:b/>
                <w:color w:val="FFFFFF" w:themeColor="background1"/>
                <w:sz w:val="20"/>
                <w:szCs w:val="20"/>
              </w:rPr>
              <w:t>De</w:t>
            </w:r>
          </w:p>
        </w:tc>
        <w:tc>
          <w:tcPr>
            <w:tcW w:w="2079" w:type="dxa"/>
            <w:shd w:val="clear" w:color="auto" w:fill="993366"/>
          </w:tcPr>
          <w:p w:rsidR="00740BA3" w:rsidRPr="00FF2687" w:rsidRDefault="00740BA3" w:rsidP="00740BA3">
            <w:pPr>
              <w:spacing w:before="20" w:after="20" w:line="276" w:lineRule="auto"/>
              <w:jc w:val="center"/>
              <w:rPr>
                <w:rFonts w:ascii="Exo" w:hAnsi="Exo"/>
                <w:b/>
                <w:color w:val="FFFFFF" w:themeColor="background1"/>
                <w:sz w:val="20"/>
                <w:szCs w:val="20"/>
              </w:rPr>
            </w:pPr>
            <w:r w:rsidRPr="00FF2687">
              <w:rPr>
                <w:rFonts w:ascii="Exo" w:hAnsi="Exo"/>
                <w:b/>
                <w:color w:val="FFFFFF" w:themeColor="background1"/>
                <w:sz w:val="20"/>
                <w:szCs w:val="20"/>
              </w:rPr>
              <w:t>Hasta</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01 Cárdenas</w:t>
            </w:r>
          </w:p>
        </w:tc>
        <w:tc>
          <w:tcPr>
            <w:tcW w:w="2079" w:type="dxa"/>
          </w:tcPr>
          <w:p w:rsidR="00740BA3" w:rsidRPr="00740BA3" w:rsidRDefault="00740BA3" w:rsidP="00740BA3">
            <w:pPr>
              <w:spacing w:before="20" w:after="20" w:line="276" w:lineRule="auto"/>
              <w:jc w:val="center"/>
              <w:rPr>
                <w:rFonts w:ascii="Exo" w:hAnsi="Exo"/>
                <w:sz w:val="20"/>
                <w:szCs w:val="20"/>
              </w:rPr>
            </w:pPr>
            <w:r w:rsidRPr="00740BA3">
              <w:rPr>
                <w:rFonts w:ascii="Exo" w:hAnsi="Exo"/>
                <w:sz w:val="20"/>
                <w:szCs w:val="20"/>
              </w:rPr>
              <w:t>$5,000.00</w:t>
            </w:r>
          </w:p>
        </w:tc>
        <w:tc>
          <w:tcPr>
            <w:tcW w:w="2079" w:type="dxa"/>
          </w:tcPr>
          <w:p w:rsidR="00740BA3" w:rsidRPr="00740BA3" w:rsidRDefault="00740BA3" w:rsidP="00740BA3">
            <w:pPr>
              <w:spacing w:before="20" w:after="20" w:line="276" w:lineRule="auto"/>
              <w:jc w:val="center"/>
              <w:rPr>
                <w:rFonts w:ascii="Exo" w:hAnsi="Exo"/>
                <w:sz w:val="20"/>
                <w:szCs w:val="20"/>
              </w:rPr>
            </w:pPr>
            <w:r w:rsidRPr="00740BA3">
              <w:rPr>
                <w:rFonts w:ascii="Exo" w:hAnsi="Exo"/>
                <w:sz w:val="20"/>
                <w:szCs w:val="20"/>
              </w:rPr>
              <w:t>$8,000.00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02 Cárdenas</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$4,000.00</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$6,000.00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03 Cárdenas</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$4,000.00</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$6,000.00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04 Centla</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$5,000.00</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$10,000.00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05 Centro</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$4,000.00</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$6,000.00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06 Centro</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$4,000.00</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$6,000.00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07 Centro</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$4,000.00</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$6,000.00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08 Centro</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$4,000.00</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$6,000.00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09 Centro</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$4,000.00</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$6,000.00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10 Centro</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$4,000.00</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$6,000.00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11 Comalcalco</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$4,000.00</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$6,000.00</w:t>
            </w:r>
          </w:p>
        </w:tc>
      </w:tr>
      <w:tr w:rsidR="00740BA3" w:rsidRPr="00740BA3" w:rsidTr="00FF2687">
        <w:trPr>
          <w:jc w:val="center"/>
        </w:trPr>
        <w:tc>
          <w:tcPr>
            <w:tcW w:w="2079" w:type="dxa"/>
          </w:tcPr>
          <w:p w:rsidR="00740BA3" w:rsidRPr="00740BA3" w:rsidRDefault="00740BA3" w:rsidP="00740BA3">
            <w:pPr>
              <w:spacing w:before="20" w:after="20" w:line="276" w:lineRule="auto"/>
              <w:jc w:val="both"/>
              <w:rPr>
                <w:rFonts w:ascii="Exo" w:hAnsi="Exo"/>
                <w:sz w:val="20"/>
                <w:szCs w:val="20"/>
              </w:rPr>
            </w:pPr>
            <w:r w:rsidRPr="00740BA3">
              <w:rPr>
                <w:rFonts w:ascii="Exo" w:hAnsi="Exo"/>
                <w:sz w:val="20"/>
                <w:szCs w:val="20"/>
              </w:rPr>
              <w:t>12 Comalcalco</w:t>
            </w:r>
          </w:p>
        </w:tc>
        <w:tc>
          <w:tcPr>
            <w:tcW w:w="2079" w:type="dxa"/>
          </w:tcPr>
          <w:p w:rsidR="00740BA3" w:rsidRPr="00740BA3" w:rsidRDefault="00740BA3" w:rsidP="00740BA3">
            <w:pPr>
              <w:spacing w:before="20" w:after="20" w:line="276" w:lineRule="auto"/>
              <w:jc w:val="center"/>
              <w:rPr>
                <w:rFonts w:ascii="Exo" w:hAnsi="Exo"/>
                <w:sz w:val="20"/>
                <w:szCs w:val="20"/>
              </w:rPr>
            </w:pPr>
            <w:r>
              <w:rPr>
                <w:rFonts w:ascii="Exo" w:hAnsi="Exo"/>
                <w:sz w:val="20"/>
                <w:szCs w:val="20"/>
              </w:rPr>
              <w:t>$5,000.00</w:t>
            </w:r>
          </w:p>
        </w:tc>
        <w:tc>
          <w:tcPr>
            <w:tcW w:w="2079" w:type="dxa"/>
          </w:tcPr>
          <w:p w:rsidR="00740BA3" w:rsidRPr="00740BA3" w:rsidRDefault="004F65E4" w:rsidP="00740BA3">
            <w:pPr>
              <w:spacing w:before="20" w:after="20" w:line="276" w:lineRule="auto"/>
              <w:jc w:val="center"/>
              <w:rPr>
                <w:rFonts w:ascii="Exo" w:hAnsi="Exo"/>
                <w:sz w:val="20"/>
                <w:szCs w:val="20"/>
              </w:rPr>
            </w:pPr>
            <w:r>
              <w:rPr>
                <w:rFonts w:ascii="Exo" w:hAnsi="Exo"/>
                <w:sz w:val="20"/>
                <w:szCs w:val="20"/>
              </w:rPr>
              <w:t>$8,000.00</w:t>
            </w:r>
          </w:p>
        </w:tc>
      </w:tr>
      <w:tr w:rsidR="004F65E4" w:rsidRPr="00740BA3" w:rsidTr="00FF2687">
        <w:trPr>
          <w:jc w:val="center"/>
        </w:trPr>
        <w:tc>
          <w:tcPr>
            <w:tcW w:w="2079" w:type="dxa"/>
          </w:tcPr>
          <w:p w:rsidR="004F65E4" w:rsidRPr="00740BA3" w:rsidRDefault="004F65E4" w:rsidP="004F65E4">
            <w:pPr>
              <w:spacing w:before="20" w:after="20" w:line="276" w:lineRule="auto"/>
              <w:jc w:val="both"/>
              <w:rPr>
                <w:rFonts w:ascii="Exo" w:hAnsi="Exo"/>
                <w:sz w:val="20"/>
                <w:szCs w:val="20"/>
              </w:rPr>
            </w:pPr>
            <w:r w:rsidRPr="00740BA3">
              <w:rPr>
                <w:rFonts w:ascii="Exo" w:hAnsi="Exo"/>
                <w:sz w:val="20"/>
                <w:szCs w:val="20"/>
              </w:rPr>
              <w:t>13 Cunduacán</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$5,000.00</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$8,000.00</w:t>
            </w:r>
          </w:p>
        </w:tc>
      </w:tr>
      <w:tr w:rsidR="004F65E4" w:rsidRPr="00740BA3" w:rsidTr="00FF2687">
        <w:trPr>
          <w:jc w:val="center"/>
        </w:trPr>
        <w:tc>
          <w:tcPr>
            <w:tcW w:w="2079" w:type="dxa"/>
          </w:tcPr>
          <w:p w:rsidR="004F65E4" w:rsidRPr="00740BA3" w:rsidRDefault="004F65E4" w:rsidP="004F65E4">
            <w:pPr>
              <w:spacing w:before="20" w:after="20" w:line="276" w:lineRule="auto"/>
              <w:jc w:val="both"/>
              <w:rPr>
                <w:rFonts w:ascii="Exo" w:hAnsi="Exo"/>
                <w:sz w:val="20"/>
                <w:szCs w:val="20"/>
              </w:rPr>
            </w:pPr>
            <w:r w:rsidRPr="00740BA3">
              <w:rPr>
                <w:rFonts w:ascii="Exo" w:hAnsi="Exo"/>
                <w:sz w:val="20"/>
                <w:szCs w:val="20"/>
              </w:rPr>
              <w:t>14 Emiliano Zapata</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$5,000.00</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$10,000.00</w:t>
            </w:r>
          </w:p>
        </w:tc>
      </w:tr>
      <w:tr w:rsidR="004F65E4" w:rsidRPr="00740BA3" w:rsidTr="00FF2687">
        <w:trPr>
          <w:jc w:val="center"/>
        </w:trPr>
        <w:tc>
          <w:tcPr>
            <w:tcW w:w="2079" w:type="dxa"/>
          </w:tcPr>
          <w:p w:rsidR="004F65E4" w:rsidRPr="00740BA3" w:rsidRDefault="004F65E4" w:rsidP="004F65E4">
            <w:pPr>
              <w:spacing w:before="20" w:after="20" w:line="276" w:lineRule="auto"/>
              <w:jc w:val="both"/>
              <w:rPr>
                <w:rFonts w:ascii="Exo" w:hAnsi="Exo"/>
                <w:sz w:val="20"/>
                <w:szCs w:val="20"/>
              </w:rPr>
            </w:pPr>
            <w:r w:rsidRPr="00740BA3">
              <w:rPr>
                <w:rFonts w:ascii="Exo" w:hAnsi="Exo"/>
                <w:sz w:val="20"/>
                <w:szCs w:val="20"/>
              </w:rPr>
              <w:t>15 Huimanguillo</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$5,000.00</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$8,000.00</w:t>
            </w:r>
          </w:p>
        </w:tc>
      </w:tr>
      <w:tr w:rsidR="004F65E4" w:rsidRPr="00740BA3" w:rsidTr="00FF2687">
        <w:trPr>
          <w:jc w:val="center"/>
        </w:trPr>
        <w:tc>
          <w:tcPr>
            <w:tcW w:w="2079" w:type="dxa"/>
          </w:tcPr>
          <w:p w:rsidR="004F65E4" w:rsidRPr="00740BA3" w:rsidRDefault="004F65E4" w:rsidP="004F65E4">
            <w:pPr>
              <w:spacing w:before="20" w:after="20" w:line="276" w:lineRule="auto"/>
              <w:jc w:val="both"/>
              <w:rPr>
                <w:rFonts w:ascii="Exo" w:hAnsi="Exo"/>
                <w:sz w:val="20"/>
                <w:szCs w:val="20"/>
              </w:rPr>
            </w:pPr>
            <w:r w:rsidRPr="00740BA3">
              <w:rPr>
                <w:rFonts w:ascii="Exo" w:hAnsi="Exo"/>
                <w:sz w:val="20"/>
                <w:szCs w:val="20"/>
              </w:rPr>
              <w:t>16 Macuspana</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$5,000.00</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$10,000.00</w:t>
            </w:r>
          </w:p>
        </w:tc>
      </w:tr>
      <w:tr w:rsidR="004F65E4" w:rsidRPr="00740BA3" w:rsidTr="00FF2687">
        <w:trPr>
          <w:jc w:val="center"/>
        </w:trPr>
        <w:tc>
          <w:tcPr>
            <w:tcW w:w="2079" w:type="dxa"/>
          </w:tcPr>
          <w:p w:rsidR="004F65E4" w:rsidRPr="00740BA3" w:rsidRDefault="004F65E4" w:rsidP="004F65E4">
            <w:pPr>
              <w:spacing w:before="20" w:after="20" w:line="276" w:lineRule="auto"/>
              <w:jc w:val="both"/>
              <w:rPr>
                <w:rFonts w:ascii="Exo" w:hAnsi="Exo"/>
                <w:sz w:val="20"/>
                <w:szCs w:val="20"/>
              </w:rPr>
            </w:pPr>
            <w:r w:rsidRPr="00740BA3">
              <w:rPr>
                <w:rFonts w:ascii="Exo" w:hAnsi="Exo"/>
                <w:sz w:val="20"/>
                <w:szCs w:val="20"/>
              </w:rPr>
              <w:t>17 Jalpa de Méndez</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$4,000.00</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$6,000.00</w:t>
            </w:r>
          </w:p>
        </w:tc>
      </w:tr>
      <w:tr w:rsidR="004F65E4" w:rsidRPr="00740BA3" w:rsidTr="00FF2687">
        <w:trPr>
          <w:jc w:val="center"/>
        </w:trPr>
        <w:tc>
          <w:tcPr>
            <w:tcW w:w="2079" w:type="dxa"/>
          </w:tcPr>
          <w:p w:rsidR="004F65E4" w:rsidRPr="00740BA3" w:rsidRDefault="004F65E4" w:rsidP="004F65E4">
            <w:pPr>
              <w:spacing w:before="20" w:after="20" w:line="276" w:lineRule="auto"/>
              <w:jc w:val="both"/>
              <w:rPr>
                <w:rFonts w:ascii="Exo" w:hAnsi="Exo"/>
                <w:sz w:val="20"/>
                <w:szCs w:val="20"/>
              </w:rPr>
            </w:pPr>
            <w:r w:rsidRPr="00740BA3">
              <w:rPr>
                <w:rFonts w:ascii="Exo" w:hAnsi="Exo"/>
                <w:sz w:val="20"/>
                <w:szCs w:val="20"/>
              </w:rPr>
              <w:t>18 Nacajuca</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$4,000.00</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$6,000.00</w:t>
            </w:r>
          </w:p>
        </w:tc>
      </w:tr>
      <w:tr w:rsidR="004F65E4" w:rsidRPr="00740BA3" w:rsidTr="00FF2687">
        <w:trPr>
          <w:jc w:val="center"/>
        </w:trPr>
        <w:tc>
          <w:tcPr>
            <w:tcW w:w="2079" w:type="dxa"/>
          </w:tcPr>
          <w:p w:rsidR="004F65E4" w:rsidRPr="00740BA3" w:rsidRDefault="004F65E4" w:rsidP="004F65E4">
            <w:pPr>
              <w:spacing w:before="20" w:after="20" w:line="276" w:lineRule="auto"/>
              <w:jc w:val="both"/>
              <w:rPr>
                <w:rFonts w:ascii="Exo" w:hAnsi="Exo"/>
                <w:sz w:val="20"/>
                <w:szCs w:val="20"/>
              </w:rPr>
            </w:pPr>
            <w:r w:rsidRPr="00740BA3">
              <w:rPr>
                <w:rFonts w:ascii="Exo" w:hAnsi="Exo"/>
                <w:sz w:val="20"/>
                <w:szCs w:val="20"/>
              </w:rPr>
              <w:t>19 Paraíso</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$5,000.00</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$8,000.00</w:t>
            </w:r>
          </w:p>
        </w:tc>
      </w:tr>
      <w:tr w:rsidR="004F65E4" w:rsidRPr="00740BA3" w:rsidTr="00FF2687">
        <w:trPr>
          <w:jc w:val="center"/>
        </w:trPr>
        <w:tc>
          <w:tcPr>
            <w:tcW w:w="2079" w:type="dxa"/>
          </w:tcPr>
          <w:p w:rsidR="004F65E4" w:rsidRPr="00740BA3" w:rsidRDefault="004F65E4" w:rsidP="004F65E4">
            <w:pPr>
              <w:spacing w:before="20" w:after="20" w:line="276" w:lineRule="auto"/>
              <w:jc w:val="both"/>
              <w:rPr>
                <w:rFonts w:ascii="Exo" w:hAnsi="Exo"/>
                <w:sz w:val="20"/>
                <w:szCs w:val="20"/>
              </w:rPr>
            </w:pPr>
            <w:r w:rsidRPr="00740BA3">
              <w:rPr>
                <w:rFonts w:ascii="Exo" w:hAnsi="Exo"/>
                <w:sz w:val="20"/>
                <w:szCs w:val="20"/>
              </w:rPr>
              <w:t>20 Teapa</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$5,000.00</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$10,000.00</w:t>
            </w:r>
          </w:p>
        </w:tc>
      </w:tr>
      <w:tr w:rsidR="004F65E4" w:rsidRPr="00740BA3" w:rsidTr="00FF2687">
        <w:trPr>
          <w:jc w:val="center"/>
        </w:trPr>
        <w:tc>
          <w:tcPr>
            <w:tcW w:w="2079" w:type="dxa"/>
          </w:tcPr>
          <w:p w:rsidR="004F65E4" w:rsidRPr="00740BA3" w:rsidRDefault="004F65E4" w:rsidP="004F65E4">
            <w:pPr>
              <w:spacing w:before="20" w:after="20" w:line="276" w:lineRule="auto"/>
              <w:jc w:val="both"/>
              <w:rPr>
                <w:rFonts w:ascii="Exo" w:hAnsi="Exo"/>
                <w:sz w:val="20"/>
                <w:szCs w:val="20"/>
              </w:rPr>
            </w:pPr>
            <w:r w:rsidRPr="00740BA3">
              <w:rPr>
                <w:rFonts w:ascii="Exo" w:hAnsi="Exo"/>
                <w:sz w:val="20"/>
                <w:szCs w:val="20"/>
              </w:rPr>
              <w:t>21 Tenosique</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$5,000.00</w:t>
            </w:r>
          </w:p>
        </w:tc>
        <w:tc>
          <w:tcPr>
            <w:tcW w:w="2079" w:type="dxa"/>
          </w:tcPr>
          <w:p w:rsidR="004F65E4" w:rsidRPr="00740BA3" w:rsidRDefault="004F65E4" w:rsidP="004F65E4">
            <w:pPr>
              <w:spacing w:before="20" w:after="20" w:line="276" w:lineRule="auto"/>
              <w:jc w:val="center"/>
              <w:rPr>
                <w:rFonts w:ascii="Exo" w:hAnsi="Exo"/>
                <w:sz w:val="20"/>
                <w:szCs w:val="20"/>
              </w:rPr>
            </w:pPr>
            <w:r>
              <w:rPr>
                <w:rFonts w:ascii="Exo" w:hAnsi="Exo"/>
                <w:sz w:val="20"/>
                <w:szCs w:val="20"/>
              </w:rPr>
              <w:t>$10,000.00</w:t>
            </w:r>
          </w:p>
        </w:tc>
      </w:tr>
    </w:tbl>
    <w:p w:rsidR="00651A0E" w:rsidRPr="00792110" w:rsidRDefault="00651A0E" w:rsidP="008B70F6">
      <w:pPr>
        <w:spacing w:before="240" w:after="240" w:line="276" w:lineRule="auto"/>
        <w:jc w:val="both"/>
        <w:rPr>
          <w:rFonts w:ascii="Arial" w:hAnsi="Arial" w:cs="Arial"/>
          <w:sz w:val="23"/>
          <w:szCs w:val="23"/>
        </w:rPr>
      </w:pPr>
      <w:r w:rsidRPr="00792110">
        <w:rPr>
          <w:rFonts w:ascii="Arial" w:hAnsi="Arial" w:cs="Arial"/>
          <w:sz w:val="23"/>
          <w:szCs w:val="23"/>
        </w:rPr>
        <w:t>Asimismo, en caso de que, por situaciones extraordinarias alguna de las juntas electorales distritales requiera recursos adicionales, éstos podrán ser autorizados de forma justificada por el Secretario Ejecutivo.</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 xml:space="preserve">Sobre la base de las consideraciones señaladas, esta Junta </w:t>
      </w:r>
      <w:r w:rsidR="004807C8" w:rsidRPr="00792110">
        <w:rPr>
          <w:rFonts w:ascii="Arial" w:hAnsi="Arial" w:cs="Arial"/>
          <w:sz w:val="23"/>
          <w:szCs w:val="23"/>
        </w:rPr>
        <w:t>Ejecutiva</w:t>
      </w:r>
      <w:r w:rsidRPr="00792110">
        <w:rPr>
          <w:rFonts w:ascii="Arial" w:hAnsi="Arial" w:cs="Arial"/>
          <w:sz w:val="23"/>
          <w:szCs w:val="23"/>
        </w:rPr>
        <w:t xml:space="preserve"> emite el siguiente:</w:t>
      </w:r>
    </w:p>
    <w:p w:rsidR="008B70F6" w:rsidRPr="00792110" w:rsidRDefault="0017455C" w:rsidP="0017455C">
      <w:pPr>
        <w:pStyle w:val="Ttulo1"/>
        <w:rPr>
          <w:rFonts w:ascii="Arial" w:hAnsi="Arial" w:cs="Arial"/>
          <w:sz w:val="24"/>
          <w:szCs w:val="24"/>
        </w:rPr>
      </w:pPr>
      <w:r w:rsidRPr="00792110">
        <w:rPr>
          <w:rFonts w:ascii="Arial" w:hAnsi="Arial" w:cs="Arial"/>
          <w:sz w:val="24"/>
          <w:szCs w:val="24"/>
        </w:rPr>
        <w:t>Acuerdo</w:t>
      </w:r>
    </w:p>
    <w:p w:rsidR="008B70F6" w:rsidRPr="00792110" w:rsidRDefault="0017455C" w:rsidP="008B70F6">
      <w:pPr>
        <w:spacing w:before="240" w:after="240" w:line="276" w:lineRule="auto"/>
        <w:jc w:val="both"/>
        <w:rPr>
          <w:rFonts w:ascii="Arial" w:hAnsi="Arial" w:cs="Arial"/>
          <w:sz w:val="23"/>
          <w:szCs w:val="23"/>
        </w:rPr>
      </w:pPr>
      <w:r w:rsidRPr="00792110">
        <w:rPr>
          <w:rFonts w:ascii="Arial" w:hAnsi="Arial" w:cs="Arial"/>
          <w:b/>
          <w:sz w:val="23"/>
          <w:szCs w:val="23"/>
        </w:rPr>
        <w:t>Primero.</w:t>
      </w:r>
      <w:r w:rsidRPr="00792110">
        <w:rPr>
          <w:rFonts w:ascii="Arial" w:hAnsi="Arial" w:cs="Arial"/>
          <w:sz w:val="23"/>
          <w:szCs w:val="23"/>
        </w:rPr>
        <w:t xml:space="preserve"> </w:t>
      </w:r>
      <w:r w:rsidR="008B70F6" w:rsidRPr="00792110">
        <w:rPr>
          <w:rFonts w:ascii="Arial" w:hAnsi="Arial" w:cs="Arial"/>
          <w:sz w:val="23"/>
          <w:szCs w:val="23"/>
        </w:rPr>
        <w:t>Se aprueba</w:t>
      </w:r>
      <w:r w:rsidR="0090563D" w:rsidRPr="00792110">
        <w:rPr>
          <w:rFonts w:ascii="Arial" w:hAnsi="Arial" w:cs="Arial"/>
          <w:sz w:val="23"/>
          <w:szCs w:val="23"/>
        </w:rPr>
        <w:t xml:space="preserve">n los montos correspondientes al fondo fijo o </w:t>
      </w:r>
      <w:proofErr w:type="spellStart"/>
      <w:r w:rsidR="0090563D" w:rsidRPr="00792110">
        <w:rPr>
          <w:rFonts w:ascii="Arial" w:hAnsi="Arial" w:cs="Arial"/>
          <w:sz w:val="23"/>
          <w:szCs w:val="23"/>
        </w:rPr>
        <w:t>revolvente</w:t>
      </w:r>
      <w:proofErr w:type="spellEnd"/>
      <w:r w:rsidR="0090563D" w:rsidRPr="00792110">
        <w:rPr>
          <w:rFonts w:ascii="Arial" w:hAnsi="Arial" w:cs="Arial"/>
          <w:sz w:val="23"/>
          <w:szCs w:val="23"/>
        </w:rPr>
        <w:t xml:space="preserve"> para el desarrollo de las funciones de cada una de las Juntas Electorales Distritales del propio Instituto con motivo del P</w:t>
      </w:r>
      <w:r w:rsidR="008B70F6" w:rsidRPr="00792110">
        <w:rPr>
          <w:rFonts w:ascii="Arial" w:hAnsi="Arial" w:cs="Arial"/>
          <w:sz w:val="23"/>
          <w:szCs w:val="23"/>
        </w:rPr>
        <w:t xml:space="preserve">roceso </w:t>
      </w:r>
      <w:r w:rsidR="0090563D" w:rsidRPr="00792110">
        <w:rPr>
          <w:rFonts w:ascii="Arial" w:hAnsi="Arial" w:cs="Arial"/>
          <w:sz w:val="23"/>
          <w:szCs w:val="23"/>
        </w:rPr>
        <w:t>E</w:t>
      </w:r>
      <w:r w:rsidR="008B70F6" w:rsidRPr="00792110">
        <w:rPr>
          <w:rFonts w:ascii="Arial" w:hAnsi="Arial" w:cs="Arial"/>
          <w:sz w:val="23"/>
          <w:szCs w:val="23"/>
        </w:rPr>
        <w:t xml:space="preserve">lectoral </w:t>
      </w:r>
      <w:r w:rsidR="0090563D" w:rsidRPr="00792110">
        <w:rPr>
          <w:rFonts w:ascii="Arial" w:hAnsi="Arial" w:cs="Arial"/>
          <w:sz w:val="23"/>
          <w:szCs w:val="23"/>
        </w:rPr>
        <w:t>L</w:t>
      </w:r>
      <w:r w:rsidR="008B70F6" w:rsidRPr="00792110">
        <w:rPr>
          <w:rFonts w:ascii="Arial" w:hAnsi="Arial" w:cs="Arial"/>
          <w:sz w:val="23"/>
          <w:szCs w:val="23"/>
        </w:rPr>
        <w:t xml:space="preserve">ocal </w:t>
      </w:r>
      <w:r w:rsidR="0090563D" w:rsidRPr="00792110">
        <w:rPr>
          <w:rFonts w:ascii="Arial" w:hAnsi="Arial" w:cs="Arial"/>
          <w:sz w:val="23"/>
          <w:szCs w:val="23"/>
        </w:rPr>
        <w:t>O</w:t>
      </w:r>
      <w:r w:rsidR="008B70F6" w:rsidRPr="00792110">
        <w:rPr>
          <w:rFonts w:ascii="Arial" w:hAnsi="Arial" w:cs="Arial"/>
          <w:sz w:val="23"/>
          <w:szCs w:val="23"/>
        </w:rPr>
        <w:t>rdinario 2023-2024</w:t>
      </w:r>
      <w:r w:rsidR="0090563D" w:rsidRPr="00792110">
        <w:rPr>
          <w:rFonts w:ascii="Arial" w:hAnsi="Arial" w:cs="Arial"/>
          <w:sz w:val="23"/>
          <w:szCs w:val="23"/>
        </w:rPr>
        <w:t xml:space="preserve">, conforme a </w:t>
      </w:r>
      <w:r w:rsidR="00CB7137" w:rsidRPr="00792110">
        <w:rPr>
          <w:rFonts w:ascii="Arial" w:hAnsi="Arial" w:cs="Arial"/>
          <w:sz w:val="23"/>
          <w:szCs w:val="23"/>
        </w:rPr>
        <w:t>lo establecido</w:t>
      </w:r>
      <w:r w:rsidR="0090563D" w:rsidRPr="00792110">
        <w:rPr>
          <w:rFonts w:ascii="Arial" w:hAnsi="Arial" w:cs="Arial"/>
          <w:sz w:val="23"/>
          <w:szCs w:val="23"/>
        </w:rPr>
        <w:t xml:space="preserve"> en el considerando 2.15 del presente acuerdo.</w:t>
      </w:r>
    </w:p>
    <w:p w:rsidR="00651A0E" w:rsidRPr="00792110" w:rsidRDefault="0017455C" w:rsidP="008B70F6">
      <w:pPr>
        <w:spacing w:before="240" w:after="240" w:line="276" w:lineRule="auto"/>
        <w:jc w:val="both"/>
        <w:rPr>
          <w:rFonts w:ascii="Arial" w:hAnsi="Arial" w:cs="Arial"/>
          <w:sz w:val="23"/>
          <w:szCs w:val="23"/>
        </w:rPr>
      </w:pPr>
      <w:r w:rsidRPr="00792110">
        <w:rPr>
          <w:rFonts w:ascii="Arial" w:hAnsi="Arial" w:cs="Arial"/>
          <w:b/>
          <w:sz w:val="23"/>
          <w:szCs w:val="23"/>
        </w:rPr>
        <w:t>Segundo</w:t>
      </w:r>
      <w:r w:rsidR="008B70F6" w:rsidRPr="00792110">
        <w:rPr>
          <w:rFonts w:ascii="Arial" w:hAnsi="Arial" w:cs="Arial"/>
          <w:b/>
          <w:sz w:val="23"/>
          <w:szCs w:val="23"/>
        </w:rPr>
        <w:t xml:space="preserve">. </w:t>
      </w:r>
      <w:r w:rsidR="00651A0E" w:rsidRPr="00792110">
        <w:rPr>
          <w:rFonts w:ascii="Arial" w:hAnsi="Arial" w:cs="Arial"/>
          <w:sz w:val="23"/>
          <w:szCs w:val="23"/>
        </w:rPr>
        <w:t>Se faculta al Secretario Ejecutivo para que, en caso extraordinarios y de manera justificada, autorice a los órganos distritales recursos adicionales a los montos determinados en el presente acuerdo</w:t>
      </w:r>
      <w:r w:rsidR="007A23C8" w:rsidRPr="00792110">
        <w:rPr>
          <w:rFonts w:ascii="Arial" w:hAnsi="Arial" w:cs="Arial"/>
          <w:sz w:val="23"/>
          <w:szCs w:val="23"/>
        </w:rPr>
        <w:t>.</w:t>
      </w:r>
    </w:p>
    <w:p w:rsidR="008B70F6" w:rsidRPr="00792110" w:rsidRDefault="00651A0E" w:rsidP="008B70F6">
      <w:pPr>
        <w:spacing w:before="240" w:after="240" w:line="276" w:lineRule="auto"/>
        <w:jc w:val="both"/>
        <w:rPr>
          <w:rFonts w:ascii="Arial" w:hAnsi="Arial" w:cs="Arial"/>
          <w:sz w:val="23"/>
          <w:szCs w:val="23"/>
        </w:rPr>
      </w:pPr>
      <w:r w:rsidRPr="00792110">
        <w:rPr>
          <w:rFonts w:ascii="Arial" w:hAnsi="Arial" w:cs="Arial"/>
          <w:b/>
          <w:sz w:val="23"/>
          <w:szCs w:val="23"/>
        </w:rPr>
        <w:t>Tercero.</w:t>
      </w:r>
      <w:r w:rsidRPr="00792110">
        <w:rPr>
          <w:rFonts w:ascii="Arial" w:hAnsi="Arial" w:cs="Arial"/>
          <w:sz w:val="23"/>
          <w:szCs w:val="23"/>
        </w:rPr>
        <w:t xml:space="preserve"> Asimismo, s</w:t>
      </w:r>
      <w:r w:rsidR="008B70F6" w:rsidRPr="00792110">
        <w:rPr>
          <w:rFonts w:ascii="Arial" w:hAnsi="Arial" w:cs="Arial"/>
          <w:sz w:val="23"/>
          <w:szCs w:val="23"/>
        </w:rPr>
        <w:t xml:space="preserve">e instruye a la Dirección de Administración realice los trámites administrativos correspondientes para </w:t>
      </w:r>
      <w:r w:rsidR="000323B8" w:rsidRPr="00792110">
        <w:rPr>
          <w:rFonts w:ascii="Arial" w:hAnsi="Arial" w:cs="Arial"/>
          <w:sz w:val="23"/>
          <w:szCs w:val="23"/>
        </w:rPr>
        <w:t>dar cumplimiento al presente acuerdo.</w:t>
      </w:r>
    </w:p>
    <w:p w:rsidR="008B70F6" w:rsidRPr="00792110" w:rsidRDefault="008B70F6" w:rsidP="008B70F6">
      <w:pPr>
        <w:spacing w:before="240" w:after="240" w:line="276" w:lineRule="auto"/>
        <w:jc w:val="both"/>
        <w:rPr>
          <w:rFonts w:ascii="Arial" w:hAnsi="Arial" w:cs="Arial"/>
          <w:sz w:val="23"/>
          <w:szCs w:val="23"/>
        </w:rPr>
      </w:pPr>
      <w:r w:rsidRPr="00792110">
        <w:rPr>
          <w:rFonts w:ascii="Arial" w:hAnsi="Arial" w:cs="Arial"/>
          <w:sz w:val="23"/>
          <w:szCs w:val="23"/>
        </w:rPr>
        <w:t xml:space="preserve">El presente acuerdo fue aprobado en sesión extraordinaria efectuada el </w:t>
      </w:r>
      <w:r w:rsidR="0017455C" w:rsidRPr="00792110">
        <w:rPr>
          <w:rFonts w:ascii="Arial" w:hAnsi="Arial" w:cs="Arial"/>
          <w:sz w:val="23"/>
          <w:szCs w:val="23"/>
        </w:rPr>
        <w:t>quince</w:t>
      </w:r>
      <w:r w:rsidRPr="00792110">
        <w:rPr>
          <w:rFonts w:ascii="Arial" w:hAnsi="Arial" w:cs="Arial"/>
          <w:sz w:val="23"/>
          <w:szCs w:val="23"/>
        </w:rPr>
        <w:t xml:space="preserve"> de </w:t>
      </w:r>
      <w:r w:rsidR="0017455C" w:rsidRPr="00792110">
        <w:rPr>
          <w:rFonts w:ascii="Arial" w:hAnsi="Arial" w:cs="Arial"/>
          <w:sz w:val="23"/>
          <w:szCs w:val="23"/>
        </w:rPr>
        <w:t xml:space="preserve">febrero </w:t>
      </w:r>
      <w:r w:rsidRPr="00792110">
        <w:rPr>
          <w:rFonts w:ascii="Arial" w:hAnsi="Arial" w:cs="Arial"/>
          <w:sz w:val="23"/>
          <w:szCs w:val="23"/>
        </w:rPr>
        <w:t xml:space="preserve">del año dos mil </w:t>
      </w:r>
      <w:r w:rsidR="0017455C" w:rsidRPr="00792110">
        <w:rPr>
          <w:rFonts w:ascii="Arial" w:hAnsi="Arial" w:cs="Arial"/>
          <w:sz w:val="23"/>
          <w:szCs w:val="23"/>
        </w:rPr>
        <w:t>veinticuatro</w:t>
      </w:r>
      <w:r w:rsidRPr="00792110">
        <w:rPr>
          <w:rFonts w:ascii="Arial" w:hAnsi="Arial" w:cs="Arial"/>
          <w:sz w:val="23"/>
          <w:szCs w:val="23"/>
        </w:rPr>
        <w:t>, por votación unánime de la y los integrantes de la Junta Estatal Ejecutiva del Instituto Electoral y de Participación Ciudadana de Tabasco: Lic. Javier García Rodríguez, Director de Administración; Lic. Rigoberto de la O Gallegos, Encargado de Despacho de la Dirección de Organización Electoral y Educación Cívica, Lic. Jorge Alberto Zavala Frías, Secretario Ejecutivo y Mtra. Elizabeth Nava Gutiérrez, Presidenta de la Junta Estatal Ejecutiva.</w:t>
      </w:r>
    </w:p>
    <w:p w:rsidR="0051289A" w:rsidRPr="00792110" w:rsidRDefault="0051289A" w:rsidP="008B70F6">
      <w:pPr>
        <w:spacing w:before="240" w:after="240" w:line="276" w:lineRule="auto"/>
        <w:jc w:val="both"/>
        <w:rPr>
          <w:rFonts w:ascii="Arial" w:hAnsi="Arial" w:cs="Arial"/>
          <w:sz w:val="23"/>
          <w:szCs w:val="23"/>
        </w:rPr>
      </w:pPr>
    </w:p>
    <w:p w:rsidR="0051289A" w:rsidRPr="00792110" w:rsidRDefault="0051289A" w:rsidP="008B70F6">
      <w:pPr>
        <w:spacing w:before="240" w:after="240" w:line="276" w:lineRule="auto"/>
        <w:jc w:val="both"/>
        <w:rPr>
          <w:rFonts w:ascii="Arial" w:hAnsi="Arial" w:cs="Arial"/>
          <w:sz w:val="23"/>
          <w:szCs w:val="23"/>
        </w:rPr>
      </w:pPr>
    </w:p>
    <w:tbl>
      <w:tblPr>
        <w:tblStyle w:val="Tablaconcuadrcula"/>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
        <w:gridCol w:w="4487"/>
      </w:tblGrid>
      <w:tr w:rsidR="0051289A" w:rsidRPr="00792110" w:rsidTr="00792110">
        <w:trPr>
          <w:trHeight w:val="1067"/>
        </w:trPr>
        <w:tc>
          <w:tcPr>
            <w:tcW w:w="4587" w:type="dxa"/>
          </w:tcPr>
          <w:p w:rsidR="0051289A" w:rsidRPr="00792110" w:rsidRDefault="0051289A" w:rsidP="0051289A">
            <w:pPr>
              <w:spacing w:line="276" w:lineRule="auto"/>
              <w:jc w:val="center"/>
              <w:rPr>
                <w:rFonts w:ascii="Arial" w:hAnsi="Arial" w:cs="Arial"/>
                <w:b/>
                <w:sz w:val="23"/>
                <w:szCs w:val="23"/>
              </w:rPr>
            </w:pPr>
            <w:r w:rsidRPr="00792110">
              <w:rPr>
                <w:rFonts w:ascii="Arial" w:hAnsi="Arial" w:cs="Arial"/>
                <w:b/>
                <w:sz w:val="23"/>
                <w:szCs w:val="23"/>
              </w:rPr>
              <w:t>MTRA. ELIZABETH NAVA GUTIÉRREZ</w:t>
            </w:r>
          </w:p>
          <w:p w:rsidR="0051289A" w:rsidRPr="00792110" w:rsidRDefault="0051289A" w:rsidP="0051289A">
            <w:pPr>
              <w:spacing w:line="276" w:lineRule="auto"/>
              <w:jc w:val="center"/>
              <w:rPr>
                <w:rFonts w:ascii="Arial" w:hAnsi="Arial" w:cs="Arial"/>
                <w:b/>
                <w:sz w:val="23"/>
                <w:szCs w:val="23"/>
              </w:rPr>
            </w:pPr>
            <w:r w:rsidRPr="00792110">
              <w:rPr>
                <w:rFonts w:ascii="Arial" w:hAnsi="Arial" w:cs="Arial"/>
                <w:b/>
                <w:sz w:val="23"/>
                <w:szCs w:val="23"/>
              </w:rPr>
              <w:t>CONSEJERA PRESIDENTA</w:t>
            </w:r>
          </w:p>
        </w:tc>
        <w:tc>
          <w:tcPr>
            <w:tcW w:w="458" w:type="dxa"/>
          </w:tcPr>
          <w:p w:rsidR="0051289A" w:rsidRPr="00792110" w:rsidRDefault="0051289A" w:rsidP="0051289A">
            <w:pPr>
              <w:spacing w:line="276" w:lineRule="auto"/>
              <w:jc w:val="center"/>
              <w:rPr>
                <w:rFonts w:ascii="Arial" w:hAnsi="Arial" w:cs="Arial"/>
                <w:b/>
                <w:sz w:val="23"/>
                <w:szCs w:val="23"/>
              </w:rPr>
            </w:pPr>
          </w:p>
        </w:tc>
        <w:tc>
          <w:tcPr>
            <w:tcW w:w="4487" w:type="dxa"/>
          </w:tcPr>
          <w:p w:rsidR="0051289A" w:rsidRPr="00792110" w:rsidRDefault="0051289A" w:rsidP="0051289A">
            <w:pPr>
              <w:spacing w:line="276" w:lineRule="auto"/>
              <w:jc w:val="center"/>
              <w:rPr>
                <w:rFonts w:ascii="Arial" w:hAnsi="Arial" w:cs="Arial"/>
                <w:b/>
                <w:sz w:val="23"/>
                <w:szCs w:val="23"/>
              </w:rPr>
            </w:pPr>
            <w:r w:rsidRPr="00792110">
              <w:rPr>
                <w:rFonts w:ascii="Arial" w:hAnsi="Arial" w:cs="Arial"/>
                <w:b/>
                <w:sz w:val="23"/>
                <w:szCs w:val="23"/>
              </w:rPr>
              <w:t>LIC. JORGE ALBERTO ZAVALA FRÍAS</w:t>
            </w:r>
          </w:p>
          <w:p w:rsidR="0051289A" w:rsidRPr="00792110" w:rsidRDefault="0051289A" w:rsidP="0051289A">
            <w:pPr>
              <w:spacing w:line="276" w:lineRule="auto"/>
              <w:jc w:val="center"/>
              <w:rPr>
                <w:rFonts w:ascii="Arial" w:hAnsi="Arial" w:cs="Arial"/>
                <w:b/>
                <w:sz w:val="23"/>
                <w:szCs w:val="23"/>
              </w:rPr>
            </w:pPr>
            <w:r w:rsidRPr="00792110">
              <w:rPr>
                <w:rFonts w:ascii="Arial" w:hAnsi="Arial" w:cs="Arial"/>
                <w:b/>
                <w:sz w:val="23"/>
                <w:szCs w:val="23"/>
              </w:rPr>
              <w:t>SECRETARIO EJECUTIVO</w:t>
            </w:r>
          </w:p>
        </w:tc>
      </w:tr>
    </w:tbl>
    <w:p w:rsidR="0051289A" w:rsidRPr="00792110" w:rsidRDefault="0051289A" w:rsidP="008B70F6">
      <w:pPr>
        <w:spacing w:before="240" w:after="240" w:line="276" w:lineRule="auto"/>
        <w:jc w:val="both"/>
        <w:rPr>
          <w:rFonts w:ascii="Arial" w:hAnsi="Arial" w:cs="Arial"/>
          <w:sz w:val="23"/>
          <w:szCs w:val="23"/>
        </w:rPr>
      </w:pPr>
    </w:p>
    <w:sectPr w:rsidR="0051289A" w:rsidRPr="00792110" w:rsidSect="0051289A">
      <w:headerReference w:type="default" r:id="rId7"/>
      <w:footerReference w:type="default" r:id="rId8"/>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63D" w:rsidRDefault="00C7463D" w:rsidP="0051289A">
      <w:pPr>
        <w:spacing w:after="0" w:line="240" w:lineRule="auto"/>
      </w:pPr>
      <w:r>
        <w:separator/>
      </w:r>
    </w:p>
  </w:endnote>
  <w:endnote w:type="continuationSeparator" w:id="0">
    <w:p w:rsidR="00C7463D" w:rsidRDefault="00C7463D" w:rsidP="0051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xo" w:hAnsi="Exo"/>
        <w:b/>
        <w:bCs/>
        <w:color w:val="660033"/>
        <w:sz w:val="24"/>
        <w:lang w:val="es-ES"/>
      </w:rPr>
      <w:id w:val="-1283178978"/>
      <w:docPartObj>
        <w:docPartGallery w:val="Page Numbers (Bottom of Page)"/>
        <w:docPartUnique/>
      </w:docPartObj>
    </w:sdtPr>
    <w:sdtEndPr>
      <w:rPr>
        <w:sz w:val="22"/>
        <w:szCs w:val="20"/>
      </w:rPr>
    </w:sdtEndPr>
    <w:sdtContent>
      <w:p w:rsidR="00740BA3" w:rsidRPr="0051289A" w:rsidRDefault="00740BA3" w:rsidP="0051289A">
        <w:pPr>
          <w:pStyle w:val="Piedepgina"/>
          <w:jc w:val="right"/>
          <w:rPr>
            <w:rFonts w:ascii="Exo" w:hAnsi="Exo"/>
            <w:b/>
            <w:bCs/>
            <w:color w:val="660033"/>
            <w:szCs w:val="20"/>
            <w:lang w:val="es-ES"/>
          </w:rPr>
        </w:pPr>
        <w:r w:rsidRPr="0051289A">
          <w:rPr>
            <w:rFonts w:ascii="Exo" w:hAnsi="Exo"/>
            <w:b/>
            <w:bCs/>
            <w:color w:val="660033"/>
            <w:szCs w:val="20"/>
            <w:lang w:val="es-ES"/>
          </w:rPr>
          <w:t xml:space="preserve">Página  </w:t>
        </w:r>
        <w:r w:rsidRPr="0051289A">
          <w:rPr>
            <w:rFonts w:ascii="Exo" w:hAnsi="Exo"/>
            <w:b/>
            <w:bCs/>
            <w:color w:val="660033"/>
            <w:szCs w:val="20"/>
          </w:rPr>
          <w:fldChar w:fldCharType="begin"/>
        </w:r>
        <w:r w:rsidRPr="0051289A">
          <w:rPr>
            <w:rFonts w:ascii="Exo" w:hAnsi="Exo"/>
            <w:b/>
            <w:bCs/>
            <w:color w:val="660033"/>
            <w:szCs w:val="20"/>
          </w:rPr>
          <w:instrText>PAGE   \* MERGEFORMAT</w:instrText>
        </w:r>
        <w:r w:rsidRPr="0051289A">
          <w:rPr>
            <w:rFonts w:ascii="Exo" w:hAnsi="Exo"/>
            <w:b/>
            <w:bCs/>
            <w:color w:val="660033"/>
            <w:szCs w:val="20"/>
          </w:rPr>
          <w:fldChar w:fldCharType="separate"/>
        </w:r>
        <w:r w:rsidR="00B14E07">
          <w:rPr>
            <w:rFonts w:ascii="Exo" w:hAnsi="Exo"/>
            <w:b/>
            <w:bCs/>
            <w:noProof/>
            <w:color w:val="660033"/>
            <w:szCs w:val="20"/>
          </w:rPr>
          <w:t>11</w:t>
        </w:r>
        <w:r w:rsidRPr="0051289A">
          <w:rPr>
            <w:rFonts w:ascii="Exo" w:hAnsi="Exo"/>
            <w:b/>
            <w:bCs/>
            <w:color w:val="660033"/>
            <w:szCs w:val="20"/>
          </w:rPr>
          <w:fldChar w:fldCharType="end"/>
        </w:r>
        <w:r w:rsidRPr="0051289A">
          <w:rPr>
            <w:rFonts w:ascii="Exo" w:hAnsi="Exo"/>
            <w:b/>
            <w:bCs/>
            <w:color w:val="660033"/>
            <w:szCs w:val="20"/>
            <w:lang w:val="es-ES"/>
          </w:rPr>
          <w:t xml:space="preserve"> | </w:t>
        </w:r>
        <w:r w:rsidRPr="0051289A">
          <w:rPr>
            <w:rFonts w:ascii="Exo" w:hAnsi="Exo"/>
            <w:b/>
            <w:bCs/>
            <w:color w:val="660033"/>
            <w:szCs w:val="20"/>
            <w:lang w:val="es-ES"/>
          </w:rPr>
          <w:fldChar w:fldCharType="begin"/>
        </w:r>
        <w:r w:rsidRPr="0051289A">
          <w:rPr>
            <w:rFonts w:ascii="Exo" w:hAnsi="Exo"/>
            <w:b/>
            <w:bCs/>
            <w:color w:val="660033"/>
            <w:szCs w:val="20"/>
            <w:lang w:val="es-ES"/>
          </w:rPr>
          <w:instrText xml:space="preserve"> NUMPAGES   \* MERGEFORMAT </w:instrText>
        </w:r>
        <w:r w:rsidRPr="0051289A">
          <w:rPr>
            <w:rFonts w:ascii="Exo" w:hAnsi="Exo"/>
            <w:b/>
            <w:bCs/>
            <w:color w:val="660033"/>
            <w:szCs w:val="20"/>
            <w:lang w:val="es-ES"/>
          </w:rPr>
          <w:fldChar w:fldCharType="separate"/>
        </w:r>
        <w:r w:rsidR="00B14E07">
          <w:rPr>
            <w:rFonts w:ascii="Exo" w:hAnsi="Exo"/>
            <w:b/>
            <w:bCs/>
            <w:noProof/>
            <w:color w:val="660033"/>
            <w:szCs w:val="20"/>
            <w:lang w:val="es-ES"/>
          </w:rPr>
          <w:t>11</w:t>
        </w:r>
        <w:r w:rsidRPr="0051289A">
          <w:rPr>
            <w:rFonts w:ascii="Exo" w:hAnsi="Exo"/>
            <w:b/>
            <w:bCs/>
            <w:color w:val="660033"/>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63D" w:rsidRDefault="00C7463D" w:rsidP="0051289A">
      <w:pPr>
        <w:spacing w:after="0" w:line="240" w:lineRule="auto"/>
      </w:pPr>
      <w:r>
        <w:separator/>
      </w:r>
    </w:p>
  </w:footnote>
  <w:footnote w:type="continuationSeparator" w:id="0">
    <w:p w:rsidR="00C7463D" w:rsidRDefault="00C7463D" w:rsidP="00512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740BA3" w:rsidRPr="00CD4F78" w:rsidTr="00393D47">
      <w:tc>
        <w:tcPr>
          <w:tcW w:w="1418" w:type="dxa"/>
        </w:tcPr>
        <w:p w:rsidR="00740BA3" w:rsidRPr="00CD4F78" w:rsidRDefault="00740BA3" w:rsidP="0051289A">
          <w:pPr>
            <w:pStyle w:val="Encabezado"/>
            <w:ind w:left="-170"/>
            <w:rPr>
              <w:rFonts w:ascii="Arial" w:hAnsi="Arial"/>
            </w:rPr>
          </w:pPr>
          <w:r w:rsidRPr="00CD4F78">
            <w:rPr>
              <w:rFonts w:ascii="Arial" w:hAnsi="Arial"/>
              <w:b/>
              <w:noProof/>
              <w:sz w:val="32"/>
              <w:lang w:eastAsia="es-MX"/>
            </w:rPr>
            <w:drawing>
              <wp:inline distT="0" distB="0" distL="0" distR="0" wp14:anchorId="63B64710" wp14:editId="62D116CA">
                <wp:extent cx="1014331" cy="1199403"/>
                <wp:effectExtent l="0" t="0" r="0" b="127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740BA3" w:rsidRPr="00B14E07" w:rsidRDefault="00740BA3" w:rsidP="0051289A">
          <w:pPr>
            <w:pStyle w:val="Encabezado"/>
            <w:spacing w:before="720"/>
            <w:jc w:val="center"/>
            <w:rPr>
              <w:rFonts w:ascii="Arial" w:hAnsi="Arial" w:cs="Arial"/>
              <w:b/>
              <w:bCs/>
              <w:sz w:val="24"/>
              <w:szCs w:val="24"/>
            </w:rPr>
          </w:pPr>
          <w:r w:rsidRPr="00B14E07">
            <w:rPr>
              <w:rFonts w:ascii="Arial" w:hAnsi="Arial" w:cs="Arial"/>
              <w:b/>
              <w:bCs/>
              <w:sz w:val="24"/>
              <w:szCs w:val="24"/>
            </w:rPr>
            <w:t>INSTITUTO ELECTORAL Y DE PARTICIPACIÓN CIUDADANA DE TABASCO</w:t>
          </w:r>
        </w:p>
        <w:p w:rsidR="00740BA3" w:rsidRPr="00CD4F78" w:rsidRDefault="00740BA3" w:rsidP="0051289A">
          <w:pPr>
            <w:pStyle w:val="Encabezado"/>
            <w:jc w:val="center"/>
            <w:rPr>
              <w:rFonts w:ascii="Arial" w:hAnsi="Arial"/>
              <w:sz w:val="25"/>
              <w:szCs w:val="25"/>
            </w:rPr>
          </w:pPr>
          <w:r w:rsidRPr="00B14E07">
            <w:rPr>
              <w:rFonts w:ascii="Arial" w:hAnsi="Arial" w:cs="Arial"/>
              <w:sz w:val="24"/>
              <w:szCs w:val="24"/>
            </w:rPr>
            <w:t>JUNTA ESTATAL EJECUTIVA</w:t>
          </w:r>
        </w:p>
      </w:tc>
      <w:tc>
        <w:tcPr>
          <w:tcW w:w="1701" w:type="dxa"/>
        </w:tcPr>
        <w:p w:rsidR="00740BA3" w:rsidRPr="00CD4F78" w:rsidRDefault="00740BA3" w:rsidP="0051289A">
          <w:pPr>
            <w:pStyle w:val="Encabezado"/>
            <w:spacing w:before="480"/>
            <w:rPr>
              <w:rFonts w:ascii="Arial" w:hAnsi="Arial"/>
            </w:rPr>
          </w:pPr>
          <w:r w:rsidRPr="00CD4F78">
            <w:rPr>
              <w:rFonts w:ascii="Arial" w:hAnsi="Arial"/>
              <w:noProof/>
              <w:lang w:eastAsia="es-MX"/>
            </w:rPr>
            <w:drawing>
              <wp:inline distT="0" distB="0" distL="0" distR="0" wp14:anchorId="0A6430DB" wp14:editId="40B3037F">
                <wp:extent cx="921600" cy="756000"/>
                <wp:effectExtent l="0" t="0" r="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740BA3" w:rsidRPr="00792110" w:rsidRDefault="00792110" w:rsidP="00792110">
    <w:pPr>
      <w:pStyle w:val="Encabezado"/>
      <w:jc w:val="right"/>
      <w:rPr>
        <w:rFonts w:ascii="Arial" w:hAnsi="Arial" w:cs="Arial"/>
        <w:b/>
        <w:sz w:val="24"/>
        <w:szCs w:val="24"/>
      </w:rPr>
    </w:pPr>
    <w:r>
      <w:rPr>
        <w:rFonts w:ascii="Arial" w:hAnsi="Arial" w:cs="Arial"/>
        <w:b/>
        <w:sz w:val="24"/>
        <w:szCs w:val="24"/>
      </w:rPr>
      <w:t>JE</w:t>
    </w:r>
    <w:r w:rsidRPr="00792110">
      <w:rPr>
        <w:rFonts w:ascii="Arial" w:hAnsi="Arial" w:cs="Arial"/>
        <w:b/>
        <w:sz w:val="24"/>
        <w:szCs w:val="24"/>
      </w:rPr>
      <w:t>E/2024/002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7C3"/>
    <w:multiLevelType w:val="hybridMultilevel"/>
    <w:tmpl w:val="50347256"/>
    <w:lvl w:ilvl="0" w:tplc="F0244E6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79152D"/>
    <w:multiLevelType w:val="hybridMultilevel"/>
    <w:tmpl w:val="290E61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F03972"/>
    <w:multiLevelType w:val="hybridMultilevel"/>
    <w:tmpl w:val="2B66304A"/>
    <w:lvl w:ilvl="0" w:tplc="F0244E6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A57169"/>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6C7B787E"/>
    <w:multiLevelType w:val="hybridMultilevel"/>
    <w:tmpl w:val="4910657E"/>
    <w:lvl w:ilvl="0" w:tplc="9962D2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F6"/>
    <w:rsid w:val="000323B8"/>
    <w:rsid w:val="0012340F"/>
    <w:rsid w:val="00173C36"/>
    <w:rsid w:val="0017455C"/>
    <w:rsid w:val="001F2DDA"/>
    <w:rsid w:val="00215A40"/>
    <w:rsid w:val="00312FF4"/>
    <w:rsid w:val="00393D47"/>
    <w:rsid w:val="003D47DC"/>
    <w:rsid w:val="004807C8"/>
    <w:rsid w:val="004F6033"/>
    <w:rsid w:val="004F65E4"/>
    <w:rsid w:val="0051289A"/>
    <w:rsid w:val="005A7983"/>
    <w:rsid w:val="00622157"/>
    <w:rsid w:val="00634C6D"/>
    <w:rsid w:val="00651A0E"/>
    <w:rsid w:val="006F5678"/>
    <w:rsid w:val="00716838"/>
    <w:rsid w:val="00740BA3"/>
    <w:rsid w:val="00792110"/>
    <w:rsid w:val="007A23C8"/>
    <w:rsid w:val="007F5CE1"/>
    <w:rsid w:val="008213FB"/>
    <w:rsid w:val="008B70F6"/>
    <w:rsid w:val="0090563D"/>
    <w:rsid w:val="009516A4"/>
    <w:rsid w:val="00A431D6"/>
    <w:rsid w:val="00A82238"/>
    <w:rsid w:val="00B14E07"/>
    <w:rsid w:val="00B24E5B"/>
    <w:rsid w:val="00B57947"/>
    <w:rsid w:val="00B77626"/>
    <w:rsid w:val="00C110E3"/>
    <w:rsid w:val="00C7463D"/>
    <w:rsid w:val="00CB7137"/>
    <w:rsid w:val="00CD2ADA"/>
    <w:rsid w:val="00CD3331"/>
    <w:rsid w:val="00CF6ABA"/>
    <w:rsid w:val="00D7322C"/>
    <w:rsid w:val="00D90B7A"/>
    <w:rsid w:val="00EA2B7A"/>
    <w:rsid w:val="00F710B2"/>
    <w:rsid w:val="00FF2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E2908-4F0F-45C8-BD21-FA57A87B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70F6"/>
    <w:pPr>
      <w:numPr>
        <w:numId w:val="5"/>
      </w:numPr>
      <w:spacing w:before="600" w:after="480" w:line="276" w:lineRule="auto"/>
      <w:jc w:val="center"/>
      <w:outlineLvl w:val="0"/>
    </w:pPr>
    <w:rPr>
      <w:rFonts w:ascii="Exo" w:hAnsi="Exo"/>
      <w:b/>
      <w:sz w:val="28"/>
      <w:szCs w:val="23"/>
    </w:rPr>
  </w:style>
  <w:style w:type="paragraph" w:styleId="Ttulo2">
    <w:name w:val="heading 2"/>
    <w:basedOn w:val="Normal"/>
    <w:next w:val="Normal"/>
    <w:link w:val="Ttulo2Car"/>
    <w:uiPriority w:val="9"/>
    <w:unhideWhenUsed/>
    <w:qFormat/>
    <w:rsid w:val="008B70F6"/>
    <w:pPr>
      <w:numPr>
        <w:ilvl w:val="1"/>
        <w:numId w:val="5"/>
      </w:numPr>
      <w:spacing w:before="480" w:after="240" w:line="276" w:lineRule="auto"/>
      <w:jc w:val="both"/>
      <w:outlineLvl w:val="1"/>
    </w:pPr>
    <w:rPr>
      <w:rFonts w:ascii="Exo" w:hAnsi="Exo"/>
      <w:b/>
      <w:sz w:val="24"/>
      <w:szCs w:val="23"/>
    </w:rPr>
  </w:style>
  <w:style w:type="paragraph" w:styleId="Ttulo3">
    <w:name w:val="heading 3"/>
    <w:basedOn w:val="Normal"/>
    <w:next w:val="Normal"/>
    <w:link w:val="Ttulo3Car"/>
    <w:uiPriority w:val="9"/>
    <w:semiHidden/>
    <w:unhideWhenUsed/>
    <w:qFormat/>
    <w:rsid w:val="0051289A"/>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1289A"/>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1289A"/>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1289A"/>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51289A"/>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51289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1289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70F6"/>
    <w:rPr>
      <w:rFonts w:ascii="Exo" w:hAnsi="Exo"/>
      <w:b/>
      <w:sz w:val="28"/>
      <w:szCs w:val="23"/>
    </w:rPr>
  </w:style>
  <w:style w:type="character" w:customStyle="1" w:styleId="Ttulo2Car">
    <w:name w:val="Título 2 Car"/>
    <w:basedOn w:val="Fuentedeprrafopredeter"/>
    <w:link w:val="Ttulo2"/>
    <w:uiPriority w:val="9"/>
    <w:rsid w:val="008B70F6"/>
    <w:rPr>
      <w:rFonts w:ascii="Exo" w:hAnsi="Exo"/>
      <w:b/>
      <w:sz w:val="24"/>
      <w:szCs w:val="23"/>
    </w:rPr>
  </w:style>
  <w:style w:type="paragraph" w:styleId="Prrafodelista">
    <w:name w:val="List Paragraph"/>
    <w:basedOn w:val="Normal"/>
    <w:uiPriority w:val="34"/>
    <w:qFormat/>
    <w:rsid w:val="008B70F6"/>
    <w:pPr>
      <w:ind w:left="720"/>
      <w:contextualSpacing/>
    </w:pPr>
  </w:style>
  <w:style w:type="table" w:styleId="Tablaconcuadrcula">
    <w:name w:val="Table Grid"/>
    <w:basedOn w:val="Tablanormal"/>
    <w:uiPriority w:val="39"/>
    <w:rsid w:val="0051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28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89A"/>
  </w:style>
  <w:style w:type="paragraph" w:styleId="Piedepgina">
    <w:name w:val="footer"/>
    <w:basedOn w:val="Normal"/>
    <w:link w:val="PiedepginaCar"/>
    <w:uiPriority w:val="99"/>
    <w:unhideWhenUsed/>
    <w:rsid w:val="005128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89A"/>
  </w:style>
  <w:style w:type="character" w:customStyle="1" w:styleId="Ttulo3Car">
    <w:name w:val="Título 3 Car"/>
    <w:basedOn w:val="Fuentedeprrafopredeter"/>
    <w:link w:val="Ttulo3"/>
    <w:uiPriority w:val="9"/>
    <w:semiHidden/>
    <w:rsid w:val="0051289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51289A"/>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51289A"/>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51289A"/>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51289A"/>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51289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1289A"/>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7921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2938</Words>
  <Characters>16164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26</cp:revision>
  <cp:lastPrinted>2024-02-16T20:21:00Z</cp:lastPrinted>
  <dcterms:created xsi:type="dcterms:W3CDTF">2024-02-15T20:14:00Z</dcterms:created>
  <dcterms:modified xsi:type="dcterms:W3CDTF">2024-02-16T21:00:00Z</dcterms:modified>
</cp:coreProperties>
</file>