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0F6" w:rsidRDefault="002A2A2E" w:rsidP="008B70F6">
      <w:pPr>
        <w:spacing w:before="240" w:after="240" w:line="276" w:lineRule="auto"/>
        <w:jc w:val="both"/>
        <w:rPr>
          <w:rFonts w:ascii="Arial" w:hAnsi="Arial" w:cs="Arial"/>
          <w:b/>
          <w:sz w:val="24"/>
          <w:szCs w:val="24"/>
        </w:rPr>
      </w:pPr>
      <w:r w:rsidRPr="002A2A2E">
        <w:rPr>
          <w:rFonts w:ascii="Arial" w:hAnsi="Arial" w:cs="Arial"/>
          <w:b/>
          <w:sz w:val="24"/>
          <w:szCs w:val="24"/>
        </w:rPr>
        <w:t>ACUERDO QUE, A PROPUESTA DE LA SECRETARÍA EJECUTIVA, EMITE LA JUNTA ESTATAL EJECUTIVA DEL INSTITUTO ELECTORAL Y DE PARTICIPACIÓN CIUDADANA DE TABASCO, POR EL QUE SE APRUEBA EL PROGRAMA DE CONTRATACIÓN DEL PERSONAL EVENTUAL PARA EL FORTALECIMIENTO DE LAS ACTIVIDADES EN EL DESARROLLO DEL PROCESO ELECTORAL LOCAL ORDINARIO 2023-2024</w:t>
      </w:r>
    </w:p>
    <w:p w:rsidR="0051289A" w:rsidRDefault="0051289A" w:rsidP="008B70F6">
      <w:pPr>
        <w:spacing w:before="240" w:after="240" w:line="276" w:lineRule="auto"/>
        <w:jc w:val="both"/>
        <w:rPr>
          <w:rFonts w:ascii="Exo" w:hAnsi="Exo"/>
          <w:sz w:val="23"/>
          <w:szCs w:val="23"/>
        </w:rPr>
      </w:pPr>
      <w:r w:rsidRPr="0051289A">
        <w:rPr>
          <w:rFonts w:ascii="Exo" w:hAnsi="Exo"/>
          <w:sz w:val="23"/>
          <w:szCs w:val="23"/>
        </w:rPr>
        <w:t>Para efectos del presente acuerdo se usarán las abreviaturas y definiciones siguientes:</w:t>
      </w:r>
    </w:p>
    <w:tbl>
      <w:tblPr>
        <w:tblStyle w:val="Tablaconcuadrcula"/>
        <w:tblW w:w="0" w:type="auto"/>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51289A" w:rsidRPr="00A824B1" w:rsidTr="004E3655">
        <w:trPr>
          <w:jc w:val="center"/>
        </w:trPr>
        <w:tc>
          <w:tcPr>
            <w:tcW w:w="2664" w:type="dxa"/>
            <w:vAlign w:val="center"/>
          </w:tcPr>
          <w:p w:rsidR="0051289A" w:rsidRPr="002A2A2E" w:rsidRDefault="0051289A" w:rsidP="0051289A">
            <w:pPr>
              <w:spacing w:before="60" w:after="60" w:line="264" w:lineRule="auto"/>
              <w:jc w:val="right"/>
              <w:rPr>
                <w:rFonts w:ascii="Exo" w:hAnsi="Exo"/>
                <w:b/>
                <w:sz w:val="20"/>
                <w:szCs w:val="20"/>
              </w:rPr>
            </w:pPr>
            <w:r w:rsidRPr="002A2A2E">
              <w:rPr>
                <w:rFonts w:ascii="Exo" w:hAnsi="Exo"/>
                <w:b/>
                <w:sz w:val="20"/>
                <w:szCs w:val="20"/>
              </w:rPr>
              <w:t>Consejo Estatal:</w:t>
            </w:r>
          </w:p>
        </w:tc>
        <w:tc>
          <w:tcPr>
            <w:tcW w:w="3998" w:type="dxa"/>
            <w:vAlign w:val="center"/>
          </w:tcPr>
          <w:p w:rsidR="0051289A" w:rsidRPr="002A2A2E" w:rsidRDefault="0051289A" w:rsidP="0051289A">
            <w:pPr>
              <w:spacing w:before="60" w:after="60" w:line="264" w:lineRule="auto"/>
              <w:ind w:left="113" w:right="113"/>
              <w:jc w:val="both"/>
              <w:rPr>
                <w:rFonts w:ascii="Exo" w:hAnsi="Exo"/>
                <w:sz w:val="20"/>
                <w:szCs w:val="20"/>
              </w:rPr>
            </w:pPr>
            <w:r w:rsidRPr="002A2A2E">
              <w:rPr>
                <w:rFonts w:ascii="Exo" w:hAnsi="Exo"/>
                <w:sz w:val="20"/>
                <w:szCs w:val="20"/>
              </w:rPr>
              <w:t>Consejo Estatal del Instituto Electoral y de Participación Ciudadana de Tabasco.</w:t>
            </w:r>
          </w:p>
        </w:tc>
      </w:tr>
      <w:tr w:rsidR="0051289A" w:rsidRPr="00A824B1" w:rsidTr="004E3655">
        <w:trPr>
          <w:jc w:val="center"/>
        </w:trPr>
        <w:tc>
          <w:tcPr>
            <w:tcW w:w="2664" w:type="dxa"/>
            <w:vAlign w:val="center"/>
          </w:tcPr>
          <w:p w:rsidR="0051289A" w:rsidRPr="002A2A2E" w:rsidRDefault="0051289A" w:rsidP="0051289A">
            <w:pPr>
              <w:spacing w:before="60" w:after="60" w:line="264" w:lineRule="auto"/>
              <w:jc w:val="right"/>
              <w:rPr>
                <w:rFonts w:ascii="Exo" w:hAnsi="Exo"/>
                <w:b/>
                <w:sz w:val="20"/>
                <w:szCs w:val="20"/>
              </w:rPr>
            </w:pPr>
            <w:r w:rsidRPr="002A2A2E">
              <w:rPr>
                <w:rFonts w:ascii="Exo" w:hAnsi="Exo"/>
                <w:b/>
                <w:sz w:val="20"/>
                <w:szCs w:val="20"/>
              </w:rPr>
              <w:t>Consejos Distritales:</w:t>
            </w:r>
          </w:p>
        </w:tc>
        <w:tc>
          <w:tcPr>
            <w:tcW w:w="3998" w:type="dxa"/>
            <w:vAlign w:val="center"/>
          </w:tcPr>
          <w:p w:rsidR="0051289A" w:rsidRPr="002A2A2E" w:rsidRDefault="0051289A" w:rsidP="0051289A">
            <w:pPr>
              <w:spacing w:before="60" w:after="60" w:line="264" w:lineRule="auto"/>
              <w:ind w:left="113" w:right="113"/>
              <w:jc w:val="both"/>
              <w:rPr>
                <w:rFonts w:ascii="Exo" w:hAnsi="Exo"/>
                <w:sz w:val="20"/>
                <w:szCs w:val="20"/>
              </w:rPr>
            </w:pPr>
            <w:r w:rsidRPr="002A2A2E">
              <w:rPr>
                <w:rFonts w:ascii="Exo" w:hAnsi="Exo"/>
                <w:sz w:val="20"/>
                <w:szCs w:val="20"/>
              </w:rPr>
              <w:t>Consejos Electorales Distritales del Instituto Electoral y de Participación Ciudadana de Tabasco.</w:t>
            </w:r>
          </w:p>
        </w:tc>
        <w:bookmarkStart w:id="0" w:name="_GoBack"/>
        <w:bookmarkEnd w:id="0"/>
      </w:tr>
      <w:tr w:rsidR="0051289A" w:rsidRPr="00A824B1" w:rsidTr="004E3655">
        <w:trPr>
          <w:jc w:val="center"/>
        </w:trPr>
        <w:tc>
          <w:tcPr>
            <w:tcW w:w="2664" w:type="dxa"/>
            <w:vAlign w:val="center"/>
          </w:tcPr>
          <w:p w:rsidR="0051289A" w:rsidRPr="002A2A2E" w:rsidRDefault="0051289A" w:rsidP="0051289A">
            <w:pPr>
              <w:spacing w:before="60" w:after="60" w:line="264" w:lineRule="auto"/>
              <w:jc w:val="right"/>
              <w:rPr>
                <w:rFonts w:ascii="Exo" w:hAnsi="Exo"/>
                <w:b/>
                <w:sz w:val="20"/>
                <w:szCs w:val="20"/>
              </w:rPr>
            </w:pPr>
            <w:r w:rsidRPr="002A2A2E">
              <w:rPr>
                <w:rFonts w:ascii="Exo" w:hAnsi="Exo"/>
                <w:b/>
                <w:sz w:val="20"/>
                <w:szCs w:val="20"/>
              </w:rPr>
              <w:t>Constitución Federal:</w:t>
            </w:r>
          </w:p>
        </w:tc>
        <w:tc>
          <w:tcPr>
            <w:tcW w:w="3998" w:type="dxa"/>
            <w:vAlign w:val="center"/>
          </w:tcPr>
          <w:p w:rsidR="0051289A" w:rsidRPr="002A2A2E" w:rsidRDefault="0051289A" w:rsidP="0051289A">
            <w:pPr>
              <w:spacing w:before="60" w:after="60" w:line="264" w:lineRule="auto"/>
              <w:ind w:left="113" w:right="113"/>
              <w:jc w:val="both"/>
              <w:rPr>
                <w:rFonts w:ascii="Exo" w:hAnsi="Exo"/>
                <w:sz w:val="20"/>
                <w:szCs w:val="20"/>
              </w:rPr>
            </w:pPr>
            <w:r w:rsidRPr="002A2A2E">
              <w:rPr>
                <w:rFonts w:ascii="Exo" w:hAnsi="Exo"/>
                <w:sz w:val="20"/>
                <w:szCs w:val="20"/>
              </w:rPr>
              <w:t>Constitución Política de los Estados Unidos Mexicanos.</w:t>
            </w:r>
          </w:p>
        </w:tc>
      </w:tr>
      <w:tr w:rsidR="0051289A" w:rsidRPr="00A824B1" w:rsidTr="004E3655">
        <w:trPr>
          <w:jc w:val="center"/>
        </w:trPr>
        <w:tc>
          <w:tcPr>
            <w:tcW w:w="2664" w:type="dxa"/>
            <w:vAlign w:val="center"/>
          </w:tcPr>
          <w:p w:rsidR="0051289A" w:rsidRPr="002A2A2E" w:rsidRDefault="0051289A" w:rsidP="0051289A">
            <w:pPr>
              <w:spacing w:before="60" w:after="60" w:line="264" w:lineRule="auto"/>
              <w:jc w:val="right"/>
              <w:rPr>
                <w:rFonts w:ascii="Exo" w:hAnsi="Exo"/>
                <w:b/>
                <w:sz w:val="20"/>
                <w:szCs w:val="20"/>
              </w:rPr>
            </w:pPr>
            <w:r w:rsidRPr="002A2A2E">
              <w:rPr>
                <w:rFonts w:ascii="Exo" w:hAnsi="Exo"/>
                <w:b/>
                <w:sz w:val="20"/>
                <w:szCs w:val="20"/>
              </w:rPr>
              <w:t>Constitución Local:</w:t>
            </w:r>
          </w:p>
        </w:tc>
        <w:tc>
          <w:tcPr>
            <w:tcW w:w="3998" w:type="dxa"/>
            <w:vAlign w:val="center"/>
          </w:tcPr>
          <w:p w:rsidR="0051289A" w:rsidRPr="002A2A2E" w:rsidRDefault="0051289A" w:rsidP="0051289A">
            <w:pPr>
              <w:spacing w:before="60" w:after="60" w:line="264" w:lineRule="auto"/>
              <w:ind w:left="113" w:right="113"/>
              <w:jc w:val="both"/>
              <w:rPr>
                <w:rFonts w:ascii="Exo" w:hAnsi="Exo"/>
                <w:sz w:val="20"/>
                <w:szCs w:val="20"/>
              </w:rPr>
            </w:pPr>
            <w:r w:rsidRPr="002A2A2E">
              <w:rPr>
                <w:rFonts w:ascii="Exo" w:hAnsi="Exo"/>
                <w:sz w:val="20"/>
                <w:szCs w:val="20"/>
              </w:rPr>
              <w:t>Constitución Política del Estado Libre y Soberano de Tabasco.</w:t>
            </w:r>
          </w:p>
        </w:tc>
      </w:tr>
      <w:tr w:rsidR="0051289A" w:rsidRPr="00A824B1" w:rsidTr="004E3655">
        <w:trPr>
          <w:jc w:val="center"/>
        </w:trPr>
        <w:tc>
          <w:tcPr>
            <w:tcW w:w="2664" w:type="dxa"/>
            <w:vAlign w:val="center"/>
          </w:tcPr>
          <w:p w:rsidR="0051289A" w:rsidRPr="002A2A2E" w:rsidRDefault="0051289A" w:rsidP="0051289A">
            <w:pPr>
              <w:spacing w:before="60" w:after="60" w:line="264" w:lineRule="auto"/>
              <w:jc w:val="right"/>
              <w:rPr>
                <w:rFonts w:ascii="Exo" w:hAnsi="Exo"/>
                <w:b/>
                <w:sz w:val="20"/>
                <w:szCs w:val="20"/>
              </w:rPr>
            </w:pPr>
            <w:r w:rsidRPr="002A2A2E">
              <w:rPr>
                <w:rFonts w:ascii="Exo" w:hAnsi="Exo"/>
                <w:b/>
                <w:sz w:val="20"/>
                <w:szCs w:val="20"/>
              </w:rPr>
              <w:t>Instituto:</w:t>
            </w:r>
          </w:p>
        </w:tc>
        <w:tc>
          <w:tcPr>
            <w:tcW w:w="3998" w:type="dxa"/>
            <w:vAlign w:val="center"/>
          </w:tcPr>
          <w:p w:rsidR="0051289A" w:rsidRPr="002A2A2E" w:rsidRDefault="0051289A" w:rsidP="0051289A">
            <w:pPr>
              <w:spacing w:before="60" w:after="60" w:line="264" w:lineRule="auto"/>
              <w:ind w:left="113" w:right="113"/>
              <w:jc w:val="both"/>
              <w:rPr>
                <w:rFonts w:ascii="Exo" w:hAnsi="Exo"/>
                <w:sz w:val="20"/>
                <w:szCs w:val="20"/>
              </w:rPr>
            </w:pPr>
            <w:r w:rsidRPr="002A2A2E">
              <w:rPr>
                <w:rFonts w:ascii="Exo" w:hAnsi="Exo"/>
                <w:sz w:val="20"/>
                <w:szCs w:val="20"/>
              </w:rPr>
              <w:t>Instituto Electoral y de Participación Ciudadana de Tabasco.</w:t>
            </w:r>
          </w:p>
        </w:tc>
      </w:tr>
      <w:tr w:rsidR="0051289A" w:rsidRPr="00A824B1" w:rsidTr="004E3655">
        <w:trPr>
          <w:jc w:val="center"/>
        </w:trPr>
        <w:tc>
          <w:tcPr>
            <w:tcW w:w="2664" w:type="dxa"/>
            <w:vAlign w:val="center"/>
          </w:tcPr>
          <w:p w:rsidR="0051289A" w:rsidRPr="002A2A2E" w:rsidRDefault="0051289A" w:rsidP="0051289A">
            <w:pPr>
              <w:spacing w:before="60" w:after="60" w:line="264" w:lineRule="auto"/>
              <w:jc w:val="right"/>
              <w:rPr>
                <w:rFonts w:ascii="Exo" w:hAnsi="Exo"/>
                <w:b/>
                <w:sz w:val="20"/>
                <w:szCs w:val="20"/>
              </w:rPr>
            </w:pPr>
            <w:r w:rsidRPr="002A2A2E">
              <w:rPr>
                <w:rFonts w:ascii="Exo" w:hAnsi="Exo"/>
                <w:b/>
                <w:sz w:val="20"/>
                <w:szCs w:val="20"/>
              </w:rPr>
              <w:t>Junta Ejecutiva:</w:t>
            </w:r>
          </w:p>
        </w:tc>
        <w:tc>
          <w:tcPr>
            <w:tcW w:w="3998" w:type="dxa"/>
            <w:vAlign w:val="center"/>
          </w:tcPr>
          <w:p w:rsidR="0051289A" w:rsidRPr="002A2A2E" w:rsidRDefault="0051289A" w:rsidP="0051289A">
            <w:pPr>
              <w:spacing w:before="60" w:after="60" w:line="264" w:lineRule="auto"/>
              <w:ind w:left="113" w:right="113"/>
              <w:jc w:val="both"/>
              <w:rPr>
                <w:rFonts w:ascii="Exo" w:hAnsi="Exo"/>
                <w:sz w:val="20"/>
                <w:szCs w:val="20"/>
              </w:rPr>
            </w:pPr>
            <w:r w:rsidRPr="002A2A2E">
              <w:rPr>
                <w:rFonts w:ascii="Exo" w:hAnsi="Exo"/>
                <w:sz w:val="20"/>
                <w:szCs w:val="20"/>
              </w:rPr>
              <w:t>Junta Estatal Ejecutiva del Instituto Electoral y de Participación Ciudadana de Tabasco.</w:t>
            </w:r>
          </w:p>
        </w:tc>
      </w:tr>
      <w:tr w:rsidR="0051289A" w:rsidRPr="00A824B1" w:rsidTr="004E3655">
        <w:trPr>
          <w:jc w:val="center"/>
        </w:trPr>
        <w:tc>
          <w:tcPr>
            <w:tcW w:w="2664" w:type="dxa"/>
            <w:vAlign w:val="center"/>
          </w:tcPr>
          <w:p w:rsidR="0051289A" w:rsidRPr="002A2A2E" w:rsidRDefault="0051289A" w:rsidP="0051289A">
            <w:pPr>
              <w:spacing w:before="60" w:after="60" w:line="264" w:lineRule="auto"/>
              <w:jc w:val="right"/>
              <w:rPr>
                <w:rFonts w:ascii="Exo" w:hAnsi="Exo"/>
                <w:b/>
                <w:sz w:val="20"/>
                <w:szCs w:val="20"/>
              </w:rPr>
            </w:pPr>
            <w:r w:rsidRPr="002A2A2E">
              <w:rPr>
                <w:rFonts w:ascii="Exo" w:hAnsi="Exo"/>
                <w:b/>
                <w:sz w:val="20"/>
                <w:szCs w:val="20"/>
              </w:rPr>
              <w:t>Juntas Distritales:</w:t>
            </w:r>
          </w:p>
        </w:tc>
        <w:tc>
          <w:tcPr>
            <w:tcW w:w="3998" w:type="dxa"/>
            <w:vAlign w:val="center"/>
          </w:tcPr>
          <w:p w:rsidR="0051289A" w:rsidRPr="002A2A2E" w:rsidRDefault="0051289A" w:rsidP="0051289A">
            <w:pPr>
              <w:spacing w:before="60" w:after="60" w:line="264" w:lineRule="auto"/>
              <w:ind w:left="113" w:right="113"/>
              <w:jc w:val="both"/>
              <w:rPr>
                <w:rFonts w:ascii="Exo" w:hAnsi="Exo"/>
                <w:sz w:val="20"/>
                <w:szCs w:val="20"/>
              </w:rPr>
            </w:pPr>
            <w:r w:rsidRPr="002A2A2E">
              <w:rPr>
                <w:rFonts w:ascii="Exo" w:hAnsi="Exo"/>
                <w:sz w:val="20"/>
                <w:szCs w:val="20"/>
              </w:rPr>
              <w:t>Juntas Electorales Distritales del Instituto Electoral y de Participación Ciudadana de Tabasco.</w:t>
            </w:r>
          </w:p>
        </w:tc>
      </w:tr>
      <w:tr w:rsidR="0051289A" w:rsidRPr="00A824B1" w:rsidTr="004E3655">
        <w:trPr>
          <w:jc w:val="center"/>
        </w:trPr>
        <w:tc>
          <w:tcPr>
            <w:tcW w:w="2664" w:type="dxa"/>
            <w:vAlign w:val="center"/>
          </w:tcPr>
          <w:p w:rsidR="0051289A" w:rsidRPr="002A2A2E" w:rsidRDefault="0051289A" w:rsidP="0051289A">
            <w:pPr>
              <w:spacing w:before="60" w:after="60" w:line="264" w:lineRule="auto"/>
              <w:jc w:val="right"/>
              <w:rPr>
                <w:rFonts w:ascii="Exo" w:hAnsi="Exo"/>
                <w:b/>
                <w:sz w:val="20"/>
                <w:szCs w:val="20"/>
              </w:rPr>
            </w:pPr>
            <w:r w:rsidRPr="002A2A2E">
              <w:rPr>
                <w:rFonts w:ascii="Exo" w:hAnsi="Exo"/>
                <w:b/>
                <w:sz w:val="20"/>
                <w:szCs w:val="20"/>
              </w:rPr>
              <w:t>Ley Electoral:</w:t>
            </w:r>
          </w:p>
        </w:tc>
        <w:tc>
          <w:tcPr>
            <w:tcW w:w="3998" w:type="dxa"/>
            <w:vAlign w:val="center"/>
          </w:tcPr>
          <w:p w:rsidR="0051289A" w:rsidRPr="002A2A2E" w:rsidRDefault="0051289A" w:rsidP="0051289A">
            <w:pPr>
              <w:spacing w:before="60" w:after="60" w:line="264" w:lineRule="auto"/>
              <w:ind w:left="113" w:right="113"/>
              <w:jc w:val="both"/>
              <w:rPr>
                <w:rFonts w:ascii="Exo" w:hAnsi="Exo"/>
                <w:sz w:val="20"/>
                <w:szCs w:val="20"/>
              </w:rPr>
            </w:pPr>
            <w:r w:rsidRPr="002A2A2E">
              <w:rPr>
                <w:rFonts w:ascii="Exo" w:hAnsi="Exo"/>
                <w:sz w:val="20"/>
                <w:szCs w:val="20"/>
              </w:rPr>
              <w:t>Ley Electoral y de Partidos Políticos del Estado de Tabasco.</w:t>
            </w:r>
          </w:p>
        </w:tc>
      </w:tr>
    </w:tbl>
    <w:p w:rsidR="008B70F6" w:rsidRPr="002A2A2E" w:rsidRDefault="008B70F6" w:rsidP="0051289A">
      <w:pPr>
        <w:pStyle w:val="Ttulo1"/>
        <w:rPr>
          <w:rFonts w:ascii="Arial" w:hAnsi="Arial" w:cs="Arial"/>
          <w:sz w:val="24"/>
          <w:szCs w:val="24"/>
        </w:rPr>
      </w:pPr>
      <w:r w:rsidRPr="002A2A2E">
        <w:rPr>
          <w:rFonts w:ascii="Arial" w:hAnsi="Arial" w:cs="Arial"/>
          <w:sz w:val="24"/>
          <w:szCs w:val="24"/>
        </w:rPr>
        <w:t>Antecedentes</w:t>
      </w:r>
    </w:p>
    <w:p w:rsidR="008B70F6" w:rsidRPr="002A2A2E" w:rsidRDefault="008B70F6" w:rsidP="008B70F6">
      <w:pPr>
        <w:pStyle w:val="Ttulo2"/>
        <w:rPr>
          <w:rFonts w:ascii="Arial" w:hAnsi="Arial" w:cs="Arial"/>
          <w:sz w:val="23"/>
        </w:rPr>
      </w:pPr>
      <w:r w:rsidRPr="002A2A2E">
        <w:rPr>
          <w:rFonts w:ascii="Arial" w:hAnsi="Arial" w:cs="Arial"/>
          <w:sz w:val="23"/>
        </w:rPr>
        <w:t>Reglamento de Sesiones de la Junta Estatal</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 xml:space="preserve">El 22 de julio de 2022, el Consejo Estatal emitió el acuerdo CE/2022/21 y con ello aprobó el Reglamento de Sesiones de la Junta Estatal, el cual es de observancia obligatoria para las personas servidoras públicos del Instituto y tiene por objeto </w:t>
      </w:r>
      <w:r w:rsidRPr="002A2A2E">
        <w:rPr>
          <w:rFonts w:ascii="Arial" w:hAnsi="Arial" w:cs="Arial"/>
          <w:sz w:val="23"/>
          <w:szCs w:val="23"/>
        </w:rPr>
        <w:lastRenderedPageBreak/>
        <w:t>establecer las reglas que regulen la celebración y el desarrollo de las sesiones de dicho órgano central y las atribuciones y facultades de sus integrantes en las mismas.</w:t>
      </w:r>
    </w:p>
    <w:p w:rsidR="008B70F6" w:rsidRPr="002A2A2E" w:rsidRDefault="008B70F6" w:rsidP="008B70F6">
      <w:pPr>
        <w:pStyle w:val="Ttulo2"/>
        <w:rPr>
          <w:rFonts w:ascii="Arial" w:hAnsi="Arial" w:cs="Arial"/>
          <w:sz w:val="23"/>
        </w:rPr>
      </w:pPr>
      <w:r w:rsidRPr="002A2A2E">
        <w:rPr>
          <w:rFonts w:ascii="Arial" w:hAnsi="Arial" w:cs="Arial"/>
          <w:sz w:val="23"/>
        </w:rPr>
        <w:t>Inicio del Proceso Electoral</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rsidR="008B70F6" w:rsidRPr="002A2A2E" w:rsidRDefault="008B70F6" w:rsidP="008B70F6">
      <w:pPr>
        <w:pStyle w:val="Ttulo2"/>
        <w:rPr>
          <w:rFonts w:ascii="Arial" w:hAnsi="Arial" w:cs="Arial"/>
          <w:sz w:val="23"/>
        </w:rPr>
      </w:pPr>
      <w:r w:rsidRPr="002A2A2E">
        <w:rPr>
          <w:rFonts w:ascii="Arial" w:hAnsi="Arial" w:cs="Arial"/>
          <w:sz w:val="23"/>
        </w:rPr>
        <w:t>Instalación de las Juntas Distritales</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 xml:space="preserve">El 17 de diciembre de 2023, </w:t>
      </w:r>
      <w:r w:rsidR="0051289A" w:rsidRPr="002A2A2E">
        <w:rPr>
          <w:rFonts w:ascii="Arial" w:hAnsi="Arial" w:cs="Arial"/>
          <w:sz w:val="23"/>
          <w:szCs w:val="23"/>
        </w:rPr>
        <w:t xml:space="preserve">de conformidad con el artículo 125 de la Ley Electoral </w:t>
      </w:r>
      <w:r w:rsidRPr="002A2A2E">
        <w:rPr>
          <w:rFonts w:ascii="Arial" w:hAnsi="Arial" w:cs="Arial"/>
          <w:sz w:val="23"/>
          <w:szCs w:val="23"/>
        </w:rPr>
        <w:t xml:space="preserve">se instalaron las </w:t>
      </w:r>
      <w:r w:rsidR="0017455C" w:rsidRPr="002A2A2E">
        <w:rPr>
          <w:rFonts w:ascii="Arial" w:hAnsi="Arial" w:cs="Arial"/>
          <w:sz w:val="23"/>
          <w:szCs w:val="23"/>
        </w:rPr>
        <w:t xml:space="preserve">veintiún </w:t>
      </w:r>
      <w:r w:rsidRPr="002A2A2E">
        <w:rPr>
          <w:rFonts w:ascii="Arial" w:hAnsi="Arial" w:cs="Arial"/>
          <w:sz w:val="23"/>
          <w:szCs w:val="23"/>
        </w:rPr>
        <w:t>Juntas Distritales</w:t>
      </w:r>
      <w:r w:rsidR="0051289A" w:rsidRPr="002A2A2E">
        <w:rPr>
          <w:rFonts w:ascii="Arial" w:hAnsi="Arial" w:cs="Arial"/>
          <w:sz w:val="23"/>
          <w:szCs w:val="23"/>
        </w:rPr>
        <w:t xml:space="preserve"> en la entidad.</w:t>
      </w:r>
    </w:p>
    <w:p w:rsidR="008B70F6" w:rsidRPr="002A2A2E" w:rsidRDefault="008B70F6" w:rsidP="008B70F6">
      <w:pPr>
        <w:pStyle w:val="Ttulo2"/>
        <w:rPr>
          <w:rFonts w:ascii="Arial" w:hAnsi="Arial" w:cs="Arial"/>
          <w:sz w:val="23"/>
        </w:rPr>
      </w:pPr>
      <w:r w:rsidRPr="002A2A2E">
        <w:rPr>
          <w:rFonts w:ascii="Arial" w:hAnsi="Arial" w:cs="Arial"/>
          <w:sz w:val="23"/>
        </w:rPr>
        <w:t>Aprobación del Presupuesto Anual correspondiente al ejercicio 2024</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El 20 de diciembre de 2023, se publicó en el Suplemento “K”, Edición 8482 al Periódico Oficial del Estado número 10565, el decreto 182 relativo al Presupuesto Anual de Egresos aprobado por el H. Congreso del Estado de Tabasco, correspondiente al ejercicio 2024, el cual contiene entre otros aspectos, la política de gasto de los órganos autónomos.</w:t>
      </w:r>
    </w:p>
    <w:p w:rsidR="008B70F6" w:rsidRPr="002A2A2E" w:rsidRDefault="008B70F6" w:rsidP="008B70F6">
      <w:pPr>
        <w:pStyle w:val="Ttulo2"/>
        <w:rPr>
          <w:rFonts w:ascii="Arial" w:hAnsi="Arial" w:cs="Arial"/>
          <w:sz w:val="23"/>
        </w:rPr>
      </w:pPr>
      <w:r w:rsidRPr="002A2A2E">
        <w:rPr>
          <w:rFonts w:ascii="Arial" w:hAnsi="Arial" w:cs="Arial"/>
          <w:sz w:val="23"/>
        </w:rPr>
        <w:t>Presupuesto del Instituto correspondiente al ejercicio 2024</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De conformidad con el Presupuesto antes mencionado, el H. Congreso del Estado, para el ejercicio 2024 asignó al Instituto Electoral recursos por la cantidad de $433,400,000.00 (cuatrocientos treinta y tres millones cuatrocientos</w:t>
      </w:r>
      <w:r w:rsidR="00603AAF" w:rsidRPr="002A2A2E">
        <w:rPr>
          <w:rFonts w:ascii="Arial" w:hAnsi="Arial" w:cs="Arial"/>
          <w:sz w:val="23"/>
          <w:szCs w:val="23"/>
        </w:rPr>
        <w:t xml:space="preserve"> mil</w:t>
      </w:r>
      <w:r w:rsidRPr="002A2A2E">
        <w:rPr>
          <w:rFonts w:ascii="Arial" w:hAnsi="Arial" w:cs="Arial"/>
          <w:sz w:val="23"/>
          <w:szCs w:val="23"/>
        </w:rPr>
        <w:t xml:space="preserve"> pesos 00/100), cantidad que incluye el gasto previsto para el financiamiento público de los partidos políticos con derecho a éste.</w:t>
      </w:r>
    </w:p>
    <w:p w:rsidR="0017455C" w:rsidRPr="002A2A2E" w:rsidRDefault="0017455C" w:rsidP="0017455C">
      <w:pPr>
        <w:pStyle w:val="Ttulo2"/>
        <w:rPr>
          <w:rFonts w:ascii="Arial" w:hAnsi="Arial" w:cs="Arial"/>
          <w:sz w:val="23"/>
        </w:rPr>
      </w:pPr>
      <w:r w:rsidRPr="002A2A2E">
        <w:rPr>
          <w:rFonts w:ascii="Arial" w:hAnsi="Arial" w:cs="Arial"/>
          <w:sz w:val="23"/>
        </w:rPr>
        <w:t>Jornada electoral</w:t>
      </w:r>
    </w:p>
    <w:p w:rsidR="0017455C" w:rsidRPr="002A2A2E" w:rsidRDefault="0017455C" w:rsidP="0017455C">
      <w:pPr>
        <w:spacing w:before="240" w:after="240" w:line="276" w:lineRule="auto"/>
        <w:jc w:val="both"/>
        <w:rPr>
          <w:rFonts w:ascii="Arial" w:hAnsi="Arial" w:cs="Arial"/>
          <w:sz w:val="23"/>
          <w:szCs w:val="23"/>
        </w:rPr>
      </w:pPr>
      <w:r w:rsidRPr="002A2A2E">
        <w:rPr>
          <w:rFonts w:ascii="Arial" w:hAnsi="Arial" w:cs="Arial"/>
          <w:sz w:val="23"/>
          <w:szCs w:val="23"/>
        </w:rPr>
        <w:t xml:space="preserve">En términos del artículo 27 numeral 1 de la Ley Electoral las elecciones ordinarias deberán celebrarse el primer domingo del mes de junio del año que corresponda. Por </w:t>
      </w:r>
      <w:r w:rsidRPr="002A2A2E">
        <w:rPr>
          <w:rFonts w:ascii="Arial" w:hAnsi="Arial" w:cs="Arial"/>
          <w:sz w:val="23"/>
          <w:szCs w:val="23"/>
        </w:rPr>
        <w:lastRenderedPageBreak/>
        <w:t>lo que, en el caso del Proceso Electoral la jornada electoral se realizará el 2 de junio de 2024.</w:t>
      </w:r>
    </w:p>
    <w:p w:rsidR="008B70F6" w:rsidRPr="002A2A2E" w:rsidRDefault="008B70F6" w:rsidP="008B70F6">
      <w:pPr>
        <w:pStyle w:val="Ttulo1"/>
        <w:rPr>
          <w:rFonts w:ascii="Arial" w:hAnsi="Arial" w:cs="Arial"/>
          <w:sz w:val="24"/>
          <w:szCs w:val="24"/>
        </w:rPr>
      </w:pPr>
      <w:r w:rsidRPr="002A2A2E">
        <w:rPr>
          <w:rFonts w:ascii="Arial" w:hAnsi="Arial" w:cs="Arial"/>
          <w:sz w:val="24"/>
          <w:szCs w:val="24"/>
        </w:rPr>
        <w:t>Considerando</w:t>
      </w:r>
    </w:p>
    <w:p w:rsidR="008B70F6" w:rsidRPr="002A2A2E" w:rsidRDefault="008B70F6" w:rsidP="008B70F6">
      <w:pPr>
        <w:pStyle w:val="Ttulo2"/>
        <w:rPr>
          <w:rFonts w:ascii="Arial" w:hAnsi="Arial" w:cs="Arial"/>
          <w:sz w:val="23"/>
        </w:rPr>
      </w:pPr>
      <w:r>
        <w:t xml:space="preserve">Fines </w:t>
      </w:r>
      <w:r w:rsidRPr="002A2A2E">
        <w:rPr>
          <w:rFonts w:ascii="Arial" w:hAnsi="Arial" w:cs="Arial"/>
          <w:sz w:val="23"/>
        </w:rPr>
        <w:t>del Instituto</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Que, los artículos 9, apartado C, fracción I, de la Constitución Local; 3 numeral 3, 100 y 102, de la Ley Electoral, establecen que, el Instituto es el organismo público local de carácter permanente, autónomo en su funcionamiento, independiente en sus decisiones y profesional en su desempeño, dotado de personalidad jurídica y patrimonio propios que se rige por los principios de certeza, legalidad, independencia, inclusión, imparcialidad, máxima publicidad, transparencia, rendición de cuentas, objetividad, paridad, interculturalidad, y las realizarán con perspectiva de género y enfoque de derechos humanos.</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Por su parte, el artículo 101, de la Ley Electoral, establece como finalidades del Instituto Electoral las siguientes: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8B70F6" w:rsidRPr="002A2A2E" w:rsidRDefault="008B70F6" w:rsidP="008B70F6">
      <w:pPr>
        <w:pStyle w:val="Ttulo2"/>
        <w:rPr>
          <w:rFonts w:ascii="Arial" w:hAnsi="Arial" w:cs="Arial"/>
          <w:sz w:val="23"/>
        </w:rPr>
      </w:pPr>
      <w:r w:rsidRPr="002A2A2E">
        <w:rPr>
          <w:rFonts w:ascii="Arial" w:hAnsi="Arial" w:cs="Arial"/>
          <w:sz w:val="23"/>
        </w:rPr>
        <w:t xml:space="preserve">Órganos Centrales del Instituto </w:t>
      </w:r>
    </w:p>
    <w:p w:rsidR="008B70F6"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Que, el artículo 105, de la Ley Electoral, señala que, son órganos centrales del Instituto los siguientes: I. Consejo Estatal; II. Presidencia del Consejo Estatal; III. Junta Ejecutiva; IV. Secretaría Ejecutiva, y V. Órgano Técnico de Fiscalización.</w:t>
      </w:r>
    </w:p>
    <w:p w:rsidR="002A2A2E" w:rsidRPr="002A2A2E" w:rsidRDefault="002A2A2E" w:rsidP="008B70F6">
      <w:pPr>
        <w:spacing w:before="240" w:after="240" w:line="276" w:lineRule="auto"/>
        <w:jc w:val="both"/>
        <w:rPr>
          <w:rFonts w:ascii="Arial" w:hAnsi="Arial" w:cs="Arial"/>
          <w:sz w:val="23"/>
          <w:szCs w:val="23"/>
        </w:rPr>
      </w:pPr>
    </w:p>
    <w:p w:rsidR="008B70F6" w:rsidRPr="002A2A2E" w:rsidRDefault="008B70F6" w:rsidP="008B70F6">
      <w:pPr>
        <w:pStyle w:val="Ttulo2"/>
        <w:rPr>
          <w:rFonts w:ascii="Arial" w:hAnsi="Arial" w:cs="Arial"/>
          <w:sz w:val="23"/>
        </w:rPr>
      </w:pPr>
      <w:r w:rsidRPr="002A2A2E">
        <w:rPr>
          <w:rFonts w:ascii="Arial" w:hAnsi="Arial" w:cs="Arial"/>
          <w:sz w:val="23"/>
        </w:rPr>
        <w:lastRenderedPageBreak/>
        <w:t>Órganos desconcentrados</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 xml:space="preserve">Que, el artículo 124, capítulo primero de la Ley Electoral, establece que las Juntas Distritales son órganos operativos temporales que se integrarán para cada proceso electoral con una o un Vocal Ejecutivo, una o un Vocal Secretario y una o un Vocal de Organización Electoral y Educación Cívica. </w:t>
      </w:r>
    </w:p>
    <w:p w:rsidR="008B70F6" w:rsidRPr="002A2A2E" w:rsidRDefault="008B70F6" w:rsidP="008B70F6">
      <w:pPr>
        <w:pStyle w:val="Ttulo2"/>
        <w:rPr>
          <w:rFonts w:ascii="Arial" w:hAnsi="Arial" w:cs="Arial"/>
          <w:sz w:val="23"/>
        </w:rPr>
      </w:pPr>
      <w:r w:rsidRPr="002A2A2E">
        <w:rPr>
          <w:rFonts w:ascii="Arial" w:hAnsi="Arial" w:cs="Arial"/>
          <w:sz w:val="23"/>
        </w:rPr>
        <w:t xml:space="preserve">Órgano Superior de Dirección del Instituto </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Que, de acuerdo con lo estipulado en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rsidR="008B70F6" w:rsidRPr="002A2A2E" w:rsidRDefault="008B70F6" w:rsidP="008B70F6">
      <w:pPr>
        <w:pStyle w:val="Ttulo2"/>
        <w:rPr>
          <w:rFonts w:ascii="Arial" w:hAnsi="Arial" w:cs="Arial"/>
          <w:sz w:val="23"/>
        </w:rPr>
      </w:pPr>
      <w:r w:rsidRPr="002A2A2E">
        <w:rPr>
          <w:rFonts w:ascii="Arial" w:hAnsi="Arial" w:cs="Arial"/>
          <w:sz w:val="23"/>
        </w:rPr>
        <w:t>Integración del Órgano de Dirección Superior</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Que, de conformidad con los artículos 99, de la Ley General y 107, numeral 1, de la Ley Electoral,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17455C" w:rsidRPr="002A2A2E" w:rsidRDefault="0017455C" w:rsidP="0017455C">
      <w:pPr>
        <w:pStyle w:val="Ttulo2"/>
        <w:rPr>
          <w:rFonts w:ascii="Arial" w:hAnsi="Arial" w:cs="Arial"/>
          <w:sz w:val="23"/>
        </w:rPr>
      </w:pPr>
      <w:r w:rsidRPr="002A2A2E">
        <w:rPr>
          <w:rFonts w:ascii="Arial" w:hAnsi="Arial" w:cs="Arial"/>
          <w:sz w:val="23"/>
        </w:rPr>
        <w:t xml:space="preserve">Administración del Instituto </w:t>
      </w:r>
    </w:p>
    <w:p w:rsidR="0017455C" w:rsidRPr="002A2A2E" w:rsidRDefault="0017455C" w:rsidP="0017455C">
      <w:pPr>
        <w:spacing w:before="240" w:after="240" w:line="276" w:lineRule="auto"/>
        <w:jc w:val="both"/>
        <w:rPr>
          <w:rFonts w:ascii="Arial" w:hAnsi="Arial" w:cs="Arial"/>
          <w:sz w:val="23"/>
          <w:szCs w:val="23"/>
        </w:rPr>
      </w:pPr>
      <w:r w:rsidRPr="002A2A2E">
        <w:rPr>
          <w:rFonts w:ascii="Arial" w:hAnsi="Arial" w:cs="Arial"/>
          <w:sz w:val="23"/>
          <w:szCs w:val="23"/>
        </w:rPr>
        <w:t>Que, el artículo 117 numeral 1 de la Ley Electoral establece que, entre otras, la Secretaría Ejecutiva, tiene la atribución de coordinar la Junta Ejecutiva, conducir la administración y supervisar el desarrollo adecuado de las actividades de los órganos ejecutivos y técnicos del Instituto.</w:t>
      </w:r>
    </w:p>
    <w:p w:rsidR="0017455C" w:rsidRDefault="0017455C" w:rsidP="0017455C">
      <w:pPr>
        <w:spacing w:before="240" w:after="240" w:line="276" w:lineRule="auto"/>
        <w:jc w:val="both"/>
        <w:rPr>
          <w:rFonts w:ascii="Arial" w:hAnsi="Arial" w:cs="Arial"/>
          <w:sz w:val="23"/>
          <w:szCs w:val="23"/>
        </w:rPr>
      </w:pPr>
      <w:r w:rsidRPr="002A2A2E">
        <w:rPr>
          <w:rFonts w:ascii="Arial" w:hAnsi="Arial" w:cs="Arial"/>
          <w:sz w:val="23"/>
          <w:szCs w:val="23"/>
        </w:rPr>
        <w:t>Conforme a lo anterior, corresponde a la Secretaría Ejecutiva proveer a los órganos del Instituto de los elementos primordiales para el cumplimiento de sus funciones, en términos de lo que refiere el artículo 117, numeral 2, fracción XVIII de la Ley Electoral.</w:t>
      </w:r>
    </w:p>
    <w:p w:rsidR="00F3047C" w:rsidRDefault="00F3047C" w:rsidP="0017455C">
      <w:pPr>
        <w:spacing w:before="240" w:after="240" w:line="276" w:lineRule="auto"/>
        <w:jc w:val="both"/>
        <w:rPr>
          <w:rFonts w:ascii="Arial" w:hAnsi="Arial" w:cs="Arial"/>
          <w:sz w:val="23"/>
          <w:szCs w:val="23"/>
        </w:rPr>
      </w:pPr>
    </w:p>
    <w:p w:rsidR="00F3047C" w:rsidRPr="002A2A2E" w:rsidRDefault="00F3047C" w:rsidP="0017455C">
      <w:pPr>
        <w:spacing w:before="240" w:after="240" w:line="276" w:lineRule="auto"/>
        <w:jc w:val="both"/>
        <w:rPr>
          <w:rFonts w:ascii="Arial" w:hAnsi="Arial" w:cs="Arial"/>
          <w:sz w:val="23"/>
          <w:szCs w:val="23"/>
        </w:rPr>
      </w:pPr>
    </w:p>
    <w:p w:rsidR="008B70F6" w:rsidRPr="002A2A2E" w:rsidRDefault="008B70F6" w:rsidP="008B70F6">
      <w:pPr>
        <w:pStyle w:val="Ttulo2"/>
        <w:rPr>
          <w:rFonts w:ascii="Arial" w:hAnsi="Arial" w:cs="Arial"/>
          <w:sz w:val="23"/>
        </w:rPr>
      </w:pPr>
      <w:r w:rsidRPr="002A2A2E">
        <w:rPr>
          <w:rFonts w:ascii="Arial" w:hAnsi="Arial" w:cs="Arial"/>
          <w:sz w:val="23"/>
        </w:rPr>
        <w:lastRenderedPageBreak/>
        <w:t>Integración de la Junta Ejecutiva</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Que, el artículo 118, numeral 1, de la Ley Electoral, establece que la Junta Ejecutiva será presidida por la Presidencia del Consejo y se integrará con las personas titulares de la Secretaría Ejecutiva, las Direcciones de Organización Electoral y Educación Cívica, y, de Administración.</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Asimismo, el numeral 2, del artículo mencionado establece que, las o los titulares del Órgano Técnico de Fiscalización y de la Contraloría General podrán participar en las sesiones de la Junta Ejecutiva, a convocatoria de la Presidencia del Consejo.</w:t>
      </w:r>
    </w:p>
    <w:p w:rsidR="008B70F6" w:rsidRPr="002A2A2E" w:rsidRDefault="008B70F6" w:rsidP="008B70F6">
      <w:pPr>
        <w:pStyle w:val="Ttulo2"/>
        <w:rPr>
          <w:rFonts w:ascii="Arial" w:hAnsi="Arial" w:cs="Arial"/>
          <w:sz w:val="23"/>
        </w:rPr>
      </w:pPr>
      <w:r w:rsidRPr="002A2A2E">
        <w:rPr>
          <w:rFonts w:ascii="Arial" w:hAnsi="Arial" w:cs="Arial"/>
          <w:sz w:val="23"/>
        </w:rPr>
        <w:t>Atribuciones de la Junta Ejecutiva</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Que, el numeral 1, del artículo 119, de la Ley Electoral, señala que, la Junta Ejecutiva se reunirá por lo menos una vez al mes y ejercerá las atribuciones siguientes:</w:t>
      </w:r>
    </w:p>
    <w:p w:rsidR="008B70F6" w:rsidRPr="002A2A2E"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2A2A2E">
        <w:rPr>
          <w:rFonts w:ascii="Arial" w:hAnsi="Arial" w:cs="Arial"/>
          <w:sz w:val="23"/>
          <w:szCs w:val="23"/>
        </w:rPr>
        <w:t>Proponer al Consejo Estatal las políticas generales y los programas del Instituto Estatal;</w:t>
      </w:r>
    </w:p>
    <w:p w:rsidR="008B70F6" w:rsidRPr="002A2A2E"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2A2A2E">
        <w:rPr>
          <w:rFonts w:ascii="Arial" w:hAnsi="Arial" w:cs="Arial"/>
          <w:sz w:val="23"/>
          <w:szCs w:val="23"/>
        </w:rPr>
        <w:t>Fijar los procedimientos administrativos, conforme a las políticas y programas generales del Instituto;</w:t>
      </w:r>
    </w:p>
    <w:p w:rsidR="008B70F6" w:rsidRPr="002A2A2E"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2A2A2E">
        <w:rPr>
          <w:rFonts w:ascii="Arial" w:hAnsi="Arial" w:cs="Arial"/>
          <w:sz w:val="23"/>
          <w:szCs w:val="23"/>
        </w:rPr>
        <w:t>Revisar el cumplimiento de los trabajos relativos a los productos electorales que habrá de aportar el Registro Federal de Electores para el Proceso Local, conforme al convenio y documentos técnicos celebrados con el Instituto Nacional Electoral;</w:t>
      </w:r>
    </w:p>
    <w:p w:rsidR="008B70F6" w:rsidRPr="002A2A2E"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2A2A2E">
        <w:rPr>
          <w:rFonts w:ascii="Arial" w:hAnsi="Arial" w:cs="Arial"/>
          <w:sz w:val="23"/>
          <w:szCs w:val="23"/>
        </w:rPr>
        <w:t>Vigilar el cumplimiento de las normas aplicables a los Partidos Políticos, las agrupaciones políticas y candidatos;</w:t>
      </w:r>
    </w:p>
    <w:p w:rsidR="008B70F6" w:rsidRPr="002A2A2E"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2A2A2E">
        <w:rPr>
          <w:rFonts w:ascii="Arial" w:hAnsi="Arial" w:cs="Arial"/>
          <w:sz w:val="23"/>
          <w:szCs w:val="23"/>
        </w:rPr>
        <w:t>Supervisar el cumplimiento de los programas y actividades de las Direcciones del Instituto;</w:t>
      </w:r>
    </w:p>
    <w:p w:rsidR="008B70F6" w:rsidRPr="002A2A2E"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2A2A2E">
        <w:rPr>
          <w:rFonts w:ascii="Arial" w:hAnsi="Arial" w:cs="Arial"/>
          <w:sz w:val="23"/>
          <w:szCs w:val="23"/>
        </w:rPr>
        <w:t>Nombrar a los miembros de las Juntas Distritales, a propuesta de su Presidenta o Presidente, y supervisar el cumplimiento de sus actividades; así como aprobar, conforme al presupuesto autorizado, la estructura de las vocalías de acuerdo con las necesidades del proceso electoral;</w:t>
      </w:r>
    </w:p>
    <w:p w:rsidR="008B70F6" w:rsidRPr="002A2A2E"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2A2A2E">
        <w:rPr>
          <w:rFonts w:ascii="Arial" w:hAnsi="Arial" w:cs="Arial"/>
          <w:sz w:val="23"/>
          <w:szCs w:val="23"/>
        </w:rPr>
        <w:lastRenderedPageBreak/>
        <w:t>Nombrar, en su caso, a la o el funcionario que acudirá a las sesiones de la Comisión Local de Vigilancia del Registro Federal de Electores, con facultades de enlace con el Instituto Nacional Electoral, de conformidad con el convenio respectivo que se suscriba;</w:t>
      </w:r>
    </w:p>
    <w:p w:rsidR="008B70F6" w:rsidRPr="002A2A2E"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2A2A2E">
        <w:rPr>
          <w:rFonts w:ascii="Arial" w:hAnsi="Arial" w:cs="Arial"/>
          <w:sz w:val="23"/>
          <w:szCs w:val="23"/>
        </w:rPr>
        <w:t>Conocer de los informes de la Contraloría General respecto de los expedientes relativos a las faltas administrativas y, en su caso, sobre imposición de sanciones a las personas servidoras públicas del Instituto Estatal;</w:t>
      </w:r>
    </w:p>
    <w:p w:rsidR="008B70F6" w:rsidRPr="002A2A2E"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2A2A2E">
        <w:rPr>
          <w:rFonts w:ascii="Arial" w:hAnsi="Arial" w:cs="Arial"/>
          <w:sz w:val="23"/>
          <w:szCs w:val="23"/>
        </w:rPr>
        <w:t>Formular los estudios y, en su caso, los proyectos de convenio que deban suscribirse entre el Instituto con el INE;</w:t>
      </w:r>
    </w:p>
    <w:p w:rsidR="008B70F6" w:rsidRPr="002A2A2E"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2A2A2E">
        <w:rPr>
          <w:rFonts w:ascii="Arial" w:hAnsi="Arial" w:cs="Arial"/>
          <w:sz w:val="23"/>
          <w:szCs w:val="23"/>
        </w:rPr>
        <w:t>Presentar a consideración del Consejo Estatal el proyecto de dictamen de pérdida de registro de algún partido político local o agrupación política local, que se encuentren en cualquiera de los supuestos establecidos en esta Ley;</w:t>
      </w:r>
    </w:p>
    <w:p w:rsidR="008B70F6" w:rsidRPr="002A2A2E"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2A2A2E">
        <w:rPr>
          <w:rFonts w:ascii="Arial" w:hAnsi="Arial" w:cs="Arial"/>
          <w:sz w:val="23"/>
          <w:szCs w:val="23"/>
        </w:rPr>
        <w:t>Resolver, en el ámbito de su competencia, los medios de impugnación en contra de los actos o resoluciones de la Secretaría Ejecutiva y de las Juntas Distritales del Instituto, en los términos establecidos en la ley de la materia;</w:t>
      </w:r>
    </w:p>
    <w:p w:rsidR="008B70F6" w:rsidRPr="002A2A2E"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2A2A2E">
        <w:rPr>
          <w:rFonts w:ascii="Arial" w:hAnsi="Arial" w:cs="Arial"/>
          <w:sz w:val="23"/>
          <w:szCs w:val="23"/>
        </w:rPr>
        <w:t>Integrar los expedientes relativos a las faltas administrativas en materia electoral y, en su caso, proponer las sanciones, en los términos que establece esta Ley, y</w:t>
      </w:r>
    </w:p>
    <w:p w:rsidR="008B70F6" w:rsidRPr="002A2A2E"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2A2A2E">
        <w:rPr>
          <w:rFonts w:ascii="Arial" w:hAnsi="Arial" w:cs="Arial"/>
          <w:sz w:val="23"/>
          <w:szCs w:val="23"/>
        </w:rPr>
        <w:t>Las demás que le encomiende esta Ley, el Consejo Estatal y el Consejero Presidente.</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Además, en términos del artículo 4, numerales 2 y 3 del Reglamento de Sesiones, la Junta Ejecutiva es el órgano encargado de velar por el buen desempeño y el funcionamiento administrativo del Instituto, así como de supervisar la administración de los recursos financieros, humanos y materiales de este, teniendo las atribuciones asignadas y establecidas en la Ley Electoral, aquellas que le establezcan los acuerdos y las demás disposiciones que emita el Consejo Estatal.</w:t>
      </w:r>
    </w:p>
    <w:p w:rsidR="0017455C" w:rsidRPr="002A2A2E" w:rsidRDefault="0017455C" w:rsidP="0017455C">
      <w:pPr>
        <w:pStyle w:val="Ttulo2"/>
        <w:rPr>
          <w:rFonts w:ascii="Arial" w:hAnsi="Arial" w:cs="Arial"/>
          <w:sz w:val="23"/>
        </w:rPr>
      </w:pPr>
      <w:r w:rsidRPr="002A2A2E">
        <w:rPr>
          <w:rFonts w:ascii="Arial" w:hAnsi="Arial" w:cs="Arial"/>
          <w:sz w:val="23"/>
        </w:rPr>
        <w:t>Juntas distritales</w:t>
      </w:r>
    </w:p>
    <w:p w:rsidR="0017455C" w:rsidRPr="002A2A2E" w:rsidRDefault="0017455C" w:rsidP="0017455C">
      <w:pPr>
        <w:spacing w:before="240" w:after="240" w:line="276" w:lineRule="auto"/>
        <w:jc w:val="both"/>
        <w:rPr>
          <w:rFonts w:ascii="Arial" w:hAnsi="Arial" w:cs="Arial"/>
          <w:sz w:val="23"/>
          <w:szCs w:val="23"/>
        </w:rPr>
      </w:pPr>
      <w:r w:rsidRPr="002A2A2E">
        <w:rPr>
          <w:rFonts w:ascii="Arial" w:hAnsi="Arial" w:cs="Arial"/>
          <w:sz w:val="23"/>
          <w:szCs w:val="23"/>
        </w:rPr>
        <w:t xml:space="preserve">Que, el artículo 124 numeral 1 de la Ley Electoral, dispone que las Juntas Distritales son órganos operativos temporales que se integrarán para cada proceso electoral con </w:t>
      </w:r>
      <w:r w:rsidRPr="002A2A2E">
        <w:rPr>
          <w:rFonts w:ascii="Arial" w:hAnsi="Arial" w:cs="Arial"/>
          <w:sz w:val="23"/>
          <w:szCs w:val="23"/>
        </w:rPr>
        <w:lastRenderedPageBreak/>
        <w:t>una o un Vocal Ejecutivo, una o un Vocal Secretario y una o un Vocal de Organización Electoral y Educación Cívica.</w:t>
      </w:r>
    </w:p>
    <w:p w:rsidR="0017455C" w:rsidRPr="002A2A2E" w:rsidRDefault="0017455C" w:rsidP="0017455C">
      <w:pPr>
        <w:pStyle w:val="Ttulo2"/>
        <w:rPr>
          <w:rFonts w:ascii="Arial" w:hAnsi="Arial" w:cs="Arial"/>
          <w:sz w:val="23"/>
        </w:rPr>
      </w:pPr>
      <w:r w:rsidRPr="002A2A2E">
        <w:rPr>
          <w:rFonts w:ascii="Arial" w:hAnsi="Arial" w:cs="Arial"/>
          <w:sz w:val="23"/>
        </w:rPr>
        <w:t>Consejos Distritales</w:t>
      </w:r>
    </w:p>
    <w:p w:rsidR="0017455C" w:rsidRPr="002A2A2E" w:rsidRDefault="0017455C" w:rsidP="0017455C">
      <w:pPr>
        <w:spacing w:before="240" w:after="240" w:line="276" w:lineRule="auto"/>
        <w:jc w:val="both"/>
        <w:rPr>
          <w:rFonts w:ascii="Arial" w:hAnsi="Arial" w:cs="Arial"/>
          <w:sz w:val="23"/>
          <w:szCs w:val="23"/>
        </w:rPr>
      </w:pPr>
      <w:r w:rsidRPr="002A2A2E">
        <w:rPr>
          <w:rFonts w:ascii="Arial" w:hAnsi="Arial" w:cs="Arial"/>
          <w:sz w:val="23"/>
          <w:szCs w:val="23"/>
        </w:rPr>
        <w:t>Que, de acuerdo con el artículo 127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rsidR="0017455C" w:rsidRPr="002A2A2E" w:rsidRDefault="0017455C" w:rsidP="0017455C">
      <w:pPr>
        <w:pStyle w:val="Ttulo2"/>
        <w:rPr>
          <w:rFonts w:ascii="Arial" w:hAnsi="Arial" w:cs="Arial"/>
          <w:sz w:val="23"/>
        </w:rPr>
      </w:pPr>
      <w:r w:rsidRPr="002A2A2E">
        <w:rPr>
          <w:rFonts w:ascii="Arial" w:hAnsi="Arial" w:cs="Arial"/>
          <w:sz w:val="23"/>
        </w:rPr>
        <w:t>Inicio de sesiones de los Consejos Distritales</w:t>
      </w:r>
    </w:p>
    <w:p w:rsidR="0017455C" w:rsidRPr="002A2A2E" w:rsidRDefault="0017455C" w:rsidP="0017455C">
      <w:pPr>
        <w:spacing w:before="240" w:after="240" w:line="276" w:lineRule="auto"/>
        <w:jc w:val="both"/>
        <w:rPr>
          <w:rFonts w:ascii="Arial" w:hAnsi="Arial" w:cs="Arial"/>
          <w:sz w:val="23"/>
          <w:szCs w:val="23"/>
        </w:rPr>
      </w:pPr>
      <w:r w:rsidRPr="002A2A2E">
        <w:rPr>
          <w:rFonts w:ascii="Arial" w:hAnsi="Arial" w:cs="Arial"/>
          <w:sz w:val="23"/>
          <w:szCs w:val="23"/>
        </w:rPr>
        <w:t>Que, el artículo 129 numeral 1 de la Ley Electoral establece que los Consejos Distritales iniciarán sus sesiones durante la segunda semana del mes de diciembre del año previo al de la elección ordinaria. Asimismo, en términos del numeral 3 del artículo en cita, desde el momento de su instalación y hasta la conclusión del Proceso Electoral, los Consejos Distritales sesionarán de manera ordinaria por lo menos una vez al mes, su Presidenta o Presidente pondrá convocar a sesiones extraordinarias cuando lo estime necesario.</w:t>
      </w:r>
    </w:p>
    <w:p w:rsidR="0017455C" w:rsidRPr="002A2A2E" w:rsidRDefault="0017455C" w:rsidP="0017455C">
      <w:pPr>
        <w:pStyle w:val="Ttulo2"/>
        <w:rPr>
          <w:rFonts w:ascii="Arial" w:hAnsi="Arial" w:cs="Arial"/>
          <w:sz w:val="23"/>
        </w:rPr>
      </w:pPr>
      <w:r w:rsidRPr="002A2A2E">
        <w:rPr>
          <w:rFonts w:ascii="Arial" w:hAnsi="Arial" w:cs="Arial"/>
          <w:sz w:val="23"/>
        </w:rPr>
        <w:t xml:space="preserve">Autonomía presupuestaria del Instituto </w:t>
      </w:r>
    </w:p>
    <w:p w:rsidR="0017455C" w:rsidRPr="002A2A2E" w:rsidRDefault="0017455C" w:rsidP="0017455C">
      <w:pPr>
        <w:spacing w:before="240" w:after="240" w:line="276" w:lineRule="auto"/>
        <w:jc w:val="both"/>
        <w:rPr>
          <w:rFonts w:ascii="Arial" w:hAnsi="Arial" w:cs="Arial"/>
          <w:sz w:val="23"/>
          <w:szCs w:val="23"/>
        </w:rPr>
      </w:pPr>
      <w:r w:rsidRPr="002A2A2E">
        <w:rPr>
          <w:rFonts w:ascii="Arial" w:hAnsi="Arial" w:cs="Arial"/>
          <w:sz w:val="23"/>
          <w:szCs w:val="23"/>
        </w:rPr>
        <w:t>Que, el artículo 6 de la Ley de Presupuesto y Responsabilidad Hacendaria del Estado de Tabasco y sus Municipios, sostiene que la autonomía presupuestaria otorgada a los órganos autónomos a través de la Constitución Local comprende:</w:t>
      </w:r>
    </w:p>
    <w:p w:rsidR="0017455C" w:rsidRPr="002A2A2E"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2A2A2E">
        <w:rPr>
          <w:rFonts w:ascii="Arial" w:hAnsi="Arial" w:cs="Arial"/>
          <w:sz w:val="23"/>
          <w:szCs w:val="23"/>
        </w:rPr>
        <w:t xml:space="preserve">La aprobación de su proyecto de presupuesto y su remisión a la Secretaría de Finanzas para su integración al proyecto de Presupuesto de Egresos, observando los criterios de política económica y demás disposiciones aplicables; </w:t>
      </w:r>
    </w:p>
    <w:p w:rsidR="0017455C" w:rsidRPr="002A2A2E"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2A2A2E">
        <w:rPr>
          <w:rFonts w:ascii="Arial" w:hAnsi="Arial" w:cs="Arial"/>
          <w:sz w:val="23"/>
          <w:szCs w:val="23"/>
        </w:rPr>
        <w:t xml:space="preserve">Ejercer su presupuesto observando lo dispuesto en dicha Ley, sin sujetarse a las disposiciones generales emitidas por la Secretaría y la Contraloría, el cual deberá realizarse con base en los principios de eficiencia, eficacia y transparencia y estarán sujetos a la normatividad, la evaluación y el control de los órganos correspondientes; </w:t>
      </w:r>
    </w:p>
    <w:p w:rsidR="0017455C" w:rsidRPr="002A2A2E"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2A2A2E">
        <w:rPr>
          <w:rFonts w:ascii="Arial" w:hAnsi="Arial" w:cs="Arial"/>
          <w:sz w:val="23"/>
          <w:szCs w:val="23"/>
        </w:rPr>
        <w:lastRenderedPageBreak/>
        <w:t xml:space="preserve">La autorización de las adecuaciones a sus presupuestos sin requerir la aprobación de la Secretaría de Finanzas, observando las disposiciones de dicha Ley; </w:t>
      </w:r>
    </w:p>
    <w:p w:rsidR="0017455C" w:rsidRPr="002A2A2E"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2A2A2E">
        <w:rPr>
          <w:rFonts w:ascii="Arial" w:hAnsi="Arial" w:cs="Arial"/>
          <w:sz w:val="23"/>
          <w:szCs w:val="23"/>
        </w:rPr>
        <w:t xml:space="preserve">La realización de sus pagos a través de sus respectivas tesorerías o sus equivalentes; </w:t>
      </w:r>
    </w:p>
    <w:p w:rsidR="0017455C" w:rsidRPr="002A2A2E"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2A2A2E">
        <w:rPr>
          <w:rFonts w:ascii="Arial" w:hAnsi="Arial" w:cs="Arial"/>
          <w:sz w:val="23"/>
          <w:szCs w:val="23"/>
        </w:rPr>
        <w:t>La determinación de los ajustes que correspondan en sus presupuestos en caso de disminución de ingresos, observando, en lo conducente, lo dispuesto en el artículo 18 de la Ley mencionada; y</w:t>
      </w:r>
    </w:p>
    <w:p w:rsidR="0017455C" w:rsidRPr="002A2A2E"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2A2A2E">
        <w:rPr>
          <w:rFonts w:ascii="Arial" w:hAnsi="Arial" w:cs="Arial"/>
          <w:sz w:val="23"/>
          <w:szCs w:val="23"/>
        </w:rPr>
        <w:t>Llevar la contabilidad y elaborar sus informes conforme a lo previsto en dicha Ley, así como enviarlos a la Secretaría de Finanzas para su integración a los informes trimestrales y a la cuenta pública.</w:t>
      </w:r>
    </w:p>
    <w:p w:rsidR="008B70F6" w:rsidRPr="002A2A2E" w:rsidRDefault="008B70F6" w:rsidP="00D90B7A">
      <w:pPr>
        <w:pStyle w:val="Ttulo2"/>
        <w:rPr>
          <w:rFonts w:ascii="Arial" w:hAnsi="Arial" w:cs="Arial"/>
          <w:sz w:val="23"/>
        </w:rPr>
      </w:pPr>
      <w:r w:rsidRPr="002A2A2E">
        <w:rPr>
          <w:rFonts w:ascii="Arial" w:hAnsi="Arial" w:cs="Arial"/>
          <w:sz w:val="23"/>
        </w:rPr>
        <w:t>Administración de los recursos financi</w:t>
      </w:r>
      <w:r w:rsidR="00D90B7A" w:rsidRPr="002A2A2E">
        <w:rPr>
          <w:rFonts w:ascii="Arial" w:hAnsi="Arial" w:cs="Arial"/>
          <w:sz w:val="23"/>
        </w:rPr>
        <w:t>eros y materiales del Instituto</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 xml:space="preserve">Que, conforme </w:t>
      </w:r>
      <w:r w:rsidR="00D90B7A" w:rsidRPr="002A2A2E">
        <w:rPr>
          <w:rFonts w:ascii="Arial" w:hAnsi="Arial" w:cs="Arial"/>
          <w:sz w:val="23"/>
          <w:szCs w:val="23"/>
        </w:rPr>
        <w:t>a</w:t>
      </w:r>
      <w:r w:rsidRPr="002A2A2E">
        <w:rPr>
          <w:rFonts w:ascii="Arial" w:hAnsi="Arial" w:cs="Arial"/>
          <w:sz w:val="23"/>
          <w:szCs w:val="23"/>
        </w:rPr>
        <w:t>l artículo 122 numeral 1 fracción I de la Ley Electoral, corresponde a la Dirección de Administración aplicar las políticas, normas y procedimientos para la administración de los recursos financieros y materiales del Instituto, previo acuerdo de la Junta Ejecutiva.</w:t>
      </w:r>
    </w:p>
    <w:p w:rsidR="008B70F6" w:rsidRPr="002A2A2E" w:rsidRDefault="008B70F6" w:rsidP="00D90B7A">
      <w:pPr>
        <w:pStyle w:val="Ttulo2"/>
        <w:rPr>
          <w:rFonts w:ascii="Arial" w:hAnsi="Arial" w:cs="Arial"/>
          <w:sz w:val="23"/>
        </w:rPr>
      </w:pPr>
      <w:r w:rsidRPr="002A2A2E">
        <w:rPr>
          <w:rFonts w:ascii="Arial" w:hAnsi="Arial" w:cs="Arial"/>
          <w:sz w:val="23"/>
        </w:rPr>
        <w:t>Asignación presupuestal en materia de servicios personales</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Que, de conformidad con el artículo 30, fracción II de la Ley de Presupuesto y Responsabilidad Hacendaria del Estado de Tabasco y sus Municipios, en el proyecto de presupuesto de egresos se deberá presentar en una sección específica las erogaciones correspondientes al gasto en servicios personales, el cual comprende las remuneraciones de los servidores públicos desglosando las percepciones ordinarias y extraordinarias, e incluyendo las erogaciones a cargo de los ejecutores de gasto por concepto de obligaciones de carácter fiscal y de seguridad social inherentes a dichas remuneraciones, y las previsiones salariales y económicas para cubrir los incrementos salariales, la creación de plazas y otras medidas económicas de índole laboral. Estas previsiones serán incluidas en un capítulo específico del presupuesto de egresos.  Una vez aprobada la asignación global de servicios personales en el presupuesto de egresos, ésta no podrá incrementarse.</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 xml:space="preserve">En ese sentido, el Consejo Estatal en la formulación del anteproyecto de egresos para el ejercicio 2024 estableció un total de 173 plazas con categoría de confianza, acorde </w:t>
      </w:r>
      <w:r w:rsidRPr="002A2A2E">
        <w:rPr>
          <w:rFonts w:ascii="Arial" w:hAnsi="Arial" w:cs="Arial"/>
          <w:sz w:val="23"/>
          <w:szCs w:val="23"/>
        </w:rPr>
        <w:lastRenderedPageBreak/>
        <w:t xml:space="preserve">a la plantilla de personal que corresponde actualmente al Instituto, las cuales corresponden con al analítico señalado en el presupuesto de egresos para dicho ejercicio aprobado por el Congreso Local; asimismo presentó la plantilla de personal eventual requerido para realizar las actividades para el desarrollo del proceso </w:t>
      </w:r>
      <w:r w:rsidR="00D90B7A" w:rsidRPr="002A2A2E">
        <w:rPr>
          <w:rFonts w:ascii="Arial" w:hAnsi="Arial" w:cs="Arial"/>
          <w:sz w:val="23"/>
          <w:szCs w:val="23"/>
        </w:rPr>
        <w:t>Electoral Local Ordinario 2023-2024</w:t>
      </w:r>
      <w:r w:rsidRPr="002A2A2E">
        <w:rPr>
          <w:rFonts w:ascii="Arial" w:hAnsi="Arial" w:cs="Arial"/>
          <w:sz w:val="23"/>
          <w:szCs w:val="23"/>
        </w:rPr>
        <w:t>.</w:t>
      </w:r>
    </w:p>
    <w:p w:rsidR="008B70F6" w:rsidRPr="002A2A2E" w:rsidRDefault="008B70F6" w:rsidP="00D90B7A">
      <w:pPr>
        <w:pStyle w:val="Ttulo2"/>
        <w:rPr>
          <w:rFonts w:ascii="Arial" w:hAnsi="Arial" w:cs="Arial"/>
          <w:sz w:val="23"/>
        </w:rPr>
      </w:pPr>
      <w:r w:rsidRPr="002A2A2E">
        <w:rPr>
          <w:rFonts w:ascii="Arial" w:hAnsi="Arial" w:cs="Arial"/>
          <w:sz w:val="23"/>
        </w:rPr>
        <w:t>Presupuesto de egresos gasto electoral 2023-2024</w:t>
      </w:r>
    </w:p>
    <w:p w:rsidR="008B70F6" w:rsidRPr="002A2A2E" w:rsidRDefault="00D90B7A" w:rsidP="008B70F6">
      <w:pPr>
        <w:spacing w:before="240" w:after="240" w:line="276" w:lineRule="auto"/>
        <w:jc w:val="both"/>
        <w:rPr>
          <w:rFonts w:ascii="Arial" w:hAnsi="Arial" w:cs="Arial"/>
          <w:sz w:val="23"/>
          <w:szCs w:val="23"/>
        </w:rPr>
      </w:pPr>
      <w:r w:rsidRPr="002A2A2E">
        <w:rPr>
          <w:rFonts w:ascii="Arial" w:hAnsi="Arial" w:cs="Arial"/>
          <w:sz w:val="23"/>
          <w:szCs w:val="23"/>
        </w:rPr>
        <w:t>Que, c</w:t>
      </w:r>
      <w:r w:rsidR="008B70F6" w:rsidRPr="002A2A2E">
        <w:rPr>
          <w:rFonts w:ascii="Arial" w:hAnsi="Arial" w:cs="Arial"/>
          <w:sz w:val="23"/>
          <w:szCs w:val="23"/>
        </w:rPr>
        <w:t xml:space="preserve">on fecha 02 de enero de 2024, mediante oficio SF/0065/2024, signado por el Secretario de Finanzas, se notificó a este Instituto la autorización del presupuesto de egresos inicial para el ejercicio fiscal 2024, por la cantidad de $433,400,000.00 (cuatrocientos treinta y tres millones cuatrocientos mil pesos 100/00 moneda nacional), de los cuales $113,579,377.00 (ciento trece millones quinientos setenta y nueve mil trescientos setenta y siete pesos 00/100 moneda nacional) serán destinados para el pago de las prestaciones que derivan de la contratación eventual del personal para el fortalecimiento de las actividades en el desarrollo del </w:t>
      </w:r>
      <w:r w:rsidRPr="002A2A2E">
        <w:rPr>
          <w:rFonts w:ascii="Arial" w:hAnsi="Arial" w:cs="Arial"/>
          <w:sz w:val="23"/>
          <w:szCs w:val="23"/>
        </w:rPr>
        <w:t xml:space="preserve">Proceso Electoral Local Ordinario 2023-2024. </w:t>
      </w:r>
    </w:p>
    <w:p w:rsidR="008B70F6" w:rsidRPr="002A2A2E" w:rsidRDefault="008B70F6" w:rsidP="00D90B7A">
      <w:pPr>
        <w:pStyle w:val="Ttulo2"/>
        <w:rPr>
          <w:rFonts w:ascii="Arial" w:hAnsi="Arial" w:cs="Arial"/>
          <w:sz w:val="23"/>
        </w:rPr>
      </w:pPr>
      <w:r w:rsidRPr="002A2A2E">
        <w:rPr>
          <w:rFonts w:ascii="Arial" w:hAnsi="Arial" w:cs="Arial"/>
          <w:sz w:val="23"/>
        </w:rPr>
        <w:t xml:space="preserve">Programa para la contratación de personal </w:t>
      </w:r>
    </w:p>
    <w:p w:rsidR="00D90B7A" w:rsidRPr="002A2A2E" w:rsidRDefault="00D90B7A" w:rsidP="008B70F6">
      <w:pPr>
        <w:spacing w:before="240" w:after="240" w:line="276" w:lineRule="auto"/>
        <w:jc w:val="both"/>
        <w:rPr>
          <w:rFonts w:ascii="Arial" w:hAnsi="Arial" w:cs="Arial"/>
          <w:sz w:val="23"/>
          <w:szCs w:val="23"/>
        </w:rPr>
      </w:pPr>
      <w:r w:rsidRPr="002A2A2E">
        <w:rPr>
          <w:rFonts w:ascii="Arial" w:hAnsi="Arial" w:cs="Arial"/>
          <w:sz w:val="23"/>
          <w:szCs w:val="23"/>
        </w:rPr>
        <w:t xml:space="preserve">Que, a partir de la </w:t>
      </w:r>
      <w:r w:rsidR="008B70F6" w:rsidRPr="002A2A2E">
        <w:rPr>
          <w:rFonts w:ascii="Arial" w:hAnsi="Arial" w:cs="Arial"/>
          <w:sz w:val="23"/>
          <w:szCs w:val="23"/>
        </w:rPr>
        <w:t xml:space="preserve">notificación </w:t>
      </w:r>
      <w:r w:rsidRPr="002A2A2E">
        <w:rPr>
          <w:rFonts w:ascii="Arial" w:hAnsi="Arial" w:cs="Arial"/>
          <w:sz w:val="23"/>
          <w:szCs w:val="23"/>
        </w:rPr>
        <w:t>de la Secretarí</w:t>
      </w:r>
      <w:r w:rsidR="008B70F6" w:rsidRPr="002A2A2E">
        <w:rPr>
          <w:rFonts w:ascii="Arial" w:hAnsi="Arial" w:cs="Arial"/>
          <w:sz w:val="23"/>
          <w:szCs w:val="23"/>
        </w:rPr>
        <w:t xml:space="preserve">a de Finanzas, la Unidad de Planeación y </w:t>
      </w:r>
      <w:r w:rsidRPr="002A2A2E">
        <w:rPr>
          <w:rFonts w:ascii="Arial" w:hAnsi="Arial" w:cs="Arial"/>
          <w:sz w:val="23"/>
          <w:szCs w:val="23"/>
        </w:rPr>
        <w:t xml:space="preserve">Evaluación </w:t>
      </w:r>
      <w:r w:rsidR="00E6498C" w:rsidRPr="002A2A2E">
        <w:rPr>
          <w:rFonts w:ascii="Arial" w:hAnsi="Arial" w:cs="Arial"/>
          <w:sz w:val="23"/>
          <w:szCs w:val="23"/>
        </w:rPr>
        <w:t>en coordinación con la Dirección de Administración, realizaron</w:t>
      </w:r>
      <w:r w:rsidRPr="002A2A2E">
        <w:rPr>
          <w:rFonts w:ascii="Arial" w:hAnsi="Arial" w:cs="Arial"/>
          <w:sz w:val="23"/>
          <w:szCs w:val="23"/>
        </w:rPr>
        <w:t xml:space="preserve"> </w:t>
      </w:r>
      <w:r w:rsidR="008B70F6" w:rsidRPr="002A2A2E">
        <w:rPr>
          <w:rFonts w:ascii="Arial" w:hAnsi="Arial" w:cs="Arial"/>
          <w:sz w:val="23"/>
          <w:szCs w:val="23"/>
        </w:rPr>
        <w:t xml:space="preserve">el análisis de las categorías del personal eventual proyectado y elaboró el programa de contratación del personal eventual para el fortalecimiento de las actividades </w:t>
      </w:r>
      <w:r w:rsidRPr="002A2A2E">
        <w:rPr>
          <w:rFonts w:ascii="Arial" w:hAnsi="Arial" w:cs="Arial"/>
          <w:sz w:val="23"/>
          <w:szCs w:val="23"/>
        </w:rPr>
        <w:t>con motivo de</w:t>
      </w:r>
      <w:r w:rsidR="008B70F6" w:rsidRPr="002A2A2E">
        <w:rPr>
          <w:rFonts w:ascii="Arial" w:hAnsi="Arial" w:cs="Arial"/>
          <w:sz w:val="23"/>
          <w:szCs w:val="23"/>
        </w:rPr>
        <w:t xml:space="preserve">l desarrollo del </w:t>
      </w:r>
      <w:r w:rsidRPr="002A2A2E">
        <w:rPr>
          <w:rFonts w:ascii="Arial" w:hAnsi="Arial" w:cs="Arial"/>
          <w:sz w:val="23"/>
          <w:szCs w:val="23"/>
        </w:rPr>
        <w:t>Proceso Electoral Local Ordinario 2023-2024</w:t>
      </w:r>
      <w:r w:rsidR="008B70F6" w:rsidRPr="002A2A2E">
        <w:rPr>
          <w:rFonts w:ascii="Arial" w:hAnsi="Arial" w:cs="Arial"/>
          <w:sz w:val="23"/>
          <w:szCs w:val="23"/>
        </w:rPr>
        <w:t>, mismo que con fecha 30 de enero de la presente anualidad, través de oficio SE/</w:t>
      </w:r>
      <w:proofErr w:type="spellStart"/>
      <w:r w:rsidR="008B70F6" w:rsidRPr="002A2A2E">
        <w:rPr>
          <w:rFonts w:ascii="Arial" w:hAnsi="Arial" w:cs="Arial"/>
          <w:sz w:val="23"/>
          <w:szCs w:val="23"/>
        </w:rPr>
        <w:t>UPyE</w:t>
      </w:r>
      <w:proofErr w:type="spellEnd"/>
      <w:r w:rsidR="008B70F6" w:rsidRPr="002A2A2E">
        <w:rPr>
          <w:rFonts w:ascii="Arial" w:hAnsi="Arial" w:cs="Arial"/>
          <w:sz w:val="23"/>
          <w:szCs w:val="23"/>
        </w:rPr>
        <w:t>/084/2023 remitió a la Secretaría Ejecutiva</w:t>
      </w:r>
      <w:r w:rsidRPr="002A2A2E">
        <w:rPr>
          <w:rFonts w:ascii="Arial" w:hAnsi="Arial" w:cs="Arial"/>
          <w:sz w:val="23"/>
          <w:szCs w:val="23"/>
        </w:rPr>
        <w:t>.</w:t>
      </w:r>
    </w:p>
    <w:p w:rsidR="00D90B7A" w:rsidRPr="002A2A2E" w:rsidRDefault="00D90B7A" w:rsidP="008B70F6">
      <w:pPr>
        <w:spacing w:before="240" w:after="240" w:line="276" w:lineRule="auto"/>
        <w:jc w:val="both"/>
        <w:rPr>
          <w:rFonts w:ascii="Arial" w:hAnsi="Arial" w:cs="Arial"/>
          <w:sz w:val="23"/>
          <w:szCs w:val="23"/>
        </w:rPr>
      </w:pPr>
      <w:r w:rsidRPr="002A2A2E">
        <w:rPr>
          <w:rFonts w:ascii="Arial" w:hAnsi="Arial" w:cs="Arial"/>
          <w:sz w:val="23"/>
          <w:szCs w:val="23"/>
        </w:rPr>
        <w:t xml:space="preserve">El programa </w:t>
      </w:r>
      <w:r w:rsidR="00B77626" w:rsidRPr="002A2A2E">
        <w:rPr>
          <w:rFonts w:ascii="Arial" w:hAnsi="Arial" w:cs="Arial"/>
          <w:sz w:val="23"/>
          <w:szCs w:val="23"/>
        </w:rPr>
        <w:t>complementa</w:t>
      </w:r>
      <w:r w:rsidRPr="002A2A2E">
        <w:rPr>
          <w:rFonts w:ascii="Arial" w:hAnsi="Arial" w:cs="Arial"/>
          <w:sz w:val="23"/>
          <w:szCs w:val="23"/>
        </w:rPr>
        <w:t xml:space="preserve"> al </w:t>
      </w:r>
      <w:r w:rsidR="00B77626" w:rsidRPr="002A2A2E">
        <w:rPr>
          <w:rFonts w:ascii="Arial" w:hAnsi="Arial" w:cs="Arial"/>
          <w:sz w:val="23"/>
          <w:szCs w:val="23"/>
        </w:rPr>
        <w:t xml:space="preserve">previamente aprobado por este órgano electoral </w:t>
      </w:r>
      <w:r w:rsidRPr="002A2A2E">
        <w:rPr>
          <w:rFonts w:ascii="Arial" w:hAnsi="Arial" w:cs="Arial"/>
          <w:sz w:val="23"/>
          <w:szCs w:val="23"/>
        </w:rPr>
        <w:t>el ejercicio anterior</w:t>
      </w:r>
      <w:r w:rsidR="00B77626" w:rsidRPr="002A2A2E">
        <w:rPr>
          <w:rFonts w:ascii="Arial" w:hAnsi="Arial" w:cs="Arial"/>
          <w:sz w:val="23"/>
          <w:szCs w:val="23"/>
        </w:rPr>
        <w:t xml:space="preserve"> y tiene como base el presupuesto asignado. </w:t>
      </w:r>
      <w:r w:rsidR="005A7983" w:rsidRPr="002A2A2E">
        <w:rPr>
          <w:rFonts w:ascii="Arial" w:hAnsi="Arial" w:cs="Arial"/>
          <w:sz w:val="23"/>
          <w:szCs w:val="23"/>
        </w:rPr>
        <w:t>Asimismo, e</w:t>
      </w:r>
      <w:r w:rsidR="00B77626" w:rsidRPr="002A2A2E">
        <w:rPr>
          <w:rFonts w:ascii="Arial" w:hAnsi="Arial" w:cs="Arial"/>
          <w:sz w:val="23"/>
          <w:szCs w:val="23"/>
        </w:rPr>
        <w:t xml:space="preserve">l </w:t>
      </w:r>
      <w:r w:rsidR="005A7983" w:rsidRPr="002A2A2E">
        <w:rPr>
          <w:rFonts w:ascii="Arial" w:hAnsi="Arial" w:cs="Arial"/>
          <w:sz w:val="23"/>
          <w:szCs w:val="23"/>
        </w:rPr>
        <w:t xml:space="preserve">programa </w:t>
      </w:r>
      <w:r w:rsidRPr="002A2A2E">
        <w:rPr>
          <w:rFonts w:ascii="Arial" w:hAnsi="Arial" w:cs="Arial"/>
          <w:sz w:val="23"/>
          <w:szCs w:val="23"/>
        </w:rPr>
        <w:t xml:space="preserve">tiene como </w:t>
      </w:r>
      <w:r w:rsidR="005A7983" w:rsidRPr="002A2A2E">
        <w:rPr>
          <w:rFonts w:ascii="Arial" w:hAnsi="Arial" w:cs="Arial"/>
          <w:sz w:val="23"/>
          <w:szCs w:val="23"/>
        </w:rPr>
        <w:t xml:space="preserve">objetivo </w:t>
      </w:r>
      <w:r w:rsidRPr="002A2A2E">
        <w:rPr>
          <w:rFonts w:ascii="Arial" w:hAnsi="Arial" w:cs="Arial"/>
          <w:sz w:val="23"/>
          <w:szCs w:val="23"/>
        </w:rPr>
        <w:t xml:space="preserve">desarrollar las actividades relacionadas </w:t>
      </w:r>
      <w:r w:rsidR="005A7983" w:rsidRPr="002A2A2E">
        <w:rPr>
          <w:rFonts w:ascii="Arial" w:hAnsi="Arial" w:cs="Arial"/>
          <w:sz w:val="23"/>
          <w:szCs w:val="23"/>
        </w:rPr>
        <w:t xml:space="preserve">con </w:t>
      </w:r>
      <w:r w:rsidRPr="002A2A2E">
        <w:rPr>
          <w:rFonts w:ascii="Arial" w:hAnsi="Arial" w:cs="Arial"/>
          <w:sz w:val="23"/>
          <w:szCs w:val="23"/>
        </w:rPr>
        <w:t>el Proceso Electoral Local Ordinario 2023 – 2024.</w:t>
      </w:r>
    </w:p>
    <w:p w:rsidR="005A7983" w:rsidRPr="002A2A2E" w:rsidRDefault="005A7983" w:rsidP="008B70F6">
      <w:pPr>
        <w:spacing w:before="240" w:after="240" w:line="276" w:lineRule="auto"/>
        <w:jc w:val="both"/>
        <w:rPr>
          <w:rFonts w:ascii="Arial" w:hAnsi="Arial" w:cs="Arial"/>
          <w:sz w:val="23"/>
          <w:szCs w:val="23"/>
        </w:rPr>
      </w:pPr>
      <w:r w:rsidRPr="002A2A2E">
        <w:rPr>
          <w:rFonts w:ascii="Arial" w:hAnsi="Arial" w:cs="Arial"/>
          <w:sz w:val="23"/>
          <w:szCs w:val="23"/>
        </w:rPr>
        <w:t xml:space="preserve">Para ello, se analizaron las funciones de las diversas áreas que intervienen en el Proceso Electoral con el propósito de fortalecerlas y ejecutar, a través del uso eficiente de los recursos públicos, cada una de las actividades correspondientes, entre ellas, el </w:t>
      </w:r>
      <w:r w:rsidRPr="002A2A2E">
        <w:rPr>
          <w:rFonts w:ascii="Arial" w:hAnsi="Arial" w:cs="Arial"/>
          <w:sz w:val="23"/>
          <w:szCs w:val="23"/>
        </w:rPr>
        <w:lastRenderedPageBreak/>
        <w:t>proceso de registro de candidaturas, la promoción y capacitación electoral, el desarrollo de los cómputos electorales, entre otras.</w:t>
      </w:r>
    </w:p>
    <w:p w:rsidR="005A7983" w:rsidRPr="002A2A2E" w:rsidRDefault="005A7983" w:rsidP="005A7983">
      <w:pPr>
        <w:spacing w:before="240" w:after="240" w:line="276" w:lineRule="auto"/>
        <w:jc w:val="both"/>
        <w:rPr>
          <w:rFonts w:ascii="Arial" w:hAnsi="Arial" w:cs="Arial"/>
          <w:sz w:val="23"/>
          <w:szCs w:val="23"/>
        </w:rPr>
      </w:pPr>
      <w:r w:rsidRPr="002A2A2E">
        <w:rPr>
          <w:rFonts w:ascii="Arial" w:hAnsi="Arial" w:cs="Arial"/>
          <w:sz w:val="23"/>
          <w:szCs w:val="23"/>
        </w:rPr>
        <w:t>Asimismo, se fortalecen las juntas distritales, dotándolas del personal necesario para el desarrollo de sus funciones; por un lado, se asignan auxiliares administrativos y el necesario para el funcionamiento y operación del Programa de Resultados Electorales Preliminares; y, por otro, se prevé la asignación de supervisores electorales y capacitadores asistentes electorales locales, figuras indispensables que están previstas en la Ley General de Instituciones y Procedimientos Electorales.</w:t>
      </w:r>
    </w:p>
    <w:p w:rsidR="005A7983" w:rsidRPr="002A2A2E" w:rsidRDefault="005A7983" w:rsidP="005A7983">
      <w:pPr>
        <w:spacing w:before="240" w:after="240" w:line="276" w:lineRule="auto"/>
        <w:jc w:val="both"/>
        <w:rPr>
          <w:rFonts w:ascii="Arial" w:hAnsi="Arial" w:cs="Arial"/>
          <w:sz w:val="23"/>
          <w:szCs w:val="23"/>
        </w:rPr>
      </w:pPr>
      <w:r w:rsidRPr="002A2A2E">
        <w:rPr>
          <w:rFonts w:ascii="Arial" w:hAnsi="Arial" w:cs="Arial"/>
          <w:sz w:val="23"/>
          <w:szCs w:val="23"/>
        </w:rPr>
        <w:t>El programa de contratación será implementado de manera gradual a partir del período de enero a agosto del presente año y conforme a las necesidades previamente establecidas por las áreas.</w:t>
      </w:r>
      <w:r w:rsidR="001522C0" w:rsidRPr="002A2A2E">
        <w:rPr>
          <w:rFonts w:ascii="Arial" w:hAnsi="Arial" w:cs="Arial"/>
          <w:sz w:val="23"/>
          <w:szCs w:val="23"/>
        </w:rPr>
        <w:t xml:space="preserve"> </w:t>
      </w:r>
      <w:r w:rsidRPr="002A2A2E">
        <w:rPr>
          <w:rFonts w:ascii="Arial" w:hAnsi="Arial" w:cs="Arial"/>
          <w:sz w:val="23"/>
          <w:szCs w:val="23"/>
        </w:rPr>
        <w:t>En todo caso, el programa estará distribuido de la siguiente forma:</w:t>
      </w:r>
    </w:p>
    <w:tbl>
      <w:tblPr>
        <w:tblW w:w="906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4678"/>
        <w:gridCol w:w="709"/>
        <w:gridCol w:w="743"/>
        <w:gridCol w:w="733"/>
        <w:gridCol w:w="732"/>
        <w:gridCol w:w="732"/>
        <w:gridCol w:w="733"/>
      </w:tblGrid>
      <w:tr w:rsidR="005A7983" w:rsidRPr="005A7983" w:rsidTr="0051289A">
        <w:trPr>
          <w:trHeight w:val="296"/>
          <w:tblHeader/>
        </w:trPr>
        <w:tc>
          <w:tcPr>
            <w:tcW w:w="4678" w:type="dxa"/>
            <w:shd w:val="clear" w:color="auto" w:fill="993366"/>
            <w:vAlign w:val="center"/>
            <w:hideMark/>
          </w:tcPr>
          <w:p w:rsidR="005A7983" w:rsidRPr="005A7983" w:rsidRDefault="005A7983" w:rsidP="005A7983">
            <w:pPr>
              <w:spacing w:before="60" w:after="60" w:line="240" w:lineRule="auto"/>
              <w:jc w:val="center"/>
              <w:rPr>
                <w:rFonts w:ascii="Exo" w:eastAsia="Times New Roman" w:hAnsi="Exo" w:cs="Calibri"/>
                <w:b/>
                <w:bCs/>
                <w:color w:val="FFFFFF" w:themeColor="background1"/>
                <w:sz w:val="16"/>
                <w:szCs w:val="20"/>
              </w:rPr>
            </w:pPr>
            <w:r w:rsidRPr="005A7983">
              <w:rPr>
                <w:rFonts w:ascii="Exo" w:eastAsia="Times New Roman" w:hAnsi="Exo" w:cs="Calibri"/>
                <w:b/>
                <w:bCs/>
                <w:color w:val="FFFFFF" w:themeColor="background1"/>
                <w:sz w:val="16"/>
                <w:szCs w:val="20"/>
              </w:rPr>
              <w:t>Área</w:t>
            </w:r>
          </w:p>
        </w:tc>
        <w:tc>
          <w:tcPr>
            <w:tcW w:w="709" w:type="dxa"/>
            <w:shd w:val="clear" w:color="auto" w:fill="993366"/>
            <w:noWrap/>
            <w:vAlign w:val="center"/>
            <w:hideMark/>
          </w:tcPr>
          <w:p w:rsidR="005A7983" w:rsidRPr="005A7983" w:rsidRDefault="005A7983" w:rsidP="005A7983">
            <w:pPr>
              <w:spacing w:before="60" w:after="60" w:line="240" w:lineRule="auto"/>
              <w:jc w:val="center"/>
              <w:rPr>
                <w:rFonts w:ascii="Exo" w:eastAsia="Times New Roman" w:hAnsi="Exo" w:cs="Calibri"/>
                <w:b/>
                <w:bCs/>
                <w:color w:val="FFFFFF" w:themeColor="background1"/>
                <w:sz w:val="14"/>
                <w:szCs w:val="20"/>
              </w:rPr>
            </w:pPr>
            <w:r w:rsidRPr="005A7983">
              <w:rPr>
                <w:rFonts w:ascii="Exo" w:eastAsia="Times New Roman" w:hAnsi="Exo" w:cs="Calibri"/>
                <w:b/>
                <w:bCs/>
                <w:color w:val="FFFFFF" w:themeColor="background1"/>
                <w:sz w:val="14"/>
                <w:szCs w:val="20"/>
              </w:rPr>
              <w:t>Enero</w:t>
            </w:r>
          </w:p>
        </w:tc>
        <w:tc>
          <w:tcPr>
            <w:tcW w:w="743" w:type="dxa"/>
            <w:shd w:val="clear" w:color="auto" w:fill="993366"/>
            <w:noWrap/>
            <w:vAlign w:val="center"/>
            <w:hideMark/>
          </w:tcPr>
          <w:p w:rsidR="005A7983" w:rsidRPr="005A7983" w:rsidRDefault="005A7983" w:rsidP="005A7983">
            <w:pPr>
              <w:spacing w:before="60" w:after="60" w:line="240" w:lineRule="auto"/>
              <w:jc w:val="center"/>
              <w:rPr>
                <w:rFonts w:ascii="Exo" w:eastAsia="Times New Roman" w:hAnsi="Exo" w:cs="Calibri"/>
                <w:b/>
                <w:bCs/>
                <w:color w:val="FFFFFF" w:themeColor="background1"/>
                <w:sz w:val="14"/>
                <w:szCs w:val="20"/>
              </w:rPr>
            </w:pPr>
            <w:r w:rsidRPr="005A7983">
              <w:rPr>
                <w:rFonts w:ascii="Exo" w:eastAsia="Times New Roman" w:hAnsi="Exo" w:cs="Calibri"/>
                <w:b/>
                <w:bCs/>
                <w:color w:val="FFFFFF" w:themeColor="background1"/>
                <w:sz w:val="14"/>
                <w:szCs w:val="20"/>
              </w:rPr>
              <w:t>Febrero</w:t>
            </w:r>
          </w:p>
        </w:tc>
        <w:tc>
          <w:tcPr>
            <w:tcW w:w="733" w:type="dxa"/>
            <w:shd w:val="clear" w:color="auto" w:fill="993366"/>
            <w:noWrap/>
            <w:vAlign w:val="center"/>
            <w:hideMark/>
          </w:tcPr>
          <w:p w:rsidR="005A7983" w:rsidRPr="005A7983" w:rsidRDefault="005A7983" w:rsidP="005A7983">
            <w:pPr>
              <w:spacing w:before="60" w:after="60" w:line="240" w:lineRule="auto"/>
              <w:jc w:val="center"/>
              <w:rPr>
                <w:rFonts w:ascii="Exo" w:eastAsia="Times New Roman" w:hAnsi="Exo" w:cs="Calibri"/>
                <w:b/>
                <w:bCs/>
                <w:color w:val="FFFFFF" w:themeColor="background1"/>
                <w:sz w:val="14"/>
                <w:szCs w:val="20"/>
              </w:rPr>
            </w:pPr>
            <w:r w:rsidRPr="005A7983">
              <w:rPr>
                <w:rFonts w:ascii="Exo" w:eastAsia="Times New Roman" w:hAnsi="Exo" w:cs="Calibri"/>
                <w:b/>
                <w:bCs/>
                <w:color w:val="FFFFFF" w:themeColor="background1"/>
                <w:sz w:val="14"/>
                <w:szCs w:val="20"/>
              </w:rPr>
              <w:t>Marzo</w:t>
            </w:r>
          </w:p>
        </w:tc>
        <w:tc>
          <w:tcPr>
            <w:tcW w:w="732" w:type="dxa"/>
            <w:shd w:val="clear" w:color="auto" w:fill="993366"/>
            <w:noWrap/>
            <w:vAlign w:val="center"/>
            <w:hideMark/>
          </w:tcPr>
          <w:p w:rsidR="005A7983" w:rsidRPr="005A7983" w:rsidRDefault="005A7983" w:rsidP="005A7983">
            <w:pPr>
              <w:spacing w:before="60" w:after="60" w:line="240" w:lineRule="auto"/>
              <w:jc w:val="center"/>
              <w:rPr>
                <w:rFonts w:ascii="Exo" w:eastAsia="Times New Roman" w:hAnsi="Exo" w:cs="Calibri"/>
                <w:b/>
                <w:bCs/>
                <w:color w:val="FFFFFF" w:themeColor="background1"/>
                <w:sz w:val="14"/>
                <w:szCs w:val="20"/>
              </w:rPr>
            </w:pPr>
            <w:r w:rsidRPr="005A7983">
              <w:rPr>
                <w:rFonts w:ascii="Exo" w:eastAsia="Times New Roman" w:hAnsi="Exo" w:cs="Calibri"/>
                <w:b/>
                <w:bCs/>
                <w:color w:val="FFFFFF" w:themeColor="background1"/>
                <w:sz w:val="14"/>
                <w:szCs w:val="20"/>
              </w:rPr>
              <w:t>Abril</w:t>
            </w:r>
          </w:p>
        </w:tc>
        <w:tc>
          <w:tcPr>
            <w:tcW w:w="732" w:type="dxa"/>
            <w:shd w:val="clear" w:color="auto" w:fill="993366"/>
            <w:noWrap/>
            <w:vAlign w:val="center"/>
            <w:hideMark/>
          </w:tcPr>
          <w:p w:rsidR="005A7983" w:rsidRPr="005A7983" w:rsidRDefault="005A7983" w:rsidP="005A7983">
            <w:pPr>
              <w:spacing w:before="60" w:after="60" w:line="240" w:lineRule="auto"/>
              <w:jc w:val="center"/>
              <w:rPr>
                <w:rFonts w:ascii="Exo" w:eastAsia="Times New Roman" w:hAnsi="Exo" w:cs="Calibri"/>
                <w:b/>
                <w:bCs/>
                <w:color w:val="FFFFFF" w:themeColor="background1"/>
                <w:sz w:val="14"/>
                <w:szCs w:val="20"/>
              </w:rPr>
            </w:pPr>
            <w:r w:rsidRPr="005A7983">
              <w:rPr>
                <w:rFonts w:ascii="Exo" w:eastAsia="Times New Roman" w:hAnsi="Exo" w:cs="Calibri"/>
                <w:b/>
                <w:bCs/>
                <w:color w:val="FFFFFF" w:themeColor="background1"/>
                <w:sz w:val="14"/>
                <w:szCs w:val="20"/>
              </w:rPr>
              <w:t>Mayo</w:t>
            </w:r>
          </w:p>
        </w:tc>
        <w:tc>
          <w:tcPr>
            <w:tcW w:w="733" w:type="dxa"/>
            <w:shd w:val="clear" w:color="auto" w:fill="993366"/>
            <w:noWrap/>
            <w:vAlign w:val="center"/>
            <w:hideMark/>
          </w:tcPr>
          <w:p w:rsidR="005A7983" w:rsidRPr="005A7983" w:rsidRDefault="005A7983" w:rsidP="005A7983">
            <w:pPr>
              <w:spacing w:before="60" w:after="60" w:line="240" w:lineRule="auto"/>
              <w:jc w:val="center"/>
              <w:rPr>
                <w:rFonts w:ascii="Exo" w:eastAsia="Times New Roman" w:hAnsi="Exo" w:cs="Calibri"/>
                <w:b/>
                <w:bCs/>
                <w:color w:val="FFFFFF" w:themeColor="background1"/>
                <w:sz w:val="14"/>
                <w:szCs w:val="20"/>
              </w:rPr>
            </w:pPr>
            <w:r w:rsidRPr="005A7983">
              <w:rPr>
                <w:rFonts w:ascii="Exo" w:eastAsia="Times New Roman" w:hAnsi="Exo" w:cs="Calibri"/>
                <w:b/>
                <w:bCs/>
                <w:color w:val="FFFFFF" w:themeColor="background1"/>
                <w:sz w:val="14"/>
                <w:szCs w:val="20"/>
              </w:rPr>
              <w:t>Total</w:t>
            </w:r>
          </w:p>
        </w:tc>
      </w:tr>
      <w:tr w:rsidR="0051289A" w:rsidRPr="005A7983" w:rsidTr="0051289A">
        <w:trPr>
          <w:trHeight w:val="285"/>
        </w:trPr>
        <w:tc>
          <w:tcPr>
            <w:tcW w:w="4678" w:type="dxa"/>
            <w:shd w:val="clear" w:color="auto" w:fill="auto"/>
            <w:vAlign w:val="center"/>
            <w:hideMark/>
          </w:tcPr>
          <w:p w:rsidR="005A7983" w:rsidRPr="00D456C5" w:rsidRDefault="005A7983" w:rsidP="005A7983">
            <w:pPr>
              <w:spacing w:before="60" w:after="60" w:line="240" w:lineRule="auto"/>
              <w:rPr>
                <w:rFonts w:ascii="Exo" w:eastAsia="Times New Roman" w:hAnsi="Exo" w:cs="Calibri"/>
                <w:b/>
                <w:color w:val="000000"/>
                <w:sz w:val="18"/>
                <w:szCs w:val="18"/>
              </w:rPr>
            </w:pPr>
            <w:r w:rsidRPr="00D456C5">
              <w:rPr>
                <w:rFonts w:ascii="Exo" w:eastAsia="Times New Roman" w:hAnsi="Exo" w:cs="Calibri"/>
                <w:b/>
                <w:color w:val="000000"/>
                <w:sz w:val="18"/>
                <w:szCs w:val="18"/>
              </w:rPr>
              <w:t>Consejerías Electorales</w:t>
            </w:r>
          </w:p>
        </w:tc>
        <w:tc>
          <w:tcPr>
            <w:tcW w:w="709"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12</w:t>
            </w:r>
          </w:p>
        </w:tc>
        <w:tc>
          <w:tcPr>
            <w:tcW w:w="743"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3"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2"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2"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3" w:type="dxa"/>
            <w:shd w:val="clear" w:color="auto" w:fill="auto"/>
            <w:noWrap/>
            <w:vAlign w:val="bottom"/>
            <w:hideMark/>
          </w:tcPr>
          <w:p w:rsidR="005A7983" w:rsidRPr="0017455C" w:rsidRDefault="005A7983" w:rsidP="0017455C">
            <w:pPr>
              <w:spacing w:before="60" w:after="60" w:line="240" w:lineRule="auto"/>
              <w:jc w:val="right"/>
              <w:rPr>
                <w:rFonts w:ascii="Exo" w:eastAsia="Times New Roman" w:hAnsi="Exo" w:cs="Calibri"/>
                <w:b/>
                <w:bCs/>
                <w:color w:val="000000"/>
                <w:sz w:val="18"/>
                <w:szCs w:val="18"/>
              </w:rPr>
            </w:pPr>
            <w:r w:rsidRPr="0017455C">
              <w:rPr>
                <w:rFonts w:ascii="Exo" w:eastAsia="Times New Roman" w:hAnsi="Exo" w:cs="Calibri"/>
                <w:b/>
                <w:bCs/>
                <w:color w:val="000000"/>
                <w:sz w:val="18"/>
                <w:szCs w:val="18"/>
              </w:rPr>
              <w:t>12</w:t>
            </w:r>
          </w:p>
        </w:tc>
      </w:tr>
      <w:tr w:rsidR="0051289A" w:rsidRPr="005A7983" w:rsidTr="0051289A">
        <w:trPr>
          <w:trHeight w:val="285"/>
        </w:trPr>
        <w:tc>
          <w:tcPr>
            <w:tcW w:w="4678" w:type="dxa"/>
            <w:shd w:val="clear" w:color="auto" w:fill="auto"/>
            <w:vAlign w:val="center"/>
            <w:hideMark/>
          </w:tcPr>
          <w:p w:rsidR="005A7983" w:rsidRPr="00D456C5" w:rsidRDefault="005A7983" w:rsidP="005A7983">
            <w:pPr>
              <w:spacing w:before="60" w:after="60" w:line="240" w:lineRule="auto"/>
              <w:rPr>
                <w:rFonts w:ascii="Exo" w:eastAsia="Times New Roman" w:hAnsi="Exo" w:cs="Calibri"/>
                <w:b/>
                <w:color w:val="000000"/>
                <w:sz w:val="18"/>
                <w:szCs w:val="18"/>
              </w:rPr>
            </w:pPr>
            <w:r w:rsidRPr="00D456C5">
              <w:rPr>
                <w:rFonts w:ascii="Exo" w:eastAsia="Times New Roman" w:hAnsi="Exo" w:cs="Calibri"/>
                <w:b/>
                <w:color w:val="000000"/>
                <w:sz w:val="18"/>
                <w:szCs w:val="18"/>
              </w:rPr>
              <w:t>Presidencia</w:t>
            </w:r>
          </w:p>
        </w:tc>
        <w:tc>
          <w:tcPr>
            <w:tcW w:w="709"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43</w:t>
            </w:r>
          </w:p>
        </w:tc>
        <w:tc>
          <w:tcPr>
            <w:tcW w:w="743"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3"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2"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2"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21</w:t>
            </w:r>
          </w:p>
        </w:tc>
        <w:tc>
          <w:tcPr>
            <w:tcW w:w="733" w:type="dxa"/>
            <w:shd w:val="clear" w:color="auto" w:fill="auto"/>
            <w:noWrap/>
            <w:vAlign w:val="bottom"/>
            <w:hideMark/>
          </w:tcPr>
          <w:p w:rsidR="005A7983" w:rsidRPr="0017455C" w:rsidRDefault="005A7983" w:rsidP="0017455C">
            <w:pPr>
              <w:spacing w:before="60" w:after="60" w:line="240" w:lineRule="auto"/>
              <w:jc w:val="right"/>
              <w:rPr>
                <w:rFonts w:ascii="Exo" w:eastAsia="Times New Roman" w:hAnsi="Exo" w:cs="Calibri"/>
                <w:b/>
                <w:bCs/>
                <w:color w:val="000000"/>
                <w:sz w:val="18"/>
                <w:szCs w:val="18"/>
              </w:rPr>
            </w:pPr>
            <w:r w:rsidRPr="0017455C">
              <w:rPr>
                <w:rFonts w:ascii="Exo" w:eastAsia="Times New Roman" w:hAnsi="Exo" w:cs="Calibri"/>
                <w:b/>
                <w:bCs/>
                <w:color w:val="000000"/>
                <w:sz w:val="18"/>
                <w:szCs w:val="18"/>
              </w:rPr>
              <w:t>64</w:t>
            </w:r>
          </w:p>
        </w:tc>
      </w:tr>
      <w:tr w:rsidR="0051289A" w:rsidRPr="005A7983" w:rsidTr="0051289A">
        <w:trPr>
          <w:trHeight w:val="285"/>
        </w:trPr>
        <w:tc>
          <w:tcPr>
            <w:tcW w:w="4678" w:type="dxa"/>
            <w:shd w:val="clear" w:color="auto" w:fill="auto"/>
            <w:vAlign w:val="center"/>
            <w:hideMark/>
          </w:tcPr>
          <w:p w:rsidR="005A7983" w:rsidRPr="00D456C5" w:rsidRDefault="005A7983" w:rsidP="005A7983">
            <w:pPr>
              <w:spacing w:before="60" w:after="60" w:line="240" w:lineRule="auto"/>
              <w:rPr>
                <w:rFonts w:ascii="Exo" w:eastAsia="Times New Roman" w:hAnsi="Exo" w:cs="Calibri"/>
                <w:b/>
                <w:color w:val="000000"/>
                <w:sz w:val="18"/>
                <w:szCs w:val="18"/>
              </w:rPr>
            </w:pPr>
            <w:r w:rsidRPr="00D456C5">
              <w:rPr>
                <w:rFonts w:ascii="Exo" w:eastAsia="Times New Roman" w:hAnsi="Exo" w:cs="Calibri"/>
                <w:b/>
                <w:color w:val="000000"/>
                <w:sz w:val="18"/>
                <w:szCs w:val="18"/>
              </w:rPr>
              <w:t>Secretaría Ejecutiva</w:t>
            </w:r>
          </w:p>
        </w:tc>
        <w:tc>
          <w:tcPr>
            <w:tcW w:w="709"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70</w:t>
            </w:r>
          </w:p>
        </w:tc>
        <w:tc>
          <w:tcPr>
            <w:tcW w:w="743"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3"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21</w:t>
            </w:r>
          </w:p>
        </w:tc>
        <w:tc>
          <w:tcPr>
            <w:tcW w:w="732"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197</w:t>
            </w:r>
          </w:p>
        </w:tc>
        <w:tc>
          <w:tcPr>
            <w:tcW w:w="732"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3" w:type="dxa"/>
            <w:shd w:val="clear" w:color="auto" w:fill="auto"/>
            <w:noWrap/>
            <w:vAlign w:val="bottom"/>
            <w:hideMark/>
          </w:tcPr>
          <w:p w:rsidR="005A7983" w:rsidRPr="0017455C" w:rsidRDefault="005A7983" w:rsidP="0017455C">
            <w:pPr>
              <w:spacing w:before="60" w:after="60" w:line="240" w:lineRule="auto"/>
              <w:jc w:val="right"/>
              <w:rPr>
                <w:rFonts w:ascii="Exo" w:eastAsia="Times New Roman" w:hAnsi="Exo" w:cs="Calibri"/>
                <w:b/>
                <w:bCs/>
                <w:color w:val="000000"/>
                <w:sz w:val="18"/>
                <w:szCs w:val="18"/>
              </w:rPr>
            </w:pPr>
            <w:r w:rsidRPr="0017455C">
              <w:rPr>
                <w:rFonts w:ascii="Exo" w:eastAsia="Times New Roman" w:hAnsi="Exo" w:cs="Calibri"/>
                <w:b/>
                <w:bCs/>
                <w:color w:val="000000"/>
                <w:sz w:val="18"/>
                <w:szCs w:val="18"/>
              </w:rPr>
              <w:t>288</w:t>
            </w:r>
          </w:p>
        </w:tc>
      </w:tr>
      <w:tr w:rsidR="0051289A" w:rsidRPr="005A7983" w:rsidTr="0051289A">
        <w:trPr>
          <w:trHeight w:val="285"/>
        </w:trPr>
        <w:tc>
          <w:tcPr>
            <w:tcW w:w="4678" w:type="dxa"/>
            <w:shd w:val="clear" w:color="auto" w:fill="auto"/>
            <w:vAlign w:val="center"/>
            <w:hideMark/>
          </w:tcPr>
          <w:p w:rsidR="005A7983" w:rsidRPr="00D456C5" w:rsidRDefault="005A7983" w:rsidP="005A7983">
            <w:pPr>
              <w:spacing w:before="60" w:after="60" w:line="240" w:lineRule="auto"/>
              <w:rPr>
                <w:rFonts w:ascii="Exo" w:eastAsia="Times New Roman" w:hAnsi="Exo" w:cs="Calibri"/>
                <w:b/>
                <w:color w:val="000000"/>
                <w:sz w:val="18"/>
                <w:szCs w:val="18"/>
              </w:rPr>
            </w:pPr>
            <w:r w:rsidRPr="00D456C5">
              <w:rPr>
                <w:rFonts w:ascii="Exo" w:eastAsia="Times New Roman" w:hAnsi="Exo" w:cs="Calibri"/>
                <w:b/>
                <w:color w:val="000000"/>
                <w:sz w:val="18"/>
                <w:szCs w:val="18"/>
              </w:rPr>
              <w:t>Dirección de Administración</w:t>
            </w:r>
          </w:p>
        </w:tc>
        <w:tc>
          <w:tcPr>
            <w:tcW w:w="709"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74</w:t>
            </w:r>
          </w:p>
        </w:tc>
        <w:tc>
          <w:tcPr>
            <w:tcW w:w="743"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3"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2"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2"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3" w:type="dxa"/>
            <w:shd w:val="clear" w:color="auto" w:fill="auto"/>
            <w:noWrap/>
            <w:vAlign w:val="bottom"/>
            <w:hideMark/>
          </w:tcPr>
          <w:p w:rsidR="005A7983" w:rsidRPr="0017455C" w:rsidRDefault="005A7983" w:rsidP="0017455C">
            <w:pPr>
              <w:spacing w:before="60" w:after="60" w:line="240" w:lineRule="auto"/>
              <w:jc w:val="right"/>
              <w:rPr>
                <w:rFonts w:ascii="Exo" w:eastAsia="Times New Roman" w:hAnsi="Exo" w:cs="Calibri"/>
                <w:b/>
                <w:bCs/>
                <w:color w:val="000000"/>
                <w:sz w:val="18"/>
                <w:szCs w:val="18"/>
              </w:rPr>
            </w:pPr>
            <w:r w:rsidRPr="0017455C">
              <w:rPr>
                <w:rFonts w:ascii="Exo" w:eastAsia="Times New Roman" w:hAnsi="Exo" w:cs="Calibri"/>
                <w:b/>
                <w:bCs/>
                <w:color w:val="000000"/>
                <w:sz w:val="18"/>
                <w:szCs w:val="18"/>
              </w:rPr>
              <w:t>74</w:t>
            </w:r>
          </w:p>
        </w:tc>
      </w:tr>
      <w:tr w:rsidR="0051289A" w:rsidRPr="005A7983" w:rsidTr="0051289A">
        <w:trPr>
          <w:trHeight w:val="353"/>
        </w:trPr>
        <w:tc>
          <w:tcPr>
            <w:tcW w:w="4678" w:type="dxa"/>
            <w:shd w:val="clear" w:color="auto" w:fill="auto"/>
            <w:vAlign w:val="center"/>
            <w:hideMark/>
          </w:tcPr>
          <w:p w:rsidR="005A7983" w:rsidRPr="00A907B3" w:rsidRDefault="005A7983" w:rsidP="005A7983">
            <w:pPr>
              <w:spacing w:before="60" w:after="60" w:line="240" w:lineRule="auto"/>
              <w:rPr>
                <w:rFonts w:ascii="Exo" w:eastAsia="Times New Roman" w:hAnsi="Exo" w:cs="Calibri"/>
                <w:b/>
                <w:color w:val="000000"/>
                <w:spacing w:val="-6"/>
                <w:sz w:val="18"/>
                <w:szCs w:val="18"/>
              </w:rPr>
            </w:pPr>
            <w:r w:rsidRPr="00A907B3">
              <w:rPr>
                <w:rFonts w:ascii="Exo" w:eastAsia="Times New Roman" w:hAnsi="Exo" w:cs="Calibri"/>
                <w:b/>
                <w:color w:val="000000"/>
                <w:spacing w:val="-6"/>
                <w:sz w:val="18"/>
                <w:szCs w:val="18"/>
              </w:rPr>
              <w:t>Dirección de Organización Electoral y Educación Cívica</w:t>
            </w:r>
          </w:p>
        </w:tc>
        <w:tc>
          <w:tcPr>
            <w:tcW w:w="709"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34</w:t>
            </w:r>
          </w:p>
        </w:tc>
        <w:tc>
          <w:tcPr>
            <w:tcW w:w="743"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12</w:t>
            </w:r>
          </w:p>
        </w:tc>
        <w:tc>
          <w:tcPr>
            <w:tcW w:w="733"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2"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802</w:t>
            </w:r>
          </w:p>
        </w:tc>
        <w:tc>
          <w:tcPr>
            <w:tcW w:w="732"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371</w:t>
            </w:r>
          </w:p>
        </w:tc>
        <w:tc>
          <w:tcPr>
            <w:tcW w:w="733" w:type="dxa"/>
            <w:shd w:val="clear" w:color="auto" w:fill="auto"/>
            <w:noWrap/>
            <w:vAlign w:val="bottom"/>
            <w:hideMark/>
          </w:tcPr>
          <w:p w:rsidR="005A7983" w:rsidRPr="0017455C" w:rsidRDefault="005A7983" w:rsidP="0017455C">
            <w:pPr>
              <w:spacing w:before="60" w:after="60" w:line="240" w:lineRule="auto"/>
              <w:jc w:val="right"/>
              <w:rPr>
                <w:rFonts w:ascii="Exo" w:eastAsia="Times New Roman" w:hAnsi="Exo" w:cs="Calibri"/>
                <w:b/>
                <w:bCs/>
                <w:color w:val="000000"/>
                <w:sz w:val="18"/>
                <w:szCs w:val="18"/>
              </w:rPr>
            </w:pPr>
            <w:r w:rsidRPr="0017455C">
              <w:rPr>
                <w:rFonts w:ascii="Exo" w:eastAsia="Times New Roman" w:hAnsi="Exo" w:cs="Calibri"/>
                <w:b/>
                <w:bCs/>
                <w:color w:val="000000"/>
                <w:sz w:val="18"/>
                <w:szCs w:val="18"/>
              </w:rPr>
              <w:t>1219</w:t>
            </w:r>
          </w:p>
        </w:tc>
      </w:tr>
      <w:tr w:rsidR="0051289A" w:rsidRPr="005A7983" w:rsidTr="0051289A">
        <w:trPr>
          <w:trHeight w:val="285"/>
        </w:trPr>
        <w:tc>
          <w:tcPr>
            <w:tcW w:w="4678" w:type="dxa"/>
            <w:shd w:val="clear" w:color="auto" w:fill="auto"/>
            <w:vAlign w:val="center"/>
            <w:hideMark/>
          </w:tcPr>
          <w:p w:rsidR="005A7983" w:rsidRPr="00D456C5" w:rsidRDefault="005A7983" w:rsidP="005A7983">
            <w:pPr>
              <w:spacing w:before="60" w:after="60" w:line="240" w:lineRule="auto"/>
              <w:rPr>
                <w:rFonts w:ascii="Exo" w:eastAsia="Times New Roman" w:hAnsi="Exo" w:cs="Calibri"/>
                <w:b/>
                <w:color w:val="000000"/>
                <w:sz w:val="18"/>
                <w:szCs w:val="18"/>
              </w:rPr>
            </w:pPr>
            <w:r w:rsidRPr="00D456C5">
              <w:rPr>
                <w:rFonts w:ascii="Exo" w:eastAsia="Times New Roman" w:hAnsi="Exo" w:cs="Calibri"/>
                <w:b/>
                <w:color w:val="000000"/>
                <w:sz w:val="18"/>
                <w:szCs w:val="18"/>
              </w:rPr>
              <w:t>Órgano Técnico de Fiscalización</w:t>
            </w:r>
          </w:p>
        </w:tc>
        <w:tc>
          <w:tcPr>
            <w:tcW w:w="709"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6</w:t>
            </w:r>
          </w:p>
        </w:tc>
        <w:tc>
          <w:tcPr>
            <w:tcW w:w="743"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3"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2"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2"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3" w:type="dxa"/>
            <w:shd w:val="clear" w:color="auto" w:fill="auto"/>
            <w:noWrap/>
            <w:vAlign w:val="bottom"/>
            <w:hideMark/>
          </w:tcPr>
          <w:p w:rsidR="005A7983" w:rsidRPr="0017455C" w:rsidRDefault="005A7983" w:rsidP="0017455C">
            <w:pPr>
              <w:spacing w:before="60" w:after="60" w:line="240" w:lineRule="auto"/>
              <w:jc w:val="right"/>
              <w:rPr>
                <w:rFonts w:ascii="Exo" w:eastAsia="Times New Roman" w:hAnsi="Exo" w:cs="Calibri"/>
                <w:b/>
                <w:bCs/>
                <w:color w:val="000000"/>
                <w:sz w:val="18"/>
                <w:szCs w:val="18"/>
              </w:rPr>
            </w:pPr>
            <w:r w:rsidRPr="0017455C">
              <w:rPr>
                <w:rFonts w:ascii="Exo" w:eastAsia="Times New Roman" w:hAnsi="Exo" w:cs="Calibri"/>
                <w:b/>
                <w:bCs/>
                <w:color w:val="000000"/>
                <w:sz w:val="18"/>
                <w:szCs w:val="18"/>
              </w:rPr>
              <w:t>6</w:t>
            </w:r>
          </w:p>
        </w:tc>
      </w:tr>
      <w:tr w:rsidR="0051289A" w:rsidRPr="005A7983" w:rsidTr="0051289A">
        <w:trPr>
          <w:trHeight w:val="285"/>
        </w:trPr>
        <w:tc>
          <w:tcPr>
            <w:tcW w:w="4678" w:type="dxa"/>
            <w:shd w:val="clear" w:color="auto" w:fill="auto"/>
            <w:vAlign w:val="center"/>
            <w:hideMark/>
          </w:tcPr>
          <w:p w:rsidR="005A7983" w:rsidRPr="00D456C5" w:rsidRDefault="005A7983" w:rsidP="005A7983">
            <w:pPr>
              <w:spacing w:before="60" w:after="60" w:line="240" w:lineRule="auto"/>
              <w:rPr>
                <w:rFonts w:ascii="Exo" w:eastAsia="Times New Roman" w:hAnsi="Exo" w:cs="Calibri"/>
                <w:b/>
                <w:color w:val="000000"/>
                <w:sz w:val="18"/>
                <w:szCs w:val="18"/>
              </w:rPr>
            </w:pPr>
            <w:r w:rsidRPr="00D456C5">
              <w:rPr>
                <w:rFonts w:ascii="Exo" w:eastAsia="Times New Roman" w:hAnsi="Exo" w:cs="Calibri"/>
                <w:b/>
                <w:color w:val="000000"/>
                <w:sz w:val="18"/>
                <w:szCs w:val="18"/>
              </w:rPr>
              <w:t>Contraloría General</w:t>
            </w:r>
          </w:p>
        </w:tc>
        <w:tc>
          <w:tcPr>
            <w:tcW w:w="709"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9</w:t>
            </w:r>
          </w:p>
        </w:tc>
        <w:tc>
          <w:tcPr>
            <w:tcW w:w="743"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3"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2"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2"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3" w:type="dxa"/>
            <w:shd w:val="clear" w:color="auto" w:fill="auto"/>
            <w:noWrap/>
            <w:vAlign w:val="bottom"/>
            <w:hideMark/>
          </w:tcPr>
          <w:p w:rsidR="005A7983" w:rsidRPr="0017455C" w:rsidRDefault="005A7983" w:rsidP="0017455C">
            <w:pPr>
              <w:spacing w:before="60" w:after="60" w:line="240" w:lineRule="auto"/>
              <w:jc w:val="right"/>
              <w:rPr>
                <w:rFonts w:ascii="Exo" w:eastAsia="Times New Roman" w:hAnsi="Exo" w:cs="Calibri"/>
                <w:b/>
                <w:bCs/>
                <w:color w:val="000000"/>
                <w:sz w:val="18"/>
                <w:szCs w:val="18"/>
              </w:rPr>
            </w:pPr>
            <w:r w:rsidRPr="0017455C">
              <w:rPr>
                <w:rFonts w:ascii="Exo" w:eastAsia="Times New Roman" w:hAnsi="Exo" w:cs="Calibri"/>
                <w:b/>
                <w:bCs/>
                <w:color w:val="000000"/>
                <w:sz w:val="18"/>
                <w:szCs w:val="18"/>
              </w:rPr>
              <w:t>9</w:t>
            </w:r>
          </w:p>
        </w:tc>
      </w:tr>
      <w:tr w:rsidR="0051289A" w:rsidRPr="005A7983" w:rsidTr="0051289A">
        <w:trPr>
          <w:trHeight w:val="296"/>
        </w:trPr>
        <w:tc>
          <w:tcPr>
            <w:tcW w:w="4678" w:type="dxa"/>
            <w:shd w:val="clear" w:color="auto" w:fill="auto"/>
            <w:vAlign w:val="center"/>
            <w:hideMark/>
          </w:tcPr>
          <w:p w:rsidR="005A7983" w:rsidRPr="00D456C5" w:rsidRDefault="005A7983" w:rsidP="005A7983">
            <w:pPr>
              <w:spacing w:before="60" w:after="60" w:line="240" w:lineRule="auto"/>
              <w:rPr>
                <w:rFonts w:ascii="Exo" w:eastAsia="Times New Roman" w:hAnsi="Exo" w:cs="Calibri"/>
                <w:b/>
                <w:color w:val="000000"/>
                <w:sz w:val="18"/>
                <w:szCs w:val="18"/>
              </w:rPr>
            </w:pPr>
            <w:r w:rsidRPr="00D456C5">
              <w:rPr>
                <w:rFonts w:ascii="Exo" w:eastAsia="Times New Roman" w:hAnsi="Exo" w:cs="Calibri"/>
                <w:b/>
                <w:color w:val="000000"/>
                <w:sz w:val="18"/>
                <w:szCs w:val="18"/>
              </w:rPr>
              <w:t>Juntas Electorales Distritales</w:t>
            </w:r>
          </w:p>
        </w:tc>
        <w:tc>
          <w:tcPr>
            <w:tcW w:w="709"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126</w:t>
            </w:r>
          </w:p>
        </w:tc>
        <w:tc>
          <w:tcPr>
            <w:tcW w:w="743"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3"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2"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2" w:type="dxa"/>
            <w:shd w:val="clear" w:color="auto" w:fill="auto"/>
            <w:noWrap/>
            <w:vAlign w:val="bottom"/>
            <w:hideMark/>
          </w:tcPr>
          <w:p w:rsidR="005A7983" w:rsidRPr="0017455C" w:rsidRDefault="005A7983" w:rsidP="005A7983">
            <w:pPr>
              <w:spacing w:before="60" w:after="60" w:line="240" w:lineRule="auto"/>
              <w:jc w:val="center"/>
              <w:rPr>
                <w:rFonts w:ascii="Exo" w:eastAsia="Times New Roman" w:hAnsi="Exo" w:cs="Calibri"/>
                <w:color w:val="000000"/>
                <w:sz w:val="18"/>
                <w:szCs w:val="18"/>
              </w:rPr>
            </w:pPr>
            <w:r w:rsidRPr="0017455C">
              <w:rPr>
                <w:rFonts w:ascii="Exo" w:eastAsia="Times New Roman" w:hAnsi="Exo" w:cs="Calibri"/>
                <w:color w:val="000000"/>
                <w:sz w:val="18"/>
                <w:szCs w:val="18"/>
              </w:rPr>
              <w:t>0</w:t>
            </w:r>
          </w:p>
        </w:tc>
        <w:tc>
          <w:tcPr>
            <w:tcW w:w="733" w:type="dxa"/>
            <w:shd w:val="clear" w:color="auto" w:fill="auto"/>
            <w:noWrap/>
            <w:vAlign w:val="bottom"/>
            <w:hideMark/>
          </w:tcPr>
          <w:p w:rsidR="005A7983" w:rsidRPr="0017455C" w:rsidRDefault="005A7983" w:rsidP="0017455C">
            <w:pPr>
              <w:spacing w:before="60" w:after="60" w:line="240" w:lineRule="auto"/>
              <w:jc w:val="right"/>
              <w:rPr>
                <w:rFonts w:ascii="Exo" w:eastAsia="Times New Roman" w:hAnsi="Exo" w:cs="Calibri"/>
                <w:b/>
                <w:bCs/>
                <w:color w:val="000000"/>
                <w:sz w:val="18"/>
                <w:szCs w:val="18"/>
              </w:rPr>
            </w:pPr>
            <w:r w:rsidRPr="0017455C">
              <w:rPr>
                <w:rFonts w:ascii="Exo" w:eastAsia="Times New Roman" w:hAnsi="Exo" w:cs="Calibri"/>
                <w:b/>
                <w:bCs/>
                <w:color w:val="000000"/>
                <w:sz w:val="18"/>
                <w:szCs w:val="18"/>
              </w:rPr>
              <w:t>126</w:t>
            </w:r>
          </w:p>
        </w:tc>
      </w:tr>
      <w:tr w:rsidR="0051289A" w:rsidRPr="005A7983" w:rsidTr="00DB2FAD">
        <w:trPr>
          <w:trHeight w:val="296"/>
        </w:trPr>
        <w:tc>
          <w:tcPr>
            <w:tcW w:w="4678" w:type="dxa"/>
            <w:shd w:val="clear" w:color="auto" w:fill="D9D9D9" w:themeFill="background1" w:themeFillShade="D9"/>
            <w:vAlign w:val="bottom"/>
            <w:hideMark/>
          </w:tcPr>
          <w:p w:rsidR="005A7983" w:rsidRPr="0017455C" w:rsidRDefault="005A7983" w:rsidP="005A7983">
            <w:pPr>
              <w:spacing w:before="60" w:after="60" w:line="240" w:lineRule="auto"/>
              <w:jc w:val="right"/>
              <w:rPr>
                <w:rFonts w:ascii="Exo" w:eastAsia="Times New Roman" w:hAnsi="Exo" w:cs="Calibri"/>
                <w:b/>
                <w:bCs/>
                <w:color w:val="000000"/>
                <w:sz w:val="18"/>
                <w:szCs w:val="18"/>
              </w:rPr>
            </w:pPr>
            <w:r w:rsidRPr="0017455C">
              <w:rPr>
                <w:rFonts w:ascii="Exo" w:eastAsia="Times New Roman" w:hAnsi="Exo" w:cs="Calibri"/>
                <w:b/>
                <w:bCs/>
                <w:color w:val="000000"/>
                <w:sz w:val="18"/>
                <w:szCs w:val="18"/>
              </w:rPr>
              <w:t>Total</w:t>
            </w:r>
          </w:p>
        </w:tc>
        <w:tc>
          <w:tcPr>
            <w:tcW w:w="709" w:type="dxa"/>
            <w:shd w:val="clear" w:color="auto" w:fill="D9D9D9" w:themeFill="background1" w:themeFillShade="D9"/>
            <w:noWrap/>
            <w:vAlign w:val="bottom"/>
            <w:hideMark/>
          </w:tcPr>
          <w:p w:rsidR="005A7983" w:rsidRPr="0017455C" w:rsidRDefault="005A7983" w:rsidP="005A7983">
            <w:pPr>
              <w:spacing w:before="60" w:after="60" w:line="240" w:lineRule="auto"/>
              <w:jc w:val="center"/>
              <w:rPr>
                <w:rFonts w:ascii="Exo" w:eastAsia="Times New Roman" w:hAnsi="Exo" w:cs="Calibri"/>
                <w:b/>
                <w:bCs/>
                <w:color w:val="000000"/>
                <w:sz w:val="18"/>
                <w:szCs w:val="18"/>
              </w:rPr>
            </w:pPr>
            <w:r w:rsidRPr="0017455C">
              <w:rPr>
                <w:rFonts w:ascii="Exo" w:eastAsia="Times New Roman" w:hAnsi="Exo" w:cs="Calibri"/>
                <w:b/>
                <w:bCs/>
                <w:color w:val="000000"/>
                <w:sz w:val="18"/>
                <w:szCs w:val="18"/>
              </w:rPr>
              <w:t>374</w:t>
            </w:r>
          </w:p>
        </w:tc>
        <w:tc>
          <w:tcPr>
            <w:tcW w:w="743" w:type="dxa"/>
            <w:shd w:val="clear" w:color="auto" w:fill="D9D9D9" w:themeFill="background1" w:themeFillShade="D9"/>
            <w:noWrap/>
            <w:vAlign w:val="bottom"/>
            <w:hideMark/>
          </w:tcPr>
          <w:p w:rsidR="005A7983" w:rsidRPr="0017455C" w:rsidRDefault="005A7983" w:rsidP="005A7983">
            <w:pPr>
              <w:spacing w:before="60" w:after="60" w:line="240" w:lineRule="auto"/>
              <w:jc w:val="center"/>
              <w:rPr>
                <w:rFonts w:ascii="Exo" w:eastAsia="Times New Roman" w:hAnsi="Exo" w:cs="Calibri"/>
                <w:b/>
                <w:bCs/>
                <w:color w:val="000000"/>
                <w:sz w:val="18"/>
                <w:szCs w:val="18"/>
              </w:rPr>
            </w:pPr>
            <w:r w:rsidRPr="0017455C">
              <w:rPr>
                <w:rFonts w:ascii="Exo" w:eastAsia="Times New Roman" w:hAnsi="Exo" w:cs="Calibri"/>
                <w:b/>
                <w:bCs/>
                <w:color w:val="000000"/>
                <w:sz w:val="18"/>
                <w:szCs w:val="18"/>
              </w:rPr>
              <w:t>12</w:t>
            </w:r>
          </w:p>
        </w:tc>
        <w:tc>
          <w:tcPr>
            <w:tcW w:w="733" w:type="dxa"/>
            <w:shd w:val="clear" w:color="auto" w:fill="D9D9D9" w:themeFill="background1" w:themeFillShade="D9"/>
            <w:noWrap/>
            <w:vAlign w:val="bottom"/>
            <w:hideMark/>
          </w:tcPr>
          <w:p w:rsidR="005A7983" w:rsidRPr="0017455C" w:rsidRDefault="005A7983" w:rsidP="005A7983">
            <w:pPr>
              <w:spacing w:before="60" w:after="60" w:line="240" w:lineRule="auto"/>
              <w:jc w:val="center"/>
              <w:rPr>
                <w:rFonts w:ascii="Exo" w:eastAsia="Times New Roman" w:hAnsi="Exo" w:cs="Calibri"/>
                <w:b/>
                <w:bCs/>
                <w:color w:val="000000"/>
                <w:sz w:val="18"/>
                <w:szCs w:val="18"/>
              </w:rPr>
            </w:pPr>
            <w:r w:rsidRPr="0017455C">
              <w:rPr>
                <w:rFonts w:ascii="Exo" w:eastAsia="Times New Roman" w:hAnsi="Exo" w:cs="Calibri"/>
                <w:b/>
                <w:bCs/>
                <w:color w:val="000000"/>
                <w:sz w:val="18"/>
                <w:szCs w:val="18"/>
              </w:rPr>
              <w:t>21</w:t>
            </w:r>
          </w:p>
        </w:tc>
        <w:tc>
          <w:tcPr>
            <w:tcW w:w="732" w:type="dxa"/>
            <w:shd w:val="clear" w:color="auto" w:fill="D9D9D9" w:themeFill="background1" w:themeFillShade="D9"/>
            <w:noWrap/>
            <w:vAlign w:val="bottom"/>
            <w:hideMark/>
          </w:tcPr>
          <w:p w:rsidR="005A7983" w:rsidRPr="0017455C" w:rsidRDefault="005A7983" w:rsidP="005A7983">
            <w:pPr>
              <w:spacing w:before="60" w:after="60" w:line="240" w:lineRule="auto"/>
              <w:jc w:val="center"/>
              <w:rPr>
                <w:rFonts w:ascii="Exo" w:eastAsia="Times New Roman" w:hAnsi="Exo" w:cs="Calibri"/>
                <w:b/>
                <w:bCs/>
                <w:color w:val="000000"/>
                <w:sz w:val="18"/>
                <w:szCs w:val="18"/>
              </w:rPr>
            </w:pPr>
            <w:r w:rsidRPr="0017455C">
              <w:rPr>
                <w:rFonts w:ascii="Exo" w:eastAsia="Times New Roman" w:hAnsi="Exo" w:cs="Calibri"/>
                <w:b/>
                <w:bCs/>
                <w:color w:val="000000"/>
                <w:sz w:val="18"/>
                <w:szCs w:val="18"/>
              </w:rPr>
              <w:t>999</w:t>
            </w:r>
          </w:p>
        </w:tc>
        <w:tc>
          <w:tcPr>
            <w:tcW w:w="732" w:type="dxa"/>
            <w:shd w:val="clear" w:color="auto" w:fill="D9D9D9" w:themeFill="background1" w:themeFillShade="D9"/>
            <w:noWrap/>
            <w:vAlign w:val="bottom"/>
            <w:hideMark/>
          </w:tcPr>
          <w:p w:rsidR="005A7983" w:rsidRPr="0017455C" w:rsidRDefault="005A7983" w:rsidP="005A7983">
            <w:pPr>
              <w:spacing w:before="60" w:after="60" w:line="240" w:lineRule="auto"/>
              <w:jc w:val="center"/>
              <w:rPr>
                <w:rFonts w:ascii="Exo" w:eastAsia="Times New Roman" w:hAnsi="Exo" w:cs="Calibri"/>
                <w:b/>
                <w:bCs/>
                <w:color w:val="000000"/>
                <w:sz w:val="18"/>
                <w:szCs w:val="18"/>
              </w:rPr>
            </w:pPr>
            <w:r w:rsidRPr="0017455C">
              <w:rPr>
                <w:rFonts w:ascii="Exo" w:eastAsia="Times New Roman" w:hAnsi="Exo" w:cs="Calibri"/>
                <w:b/>
                <w:bCs/>
                <w:color w:val="000000"/>
                <w:sz w:val="18"/>
                <w:szCs w:val="18"/>
              </w:rPr>
              <w:t>392</w:t>
            </w:r>
          </w:p>
        </w:tc>
        <w:tc>
          <w:tcPr>
            <w:tcW w:w="733" w:type="dxa"/>
            <w:shd w:val="clear" w:color="auto" w:fill="D9D9D9" w:themeFill="background1" w:themeFillShade="D9"/>
            <w:noWrap/>
            <w:vAlign w:val="bottom"/>
            <w:hideMark/>
          </w:tcPr>
          <w:p w:rsidR="005A7983" w:rsidRPr="0017455C" w:rsidRDefault="005A7983" w:rsidP="0017455C">
            <w:pPr>
              <w:spacing w:before="60" w:after="60" w:line="240" w:lineRule="auto"/>
              <w:jc w:val="right"/>
              <w:rPr>
                <w:rFonts w:ascii="Exo" w:eastAsia="Times New Roman" w:hAnsi="Exo" w:cs="Calibri"/>
                <w:b/>
                <w:bCs/>
                <w:color w:val="000000"/>
                <w:sz w:val="18"/>
                <w:szCs w:val="18"/>
              </w:rPr>
            </w:pPr>
            <w:r w:rsidRPr="0017455C">
              <w:rPr>
                <w:rFonts w:ascii="Exo" w:eastAsia="Times New Roman" w:hAnsi="Exo" w:cs="Calibri"/>
                <w:b/>
                <w:bCs/>
                <w:color w:val="000000"/>
                <w:sz w:val="18"/>
                <w:szCs w:val="18"/>
              </w:rPr>
              <w:t>1798</w:t>
            </w:r>
          </w:p>
        </w:tc>
      </w:tr>
    </w:tbl>
    <w:p w:rsidR="005A7983" w:rsidRPr="002A2A2E" w:rsidRDefault="005A7983" w:rsidP="005A7983">
      <w:pPr>
        <w:spacing w:before="240" w:after="240" w:line="276" w:lineRule="auto"/>
        <w:jc w:val="both"/>
        <w:rPr>
          <w:rFonts w:ascii="Arial" w:hAnsi="Arial" w:cs="Arial"/>
          <w:sz w:val="23"/>
          <w:szCs w:val="23"/>
        </w:rPr>
      </w:pPr>
      <w:r w:rsidRPr="002A2A2E">
        <w:rPr>
          <w:rFonts w:ascii="Arial" w:hAnsi="Arial" w:cs="Arial"/>
          <w:sz w:val="23"/>
          <w:szCs w:val="23"/>
        </w:rPr>
        <w:t>Cabe mencionar que, en caso de ajustes presupuestarios, el programa podrá modificarse, por lo que es susceptible de cambios en el número, categorías del personal y/o prestaciones adicionales.</w:t>
      </w:r>
    </w:p>
    <w:p w:rsidR="002A2A2E" w:rsidRPr="002A2A2E" w:rsidRDefault="0017455C" w:rsidP="0017455C">
      <w:pPr>
        <w:spacing w:before="240" w:after="240" w:line="276" w:lineRule="auto"/>
        <w:jc w:val="both"/>
        <w:rPr>
          <w:rFonts w:ascii="Arial" w:hAnsi="Arial" w:cs="Arial"/>
          <w:sz w:val="23"/>
          <w:szCs w:val="23"/>
        </w:rPr>
      </w:pPr>
      <w:r w:rsidRPr="002A2A2E">
        <w:rPr>
          <w:rFonts w:ascii="Arial" w:hAnsi="Arial" w:cs="Arial"/>
          <w:sz w:val="23"/>
          <w:szCs w:val="23"/>
        </w:rPr>
        <w:t xml:space="preserve">Con dicho programa se fortalece </w:t>
      </w:r>
      <w:r w:rsidR="008B70F6" w:rsidRPr="002A2A2E">
        <w:rPr>
          <w:rFonts w:ascii="Arial" w:hAnsi="Arial" w:cs="Arial"/>
          <w:sz w:val="23"/>
          <w:szCs w:val="23"/>
        </w:rPr>
        <w:t xml:space="preserve">a las unidades administrativas </w:t>
      </w:r>
      <w:r w:rsidRPr="002A2A2E">
        <w:rPr>
          <w:rFonts w:ascii="Arial" w:hAnsi="Arial" w:cs="Arial"/>
          <w:sz w:val="23"/>
          <w:szCs w:val="23"/>
        </w:rPr>
        <w:t xml:space="preserve">para que éstas puedan de forma eficiente </w:t>
      </w:r>
      <w:r w:rsidR="008B70F6" w:rsidRPr="002A2A2E">
        <w:rPr>
          <w:rFonts w:ascii="Arial" w:hAnsi="Arial" w:cs="Arial"/>
          <w:sz w:val="23"/>
          <w:szCs w:val="23"/>
        </w:rPr>
        <w:t>coadyuvar, supervisar y dar cumplimiento a las diversas acciones encomendadas por la Ley</w:t>
      </w:r>
      <w:r w:rsidRPr="002A2A2E">
        <w:rPr>
          <w:rFonts w:ascii="Arial" w:hAnsi="Arial" w:cs="Arial"/>
          <w:sz w:val="23"/>
          <w:szCs w:val="23"/>
        </w:rPr>
        <w:t xml:space="preserve"> Electoral, todo ello con el propósito de cumplir con las funciones sustantivas del Instituto, particularmente, en el desarrollo del </w:t>
      </w:r>
      <w:r w:rsidR="008B70F6" w:rsidRPr="002A2A2E">
        <w:rPr>
          <w:rFonts w:ascii="Arial" w:hAnsi="Arial" w:cs="Arial"/>
          <w:sz w:val="23"/>
          <w:szCs w:val="23"/>
        </w:rPr>
        <w:t>Proceso Electoral Local Ordinario 2023-2024</w:t>
      </w:r>
      <w:r w:rsidR="002A2A2E">
        <w:rPr>
          <w:rFonts w:ascii="Arial" w:hAnsi="Arial" w:cs="Arial"/>
          <w:sz w:val="23"/>
          <w:szCs w:val="23"/>
        </w:rPr>
        <w:t>.</w:t>
      </w:r>
    </w:p>
    <w:p w:rsidR="008B70F6" w:rsidRPr="008B70F6" w:rsidRDefault="008B70F6" w:rsidP="008B70F6">
      <w:pPr>
        <w:spacing w:before="240" w:after="240" w:line="276" w:lineRule="auto"/>
        <w:jc w:val="both"/>
        <w:rPr>
          <w:rFonts w:ascii="Exo" w:hAnsi="Exo"/>
          <w:sz w:val="23"/>
          <w:szCs w:val="23"/>
        </w:rPr>
      </w:pPr>
      <w:r w:rsidRPr="002A2A2E">
        <w:rPr>
          <w:rFonts w:ascii="Arial" w:hAnsi="Arial" w:cs="Arial"/>
          <w:sz w:val="23"/>
          <w:szCs w:val="23"/>
        </w:rPr>
        <w:t>Sobre la base de las consideraciones señaladas, esta Junta Estatal emite el siguiente</w:t>
      </w:r>
      <w:r w:rsidRPr="008B70F6">
        <w:rPr>
          <w:rFonts w:ascii="Exo" w:hAnsi="Exo"/>
          <w:sz w:val="23"/>
          <w:szCs w:val="23"/>
        </w:rPr>
        <w:t>:</w:t>
      </w:r>
    </w:p>
    <w:p w:rsidR="008B70F6" w:rsidRPr="002A2A2E" w:rsidRDefault="0017455C" w:rsidP="0017455C">
      <w:pPr>
        <w:pStyle w:val="Ttulo1"/>
        <w:rPr>
          <w:rFonts w:ascii="Arial" w:hAnsi="Arial" w:cs="Arial"/>
          <w:sz w:val="24"/>
          <w:szCs w:val="24"/>
        </w:rPr>
      </w:pPr>
      <w:r w:rsidRPr="002A2A2E">
        <w:rPr>
          <w:rFonts w:ascii="Arial" w:hAnsi="Arial" w:cs="Arial"/>
          <w:sz w:val="24"/>
          <w:szCs w:val="24"/>
        </w:rPr>
        <w:lastRenderedPageBreak/>
        <w:t>Acuerdo</w:t>
      </w:r>
    </w:p>
    <w:p w:rsidR="008B70F6" w:rsidRPr="002A2A2E" w:rsidRDefault="0017455C" w:rsidP="008B70F6">
      <w:pPr>
        <w:spacing w:before="240" w:after="240" w:line="276" w:lineRule="auto"/>
        <w:jc w:val="both"/>
        <w:rPr>
          <w:rFonts w:ascii="Arial" w:hAnsi="Arial" w:cs="Arial"/>
          <w:sz w:val="23"/>
          <w:szCs w:val="23"/>
        </w:rPr>
      </w:pPr>
      <w:r w:rsidRPr="002A2A2E">
        <w:rPr>
          <w:rFonts w:ascii="Arial" w:hAnsi="Arial" w:cs="Arial"/>
          <w:b/>
          <w:sz w:val="23"/>
          <w:szCs w:val="23"/>
        </w:rPr>
        <w:t>Primero.</w:t>
      </w:r>
      <w:r w:rsidRPr="002A2A2E">
        <w:rPr>
          <w:rFonts w:ascii="Arial" w:hAnsi="Arial" w:cs="Arial"/>
          <w:sz w:val="23"/>
          <w:szCs w:val="23"/>
        </w:rPr>
        <w:t xml:space="preserve"> </w:t>
      </w:r>
      <w:r w:rsidR="008B70F6" w:rsidRPr="002A2A2E">
        <w:rPr>
          <w:rFonts w:ascii="Arial" w:hAnsi="Arial" w:cs="Arial"/>
          <w:sz w:val="23"/>
          <w:szCs w:val="23"/>
        </w:rPr>
        <w:t>Se aprueba el programa de contratación del personal eventual para el fortalecimiento de las actividades en el desarrollo del proceso electoral local ordinario 2023-2024, mismo que se anexa al presente acuerdo, el cual tendrá efectos a partir del 1 de enero hasta el 31 de agosto del año en curso.</w:t>
      </w:r>
    </w:p>
    <w:p w:rsidR="008B70F6" w:rsidRPr="002A2A2E" w:rsidRDefault="0017455C" w:rsidP="008B70F6">
      <w:pPr>
        <w:spacing w:before="240" w:after="240" w:line="276" w:lineRule="auto"/>
        <w:jc w:val="both"/>
        <w:rPr>
          <w:rFonts w:ascii="Arial" w:hAnsi="Arial" w:cs="Arial"/>
          <w:sz w:val="23"/>
          <w:szCs w:val="23"/>
        </w:rPr>
      </w:pPr>
      <w:r w:rsidRPr="002A2A2E">
        <w:rPr>
          <w:rFonts w:ascii="Arial" w:hAnsi="Arial" w:cs="Arial"/>
          <w:b/>
          <w:sz w:val="23"/>
          <w:szCs w:val="23"/>
        </w:rPr>
        <w:t>Segundo</w:t>
      </w:r>
      <w:r w:rsidR="008B70F6" w:rsidRPr="002A2A2E">
        <w:rPr>
          <w:rFonts w:ascii="Arial" w:hAnsi="Arial" w:cs="Arial"/>
          <w:b/>
          <w:sz w:val="23"/>
          <w:szCs w:val="23"/>
        </w:rPr>
        <w:t xml:space="preserve">. </w:t>
      </w:r>
      <w:r w:rsidR="008B70F6" w:rsidRPr="002A2A2E">
        <w:rPr>
          <w:rFonts w:ascii="Arial" w:hAnsi="Arial" w:cs="Arial"/>
          <w:sz w:val="23"/>
          <w:szCs w:val="23"/>
        </w:rPr>
        <w:t>Se instruye a la Dirección de Administración realice los trámites administrativos correspondientes para la contratación del personal eventual.</w:t>
      </w:r>
    </w:p>
    <w:p w:rsidR="008B70F6" w:rsidRPr="002A2A2E" w:rsidRDefault="008B70F6" w:rsidP="008B70F6">
      <w:pPr>
        <w:spacing w:before="240" w:after="240" w:line="276" w:lineRule="auto"/>
        <w:jc w:val="both"/>
        <w:rPr>
          <w:rFonts w:ascii="Arial" w:hAnsi="Arial" w:cs="Arial"/>
          <w:sz w:val="23"/>
          <w:szCs w:val="23"/>
        </w:rPr>
      </w:pPr>
      <w:r w:rsidRPr="002A2A2E">
        <w:rPr>
          <w:rFonts w:ascii="Arial" w:hAnsi="Arial" w:cs="Arial"/>
          <w:sz w:val="23"/>
          <w:szCs w:val="23"/>
        </w:rPr>
        <w:t xml:space="preserve">El presente acuerdo fue aprobado en sesión extraordinaria efectuada el </w:t>
      </w:r>
      <w:r w:rsidR="0017455C" w:rsidRPr="002A2A2E">
        <w:rPr>
          <w:rFonts w:ascii="Arial" w:hAnsi="Arial" w:cs="Arial"/>
          <w:sz w:val="23"/>
          <w:szCs w:val="23"/>
        </w:rPr>
        <w:t>quince</w:t>
      </w:r>
      <w:r w:rsidRPr="002A2A2E">
        <w:rPr>
          <w:rFonts w:ascii="Arial" w:hAnsi="Arial" w:cs="Arial"/>
          <w:sz w:val="23"/>
          <w:szCs w:val="23"/>
        </w:rPr>
        <w:t xml:space="preserve"> de </w:t>
      </w:r>
      <w:r w:rsidR="0017455C" w:rsidRPr="002A2A2E">
        <w:rPr>
          <w:rFonts w:ascii="Arial" w:hAnsi="Arial" w:cs="Arial"/>
          <w:sz w:val="23"/>
          <w:szCs w:val="23"/>
        </w:rPr>
        <w:t xml:space="preserve">febrero </w:t>
      </w:r>
      <w:r w:rsidRPr="002A2A2E">
        <w:rPr>
          <w:rFonts w:ascii="Arial" w:hAnsi="Arial" w:cs="Arial"/>
          <w:sz w:val="23"/>
          <w:szCs w:val="23"/>
        </w:rPr>
        <w:t xml:space="preserve">del año dos mil </w:t>
      </w:r>
      <w:r w:rsidR="0017455C" w:rsidRPr="002A2A2E">
        <w:rPr>
          <w:rFonts w:ascii="Arial" w:hAnsi="Arial" w:cs="Arial"/>
          <w:sz w:val="23"/>
          <w:szCs w:val="23"/>
        </w:rPr>
        <w:t>veinticuatro</w:t>
      </w:r>
      <w:r w:rsidRPr="002A2A2E">
        <w:rPr>
          <w:rFonts w:ascii="Arial" w:hAnsi="Arial" w:cs="Arial"/>
          <w:sz w:val="23"/>
          <w:szCs w:val="23"/>
        </w:rPr>
        <w:t>, por votación unánime de la y los integrantes de la Junta Estatal Ejecutiva del Instituto Electoral y de Participación Ciudadana de Tabasco: Lic. Javier García Rodríguez, Director de Administración; Lic. Rigoberto de la O Gallegos, Encargado de Despacho de la Dirección de Organización Electoral y Educación Cívica, Lic. Jorge Alberto Zavala Frías, Secretario Ejecutivo y Mtra. Elizabeth Nava Gutiérrez, Presidenta de la Junta Estatal Ejecutiva.</w:t>
      </w:r>
    </w:p>
    <w:p w:rsidR="0051289A" w:rsidRPr="002A2A2E" w:rsidRDefault="0051289A" w:rsidP="008B70F6">
      <w:pPr>
        <w:spacing w:before="240" w:after="240" w:line="276" w:lineRule="auto"/>
        <w:jc w:val="both"/>
        <w:rPr>
          <w:rFonts w:ascii="Arial" w:hAnsi="Arial" w:cs="Arial"/>
          <w:sz w:val="23"/>
          <w:szCs w:val="23"/>
        </w:rPr>
      </w:pPr>
    </w:p>
    <w:p w:rsidR="0051289A" w:rsidRDefault="0051289A" w:rsidP="008B70F6">
      <w:pPr>
        <w:spacing w:before="240" w:after="240" w:line="276" w:lineRule="auto"/>
        <w:jc w:val="both"/>
        <w:rPr>
          <w:rFonts w:ascii="Arial" w:hAnsi="Arial" w:cs="Arial"/>
          <w:sz w:val="23"/>
          <w:szCs w:val="23"/>
        </w:rPr>
      </w:pPr>
    </w:p>
    <w:p w:rsidR="002A2A2E" w:rsidRPr="002A2A2E" w:rsidRDefault="002A2A2E" w:rsidP="008B70F6">
      <w:pPr>
        <w:spacing w:before="240" w:after="240" w:line="276" w:lineRule="auto"/>
        <w:jc w:val="both"/>
        <w:rPr>
          <w:rFonts w:ascii="Arial" w:hAnsi="Arial" w:cs="Arial"/>
          <w:sz w:val="23"/>
          <w:szCs w:val="23"/>
        </w:rPr>
      </w:pPr>
    </w:p>
    <w:tbl>
      <w:tblPr>
        <w:tblStyle w:val="Tablaconcuadrcula"/>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457"/>
        <w:gridCol w:w="4472"/>
      </w:tblGrid>
      <w:tr w:rsidR="0051289A" w:rsidRPr="002A2A2E" w:rsidTr="002A2A2E">
        <w:trPr>
          <w:trHeight w:val="1021"/>
        </w:trPr>
        <w:tc>
          <w:tcPr>
            <w:tcW w:w="4573" w:type="dxa"/>
          </w:tcPr>
          <w:p w:rsidR="0051289A" w:rsidRPr="002A2A2E" w:rsidRDefault="0051289A" w:rsidP="0051289A">
            <w:pPr>
              <w:spacing w:line="276" w:lineRule="auto"/>
              <w:jc w:val="center"/>
              <w:rPr>
                <w:rFonts w:ascii="Arial" w:hAnsi="Arial" w:cs="Arial"/>
                <w:b/>
                <w:sz w:val="23"/>
                <w:szCs w:val="23"/>
              </w:rPr>
            </w:pPr>
            <w:r w:rsidRPr="002A2A2E">
              <w:rPr>
                <w:rFonts w:ascii="Arial" w:hAnsi="Arial" w:cs="Arial"/>
                <w:b/>
                <w:sz w:val="23"/>
                <w:szCs w:val="23"/>
              </w:rPr>
              <w:t>MTRA. ELIZABETH NAVA GUTIÉRREZ</w:t>
            </w:r>
          </w:p>
          <w:p w:rsidR="0051289A" w:rsidRPr="002A2A2E" w:rsidRDefault="0051289A" w:rsidP="0051289A">
            <w:pPr>
              <w:spacing w:line="276" w:lineRule="auto"/>
              <w:jc w:val="center"/>
              <w:rPr>
                <w:rFonts w:ascii="Arial" w:hAnsi="Arial" w:cs="Arial"/>
                <w:b/>
                <w:sz w:val="23"/>
                <w:szCs w:val="23"/>
              </w:rPr>
            </w:pPr>
            <w:r w:rsidRPr="002A2A2E">
              <w:rPr>
                <w:rFonts w:ascii="Arial" w:hAnsi="Arial" w:cs="Arial"/>
                <w:b/>
                <w:sz w:val="23"/>
                <w:szCs w:val="23"/>
              </w:rPr>
              <w:t>CONSEJERA PRESIDENTA</w:t>
            </w:r>
          </w:p>
        </w:tc>
        <w:tc>
          <w:tcPr>
            <w:tcW w:w="457" w:type="dxa"/>
          </w:tcPr>
          <w:p w:rsidR="0051289A" w:rsidRPr="002A2A2E" w:rsidRDefault="0051289A" w:rsidP="0051289A">
            <w:pPr>
              <w:spacing w:line="276" w:lineRule="auto"/>
              <w:jc w:val="center"/>
              <w:rPr>
                <w:rFonts w:ascii="Arial" w:hAnsi="Arial" w:cs="Arial"/>
                <w:b/>
                <w:sz w:val="23"/>
                <w:szCs w:val="23"/>
              </w:rPr>
            </w:pPr>
          </w:p>
        </w:tc>
        <w:tc>
          <w:tcPr>
            <w:tcW w:w="4472" w:type="dxa"/>
          </w:tcPr>
          <w:p w:rsidR="0051289A" w:rsidRPr="002A2A2E" w:rsidRDefault="0051289A" w:rsidP="0051289A">
            <w:pPr>
              <w:spacing w:line="276" w:lineRule="auto"/>
              <w:jc w:val="center"/>
              <w:rPr>
                <w:rFonts w:ascii="Arial" w:hAnsi="Arial" w:cs="Arial"/>
                <w:b/>
                <w:sz w:val="23"/>
                <w:szCs w:val="23"/>
              </w:rPr>
            </w:pPr>
            <w:r w:rsidRPr="002A2A2E">
              <w:rPr>
                <w:rFonts w:ascii="Arial" w:hAnsi="Arial" w:cs="Arial"/>
                <w:b/>
                <w:sz w:val="23"/>
                <w:szCs w:val="23"/>
              </w:rPr>
              <w:t>LIC. JORGE ALBERTO ZAVALA FRÍAS</w:t>
            </w:r>
          </w:p>
          <w:p w:rsidR="0051289A" w:rsidRPr="002A2A2E" w:rsidRDefault="0051289A" w:rsidP="0051289A">
            <w:pPr>
              <w:spacing w:line="276" w:lineRule="auto"/>
              <w:jc w:val="center"/>
              <w:rPr>
                <w:rFonts w:ascii="Arial" w:hAnsi="Arial" w:cs="Arial"/>
                <w:b/>
                <w:sz w:val="23"/>
                <w:szCs w:val="23"/>
              </w:rPr>
            </w:pPr>
            <w:r w:rsidRPr="002A2A2E">
              <w:rPr>
                <w:rFonts w:ascii="Arial" w:hAnsi="Arial" w:cs="Arial"/>
                <w:b/>
                <w:sz w:val="23"/>
                <w:szCs w:val="23"/>
              </w:rPr>
              <w:t>SECRETARIO EJECUTIVO</w:t>
            </w:r>
          </w:p>
        </w:tc>
      </w:tr>
    </w:tbl>
    <w:p w:rsidR="0051289A" w:rsidRPr="002A2A2E" w:rsidRDefault="0051289A" w:rsidP="008B70F6">
      <w:pPr>
        <w:spacing w:before="240" w:after="240" w:line="276" w:lineRule="auto"/>
        <w:jc w:val="both"/>
        <w:rPr>
          <w:rFonts w:ascii="Arial" w:hAnsi="Arial" w:cs="Arial"/>
          <w:sz w:val="23"/>
          <w:szCs w:val="23"/>
        </w:rPr>
      </w:pPr>
    </w:p>
    <w:sectPr w:rsidR="0051289A" w:rsidRPr="002A2A2E" w:rsidSect="0051289A">
      <w:headerReference w:type="default" r:id="rId7"/>
      <w:footerReference w:type="default" r:id="rId8"/>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924" w:rsidRDefault="00676924" w:rsidP="0051289A">
      <w:pPr>
        <w:spacing w:after="0" w:line="240" w:lineRule="auto"/>
      </w:pPr>
      <w:r>
        <w:separator/>
      </w:r>
    </w:p>
  </w:endnote>
  <w:endnote w:type="continuationSeparator" w:id="0">
    <w:p w:rsidR="00676924" w:rsidRDefault="00676924" w:rsidP="0051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xo" w:hAnsi="Exo"/>
        <w:b/>
        <w:bCs/>
        <w:color w:val="660033"/>
        <w:sz w:val="24"/>
        <w:lang w:val="es-ES"/>
      </w:rPr>
      <w:id w:val="-1283178978"/>
      <w:docPartObj>
        <w:docPartGallery w:val="Page Numbers (Bottom of Page)"/>
        <w:docPartUnique/>
      </w:docPartObj>
    </w:sdtPr>
    <w:sdtEndPr>
      <w:rPr>
        <w:sz w:val="22"/>
        <w:szCs w:val="20"/>
      </w:rPr>
    </w:sdtEndPr>
    <w:sdtContent>
      <w:p w:rsidR="0051289A" w:rsidRPr="0051289A" w:rsidRDefault="0051289A" w:rsidP="0051289A">
        <w:pPr>
          <w:pStyle w:val="Piedepgina"/>
          <w:jc w:val="right"/>
          <w:rPr>
            <w:rFonts w:ascii="Exo" w:hAnsi="Exo"/>
            <w:b/>
            <w:bCs/>
            <w:color w:val="660033"/>
            <w:szCs w:val="20"/>
            <w:lang w:val="es-ES"/>
          </w:rPr>
        </w:pPr>
        <w:r w:rsidRPr="0051289A">
          <w:rPr>
            <w:rFonts w:ascii="Exo" w:hAnsi="Exo"/>
            <w:b/>
            <w:bCs/>
            <w:color w:val="660033"/>
            <w:szCs w:val="20"/>
            <w:lang w:val="es-ES"/>
          </w:rPr>
          <w:t xml:space="preserve">Página  </w:t>
        </w:r>
        <w:r w:rsidRPr="0051289A">
          <w:rPr>
            <w:rFonts w:ascii="Exo" w:hAnsi="Exo"/>
            <w:b/>
            <w:bCs/>
            <w:color w:val="660033"/>
            <w:szCs w:val="20"/>
          </w:rPr>
          <w:fldChar w:fldCharType="begin"/>
        </w:r>
        <w:r w:rsidRPr="0051289A">
          <w:rPr>
            <w:rFonts w:ascii="Exo" w:hAnsi="Exo"/>
            <w:b/>
            <w:bCs/>
            <w:color w:val="660033"/>
            <w:szCs w:val="20"/>
          </w:rPr>
          <w:instrText>PAGE   \* MERGEFORMAT</w:instrText>
        </w:r>
        <w:r w:rsidRPr="0051289A">
          <w:rPr>
            <w:rFonts w:ascii="Exo" w:hAnsi="Exo"/>
            <w:b/>
            <w:bCs/>
            <w:color w:val="660033"/>
            <w:szCs w:val="20"/>
          </w:rPr>
          <w:fldChar w:fldCharType="separate"/>
        </w:r>
        <w:r w:rsidR="0060483C">
          <w:rPr>
            <w:rFonts w:ascii="Exo" w:hAnsi="Exo"/>
            <w:b/>
            <w:bCs/>
            <w:noProof/>
            <w:color w:val="660033"/>
            <w:szCs w:val="20"/>
          </w:rPr>
          <w:t>11</w:t>
        </w:r>
        <w:r w:rsidRPr="0051289A">
          <w:rPr>
            <w:rFonts w:ascii="Exo" w:hAnsi="Exo"/>
            <w:b/>
            <w:bCs/>
            <w:color w:val="660033"/>
            <w:szCs w:val="20"/>
          </w:rPr>
          <w:fldChar w:fldCharType="end"/>
        </w:r>
        <w:r w:rsidRPr="0051289A">
          <w:rPr>
            <w:rFonts w:ascii="Exo" w:hAnsi="Exo"/>
            <w:b/>
            <w:bCs/>
            <w:color w:val="660033"/>
            <w:szCs w:val="20"/>
            <w:lang w:val="es-ES"/>
          </w:rPr>
          <w:t xml:space="preserve"> | </w:t>
        </w:r>
        <w:r w:rsidRPr="0051289A">
          <w:rPr>
            <w:rFonts w:ascii="Exo" w:hAnsi="Exo"/>
            <w:b/>
            <w:bCs/>
            <w:color w:val="660033"/>
            <w:szCs w:val="20"/>
            <w:lang w:val="es-ES"/>
          </w:rPr>
          <w:fldChar w:fldCharType="begin"/>
        </w:r>
        <w:r w:rsidRPr="0051289A">
          <w:rPr>
            <w:rFonts w:ascii="Exo" w:hAnsi="Exo"/>
            <w:b/>
            <w:bCs/>
            <w:color w:val="660033"/>
            <w:szCs w:val="20"/>
            <w:lang w:val="es-ES"/>
          </w:rPr>
          <w:instrText xml:space="preserve"> NUMPAGES   \* MERGEFORMAT </w:instrText>
        </w:r>
        <w:r w:rsidRPr="0051289A">
          <w:rPr>
            <w:rFonts w:ascii="Exo" w:hAnsi="Exo"/>
            <w:b/>
            <w:bCs/>
            <w:color w:val="660033"/>
            <w:szCs w:val="20"/>
            <w:lang w:val="es-ES"/>
          </w:rPr>
          <w:fldChar w:fldCharType="separate"/>
        </w:r>
        <w:r w:rsidR="0060483C">
          <w:rPr>
            <w:rFonts w:ascii="Exo" w:hAnsi="Exo"/>
            <w:b/>
            <w:bCs/>
            <w:noProof/>
            <w:color w:val="660033"/>
            <w:szCs w:val="20"/>
            <w:lang w:val="es-ES"/>
          </w:rPr>
          <w:t>11</w:t>
        </w:r>
        <w:r w:rsidRPr="0051289A">
          <w:rPr>
            <w:rFonts w:ascii="Exo" w:hAnsi="Exo"/>
            <w:b/>
            <w:bCs/>
            <w:color w:val="660033"/>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924" w:rsidRDefault="00676924" w:rsidP="0051289A">
      <w:pPr>
        <w:spacing w:after="0" w:line="240" w:lineRule="auto"/>
      </w:pPr>
      <w:r>
        <w:separator/>
      </w:r>
    </w:p>
  </w:footnote>
  <w:footnote w:type="continuationSeparator" w:id="0">
    <w:p w:rsidR="00676924" w:rsidRDefault="00676924" w:rsidP="00512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51289A" w:rsidRPr="00CD4F78" w:rsidTr="004E3655">
      <w:tc>
        <w:tcPr>
          <w:tcW w:w="1418" w:type="dxa"/>
        </w:tcPr>
        <w:p w:rsidR="0051289A" w:rsidRPr="00CD4F78" w:rsidRDefault="0051289A" w:rsidP="0051289A">
          <w:pPr>
            <w:pStyle w:val="Encabezado"/>
            <w:ind w:left="-170"/>
            <w:rPr>
              <w:rFonts w:ascii="Arial" w:hAnsi="Arial"/>
            </w:rPr>
          </w:pPr>
          <w:r w:rsidRPr="00CD4F78">
            <w:rPr>
              <w:rFonts w:ascii="Arial" w:hAnsi="Arial"/>
              <w:b/>
              <w:noProof/>
              <w:sz w:val="32"/>
              <w:lang w:eastAsia="es-MX"/>
            </w:rPr>
            <w:drawing>
              <wp:inline distT="0" distB="0" distL="0" distR="0" wp14:anchorId="63B64710" wp14:editId="62D116CA">
                <wp:extent cx="1014331" cy="1199403"/>
                <wp:effectExtent l="0" t="0" r="0" b="127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rsidR="0051289A" w:rsidRPr="002A2A2E" w:rsidRDefault="0051289A" w:rsidP="0051289A">
          <w:pPr>
            <w:pStyle w:val="Encabezado"/>
            <w:spacing w:before="720"/>
            <w:jc w:val="center"/>
            <w:rPr>
              <w:rFonts w:ascii="Arial" w:hAnsi="Arial" w:cs="Arial"/>
              <w:b/>
              <w:bCs/>
              <w:sz w:val="24"/>
              <w:szCs w:val="24"/>
            </w:rPr>
          </w:pPr>
          <w:r w:rsidRPr="002A2A2E">
            <w:rPr>
              <w:rFonts w:ascii="Arial" w:hAnsi="Arial" w:cs="Arial"/>
              <w:b/>
              <w:bCs/>
              <w:sz w:val="24"/>
              <w:szCs w:val="24"/>
            </w:rPr>
            <w:t>INSTITUTO ELECTORAL Y DE PARTICIPACIÓN CIUDADANA DE TABASCO</w:t>
          </w:r>
        </w:p>
        <w:p w:rsidR="0051289A" w:rsidRPr="00CD4F78" w:rsidRDefault="0051289A" w:rsidP="0051289A">
          <w:pPr>
            <w:pStyle w:val="Encabezado"/>
            <w:jc w:val="center"/>
            <w:rPr>
              <w:rFonts w:ascii="Arial" w:hAnsi="Arial"/>
              <w:sz w:val="25"/>
              <w:szCs w:val="25"/>
            </w:rPr>
          </w:pPr>
          <w:r w:rsidRPr="002A2A2E">
            <w:rPr>
              <w:rFonts w:ascii="Arial" w:hAnsi="Arial" w:cs="Arial"/>
              <w:sz w:val="24"/>
              <w:szCs w:val="24"/>
            </w:rPr>
            <w:t>JUNTA ESTATAL EJECUTIVA</w:t>
          </w:r>
        </w:p>
      </w:tc>
      <w:tc>
        <w:tcPr>
          <w:tcW w:w="1701" w:type="dxa"/>
        </w:tcPr>
        <w:p w:rsidR="0051289A" w:rsidRPr="00CD4F78" w:rsidRDefault="0051289A" w:rsidP="0051289A">
          <w:pPr>
            <w:pStyle w:val="Encabezado"/>
            <w:spacing w:before="480"/>
            <w:rPr>
              <w:rFonts w:ascii="Arial" w:hAnsi="Arial"/>
            </w:rPr>
          </w:pPr>
          <w:r w:rsidRPr="00CD4F78">
            <w:rPr>
              <w:rFonts w:ascii="Arial" w:hAnsi="Arial"/>
              <w:noProof/>
              <w:lang w:eastAsia="es-MX"/>
            </w:rPr>
            <w:drawing>
              <wp:inline distT="0" distB="0" distL="0" distR="0" wp14:anchorId="0A6430DB" wp14:editId="40B3037F">
                <wp:extent cx="921600" cy="756000"/>
                <wp:effectExtent l="0" t="0" r="0" b="635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51289A" w:rsidRPr="002A2A2E" w:rsidRDefault="0060483C" w:rsidP="002A2A2E">
    <w:pPr>
      <w:pStyle w:val="Encabezado"/>
      <w:jc w:val="right"/>
      <w:rPr>
        <w:rFonts w:ascii="Arial" w:hAnsi="Arial" w:cs="Arial"/>
        <w:b/>
        <w:sz w:val="24"/>
        <w:szCs w:val="24"/>
      </w:rPr>
    </w:pPr>
    <w:r>
      <w:rPr>
        <w:rFonts w:ascii="Arial" w:hAnsi="Arial" w:cs="Arial"/>
        <w:b/>
        <w:sz w:val="24"/>
        <w:szCs w:val="24"/>
      </w:rPr>
      <w:t>JEE</w:t>
    </w:r>
    <w:r w:rsidR="002A2A2E" w:rsidRPr="002A2A2E">
      <w:rPr>
        <w:rFonts w:ascii="Arial" w:hAnsi="Arial" w:cs="Arial"/>
        <w:b/>
        <w:sz w:val="24"/>
        <w:szCs w:val="24"/>
      </w:rPr>
      <w:t>/2024/001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7C3"/>
    <w:multiLevelType w:val="hybridMultilevel"/>
    <w:tmpl w:val="50347256"/>
    <w:lvl w:ilvl="0" w:tplc="F0244E6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79152D"/>
    <w:multiLevelType w:val="hybridMultilevel"/>
    <w:tmpl w:val="290E61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F03972"/>
    <w:multiLevelType w:val="hybridMultilevel"/>
    <w:tmpl w:val="2B66304A"/>
    <w:lvl w:ilvl="0" w:tplc="F0244E6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A57169"/>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6C7B787E"/>
    <w:multiLevelType w:val="hybridMultilevel"/>
    <w:tmpl w:val="4910657E"/>
    <w:lvl w:ilvl="0" w:tplc="9962D2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F6"/>
    <w:rsid w:val="001522C0"/>
    <w:rsid w:val="0017455C"/>
    <w:rsid w:val="001969AD"/>
    <w:rsid w:val="002A2A2E"/>
    <w:rsid w:val="003A0582"/>
    <w:rsid w:val="0051289A"/>
    <w:rsid w:val="00562682"/>
    <w:rsid w:val="005A5B24"/>
    <w:rsid w:val="005A7983"/>
    <w:rsid w:val="00603AAF"/>
    <w:rsid w:val="0060483C"/>
    <w:rsid w:val="00676924"/>
    <w:rsid w:val="008B70F6"/>
    <w:rsid w:val="00A20393"/>
    <w:rsid w:val="00A907B3"/>
    <w:rsid w:val="00B24E5B"/>
    <w:rsid w:val="00B77626"/>
    <w:rsid w:val="00C64CD4"/>
    <w:rsid w:val="00D456C5"/>
    <w:rsid w:val="00D90B7A"/>
    <w:rsid w:val="00DB2FAD"/>
    <w:rsid w:val="00E6498C"/>
    <w:rsid w:val="00F07B37"/>
    <w:rsid w:val="00F304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71B9"/>
  <w15:chartTrackingRefBased/>
  <w15:docId w15:val="{2A8E2908-4F0F-45C8-BD21-FA57A87B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B70F6"/>
    <w:pPr>
      <w:numPr>
        <w:numId w:val="5"/>
      </w:numPr>
      <w:spacing w:before="600" w:after="480" w:line="276" w:lineRule="auto"/>
      <w:jc w:val="center"/>
      <w:outlineLvl w:val="0"/>
    </w:pPr>
    <w:rPr>
      <w:rFonts w:ascii="Exo" w:hAnsi="Exo"/>
      <w:b/>
      <w:sz w:val="28"/>
      <w:szCs w:val="23"/>
    </w:rPr>
  </w:style>
  <w:style w:type="paragraph" w:styleId="Ttulo2">
    <w:name w:val="heading 2"/>
    <w:basedOn w:val="Normal"/>
    <w:next w:val="Normal"/>
    <w:link w:val="Ttulo2Car"/>
    <w:uiPriority w:val="9"/>
    <w:unhideWhenUsed/>
    <w:qFormat/>
    <w:rsid w:val="008B70F6"/>
    <w:pPr>
      <w:numPr>
        <w:ilvl w:val="1"/>
        <w:numId w:val="5"/>
      </w:numPr>
      <w:spacing w:before="480" w:after="240" w:line="276" w:lineRule="auto"/>
      <w:jc w:val="both"/>
      <w:outlineLvl w:val="1"/>
    </w:pPr>
    <w:rPr>
      <w:rFonts w:ascii="Exo" w:hAnsi="Exo"/>
      <w:b/>
      <w:sz w:val="24"/>
      <w:szCs w:val="23"/>
    </w:rPr>
  </w:style>
  <w:style w:type="paragraph" w:styleId="Ttulo3">
    <w:name w:val="heading 3"/>
    <w:basedOn w:val="Normal"/>
    <w:next w:val="Normal"/>
    <w:link w:val="Ttulo3Car"/>
    <w:uiPriority w:val="9"/>
    <w:semiHidden/>
    <w:unhideWhenUsed/>
    <w:qFormat/>
    <w:rsid w:val="0051289A"/>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1289A"/>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1289A"/>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1289A"/>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51289A"/>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51289A"/>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1289A"/>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70F6"/>
    <w:rPr>
      <w:rFonts w:ascii="Exo" w:hAnsi="Exo"/>
      <w:b/>
      <w:sz w:val="28"/>
      <w:szCs w:val="23"/>
    </w:rPr>
  </w:style>
  <w:style w:type="character" w:customStyle="1" w:styleId="Ttulo2Car">
    <w:name w:val="Título 2 Car"/>
    <w:basedOn w:val="Fuentedeprrafopredeter"/>
    <w:link w:val="Ttulo2"/>
    <w:uiPriority w:val="9"/>
    <w:rsid w:val="008B70F6"/>
    <w:rPr>
      <w:rFonts w:ascii="Exo" w:hAnsi="Exo"/>
      <w:b/>
      <w:sz w:val="24"/>
      <w:szCs w:val="23"/>
    </w:rPr>
  </w:style>
  <w:style w:type="paragraph" w:styleId="Prrafodelista">
    <w:name w:val="List Paragraph"/>
    <w:basedOn w:val="Normal"/>
    <w:uiPriority w:val="34"/>
    <w:qFormat/>
    <w:rsid w:val="008B70F6"/>
    <w:pPr>
      <w:ind w:left="720"/>
      <w:contextualSpacing/>
    </w:pPr>
  </w:style>
  <w:style w:type="table" w:styleId="Tablaconcuadrcula">
    <w:name w:val="Table Grid"/>
    <w:basedOn w:val="Tablanormal"/>
    <w:uiPriority w:val="39"/>
    <w:rsid w:val="00512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28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89A"/>
  </w:style>
  <w:style w:type="paragraph" w:styleId="Piedepgina">
    <w:name w:val="footer"/>
    <w:basedOn w:val="Normal"/>
    <w:link w:val="PiedepginaCar"/>
    <w:uiPriority w:val="99"/>
    <w:unhideWhenUsed/>
    <w:rsid w:val="005128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89A"/>
  </w:style>
  <w:style w:type="character" w:customStyle="1" w:styleId="Ttulo3Car">
    <w:name w:val="Título 3 Car"/>
    <w:basedOn w:val="Fuentedeprrafopredeter"/>
    <w:link w:val="Ttulo3"/>
    <w:uiPriority w:val="9"/>
    <w:semiHidden/>
    <w:rsid w:val="0051289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51289A"/>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51289A"/>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51289A"/>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51289A"/>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51289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1289A"/>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A203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03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11</Pages>
  <Words>3098</Words>
  <Characters>17043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12</cp:revision>
  <cp:lastPrinted>2024-02-20T19:06:00Z</cp:lastPrinted>
  <dcterms:created xsi:type="dcterms:W3CDTF">2024-02-15T17:03:00Z</dcterms:created>
  <dcterms:modified xsi:type="dcterms:W3CDTF">2024-02-20T19:06:00Z</dcterms:modified>
</cp:coreProperties>
</file>