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B24" w:rsidRPr="00C878C3" w:rsidRDefault="00C878C3" w:rsidP="00736E0B">
      <w:pPr>
        <w:rPr>
          <w:rFonts w:ascii="Arial" w:hAnsi="Arial" w:cs="Arial"/>
          <w:b/>
          <w:sz w:val="24"/>
          <w:szCs w:val="24"/>
        </w:rPr>
      </w:pPr>
      <w:r w:rsidRPr="00C878C3">
        <w:rPr>
          <w:rFonts w:ascii="Arial" w:hAnsi="Arial" w:cs="Arial"/>
          <w:b/>
          <w:sz w:val="24"/>
          <w:szCs w:val="24"/>
        </w:rPr>
        <w:t>ACUERDO QUE, A PROPUESTA DE LA SECRETARÍA EJECUTIVA, EMITE LA JUNTA ESTATAL EJECUTIVA DEL INSTITUTO ELECTORAL Y DE PARTICIPACIÓN CIUDADANA DE TABASCO, POR EL QUE SE APRUEBA EL PROGRAMA DE FORTALECIMIENTO DE LAS UNIDADES ADMINISTRATIVAS PARA EL DESARROLLO DE LAS ACTIVIDADES POST ELECTORALES DEL PROPIO INSTITUTO</w:t>
      </w:r>
    </w:p>
    <w:p w:rsidR="00C879AE" w:rsidRPr="00C878C3" w:rsidRDefault="00C879AE" w:rsidP="00C879AE">
      <w:pPr>
        <w:spacing w:line="276" w:lineRule="auto"/>
        <w:rPr>
          <w:rFonts w:ascii="Arial" w:hAnsi="Arial" w:cs="Arial"/>
        </w:rPr>
      </w:pPr>
      <w:r w:rsidRPr="00C878C3">
        <w:rPr>
          <w:rFonts w:ascii="Arial" w:hAnsi="Arial" w:cs="Arial"/>
        </w:rPr>
        <w:t>Para efectos del presente acuerdo se usarán las abreviaturas y definiciones siguientes:</w:t>
      </w: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Consejo Estatal:</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Consejo Estatal del Instituto Electoral y de Participación Ciudadana de Tabasco.</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Constitución Federal:</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Constitución Política de los Estados Unidos Mexicanos.</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Constitución Local:</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Constitución Política del Estado Libre y Soberano de Tabasco.</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Instituto:</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Instituto Electoral y de Participación Ciudadana de Tabasco.</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Junta Ejecutiva:</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Junta Estatal Ejecutiva del Instituto Electoral y de Participación Ciudadana de Tabasco.</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Juntas Distritales:</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Juntas Electorales Distritales del Instituto Electoral y de Participación Ciudadana de Tabasco.</w:t>
            </w:r>
          </w:p>
        </w:tc>
      </w:tr>
      <w:tr w:rsidR="00C879AE" w:rsidRPr="00C878C3" w:rsidTr="004145B0">
        <w:trPr>
          <w:jc w:val="center"/>
        </w:trPr>
        <w:tc>
          <w:tcPr>
            <w:tcW w:w="2664" w:type="dxa"/>
            <w:vAlign w:val="center"/>
          </w:tcPr>
          <w:p w:rsidR="00C879AE" w:rsidRPr="00C878C3" w:rsidRDefault="00C879AE" w:rsidP="004145B0">
            <w:pPr>
              <w:spacing w:before="60" w:after="60" w:line="264" w:lineRule="auto"/>
              <w:jc w:val="right"/>
              <w:rPr>
                <w:rFonts w:ascii="Arial" w:hAnsi="Arial" w:cs="Arial"/>
                <w:b/>
                <w:sz w:val="20"/>
                <w:szCs w:val="20"/>
              </w:rPr>
            </w:pPr>
            <w:r w:rsidRPr="00C878C3">
              <w:rPr>
                <w:rFonts w:ascii="Arial" w:hAnsi="Arial" w:cs="Arial"/>
                <w:b/>
                <w:sz w:val="20"/>
                <w:szCs w:val="20"/>
              </w:rPr>
              <w:t>Ley Electoral:</w:t>
            </w:r>
          </w:p>
        </w:tc>
        <w:tc>
          <w:tcPr>
            <w:tcW w:w="3998" w:type="dxa"/>
            <w:vAlign w:val="center"/>
          </w:tcPr>
          <w:p w:rsidR="00C879AE" w:rsidRPr="00C878C3" w:rsidRDefault="00C879AE" w:rsidP="004145B0">
            <w:pPr>
              <w:spacing w:before="60" w:after="60" w:line="264" w:lineRule="auto"/>
              <w:ind w:left="113" w:right="113"/>
              <w:rPr>
                <w:rFonts w:ascii="Arial" w:hAnsi="Arial" w:cs="Arial"/>
                <w:sz w:val="20"/>
                <w:szCs w:val="20"/>
              </w:rPr>
            </w:pPr>
            <w:r w:rsidRPr="00C878C3">
              <w:rPr>
                <w:rFonts w:ascii="Arial" w:hAnsi="Arial" w:cs="Arial"/>
                <w:sz w:val="20"/>
                <w:szCs w:val="20"/>
              </w:rPr>
              <w:t>Ley Electoral y de Partidos Políticos del Estado de Tabasco.</w:t>
            </w:r>
          </w:p>
        </w:tc>
      </w:tr>
    </w:tbl>
    <w:p w:rsidR="00736E0B" w:rsidRPr="00C878C3" w:rsidRDefault="00736E0B" w:rsidP="00736E0B">
      <w:pPr>
        <w:pStyle w:val="Ttulo1"/>
        <w:rPr>
          <w:rFonts w:ascii="Arial" w:hAnsi="Arial" w:cs="Arial"/>
          <w:sz w:val="24"/>
          <w:szCs w:val="24"/>
        </w:rPr>
      </w:pPr>
      <w:r w:rsidRPr="00C878C3">
        <w:rPr>
          <w:rFonts w:ascii="Arial" w:hAnsi="Arial" w:cs="Arial"/>
          <w:sz w:val="24"/>
          <w:szCs w:val="24"/>
        </w:rPr>
        <w:t>Antecedentes</w:t>
      </w:r>
    </w:p>
    <w:p w:rsidR="00736E0B" w:rsidRPr="00C878C3" w:rsidRDefault="00736E0B" w:rsidP="00736E0B">
      <w:pPr>
        <w:pStyle w:val="Ttulo2"/>
        <w:rPr>
          <w:rFonts w:ascii="Arial" w:hAnsi="Arial" w:cs="Arial"/>
          <w:sz w:val="23"/>
        </w:rPr>
      </w:pPr>
      <w:r w:rsidRPr="00C878C3">
        <w:rPr>
          <w:rFonts w:ascii="Arial" w:hAnsi="Arial" w:cs="Arial"/>
        </w:rPr>
        <w:t>In</w:t>
      </w:r>
      <w:r w:rsidRPr="00C878C3">
        <w:rPr>
          <w:rFonts w:ascii="Arial" w:hAnsi="Arial" w:cs="Arial"/>
          <w:sz w:val="23"/>
        </w:rPr>
        <w:t>icio del Proceso Electoral</w:t>
      </w:r>
    </w:p>
    <w:p w:rsidR="00736E0B" w:rsidRPr="00C878C3" w:rsidRDefault="00736E0B" w:rsidP="00736E0B">
      <w:pPr>
        <w:rPr>
          <w:rFonts w:ascii="Arial" w:hAnsi="Arial" w:cs="Arial"/>
        </w:rPr>
      </w:pPr>
      <w:r w:rsidRPr="00C878C3">
        <w:rPr>
          <w:rFonts w:ascii="Arial" w:hAnsi="Arial" w:cs="Arial"/>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rsidR="00736E0B" w:rsidRPr="00C878C3" w:rsidRDefault="00736E0B" w:rsidP="00736E0B">
      <w:pPr>
        <w:pStyle w:val="Ttulo2"/>
        <w:rPr>
          <w:rFonts w:ascii="Arial" w:hAnsi="Arial" w:cs="Arial"/>
          <w:sz w:val="23"/>
        </w:rPr>
      </w:pPr>
      <w:r w:rsidRPr="00C878C3">
        <w:rPr>
          <w:rFonts w:ascii="Arial" w:hAnsi="Arial" w:cs="Arial"/>
          <w:sz w:val="23"/>
        </w:rPr>
        <w:lastRenderedPageBreak/>
        <w:t>Jornada electoral</w:t>
      </w:r>
    </w:p>
    <w:p w:rsidR="00736E0B" w:rsidRPr="00C878C3" w:rsidRDefault="00736E0B" w:rsidP="00736E0B">
      <w:pPr>
        <w:rPr>
          <w:rFonts w:ascii="Arial" w:hAnsi="Arial" w:cs="Arial"/>
        </w:rPr>
      </w:pPr>
      <w:r w:rsidRPr="00C878C3">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736E0B" w:rsidRPr="00C878C3" w:rsidRDefault="00736E0B" w:rsidP="00736E0B">
      <w:pPr>
        <w:pStyle w:val="Ttulo2"/>
        <w:rPr>
          <w:rFonts w:ascii="Arial" w:hAnsi="Arial" w:cs="Arial"/>
          <w:sz w:val="23"/>
        </w:rPr>
      </w:pPr>
      <w:r w:rsidRPr="00C878C3">
        <w:rPr>
          <w:rFonts w:ascii="Arial" w:hAnsi="Arial" w:cs="Arial"/>
          <w:sz w:val="23"/>
        </w:rPr>
        <w:t>Sesiones de cómputo</w:t>
      </w:r>
    </w:p>
    <w:p w:rsidR="00736E0B" w:rsidRPr="00C878C3" w:rsidRDefault="00736E0B" w:rsidP="00736E0B">
      <w:pPr>
        <w:rPr>
          <w:rFonts w:ascii="Arial" w:hAnsi="Arial" w:cs="Arial"/>
        </w:rPr>
      </w:pPr>
      <w:r w:rsidRPr="00C878C3">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rsidR="00736E0B" w:rsidRPr="00C878C3" w:rsidRDefault="00736E0B" w:rsidP="00736E0B">
      <w:pPr>
        <w:pStyle w:val="Ttulo1"/>
        <w:rPr>
          <w:rFonts w:ascii="Arial" w:hAnsi="Arial" w:cs="Arial"/>
          <w:sz w:val="24"/>
          <w:szCs w:val="24"/>
        </w:rPr>
      </w:pPr>
      <w:r w:rsidRPr="00C878C3">
        <w:rPr>
          <w:rFonts w:ascii="Arial" w:hAnsi="Arial" w:cs="Arial"/>
          <w:sz w:val="24"/>
          <w:szCs w:val="24"/>
        </w:rPr>
        <w:t>Considerando</w:t>
      </w:r>
    </w:p>
    <w:p w:rsidR="00736E0B" w:rsidRPr="00C878C3" w:rsidRDefault="00736E0B" w:rsidP="00736E0B">
      <w:pPr>
        <w:pStyle w:val="Ttulo2"/>
        <w:rPr>
          <w:rFonts w:ascii="Arial" w:hAnsi="Arial" w:cs="Arial"/>
          <w:sz w:val="23"/>
        </w:rPr>
      </w:pPr>
      <w:r w:rsidRPr="00C878C3">
        <w:rPr>
          <w:rFonts w:ascii="Arial" w:hAnsi="Arial" w:cs="Arial"/>
          <w:sz w:val="23"/>
        </w:rPr>
        <w:t xml:space="preserve">Fines del Instituto </w:t>
      </w:r>
    </w:p>
    <w:p w:rsidR="00736E0B" w:rsidRPr="00C878C3" w:rsidRDefault="00736E0B" w:rsidP="00736E0B">
      <w:pPr>
        <w:rPr>
          <w:rFonts w:ascii="Arial" w:hAnsi="Arial" w:cs="Arial"/>
        </w:rPr>
      </w:pPr>
      <w:r w:rsidRPr="00C878C3">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736E0B" w:rsidRPr="00C878C3" w:rsidRDefault="00736E0B" w:rsidP="00736E0B">
      <w:pPr>
        <w:rPr>
          <w:rFonts w:ascii="Arial" w:hAnsi="Arial" w:cs="Arial"/>
        </w:rPr>
      </w:pPr>
      <w:r w:rsidRPr="00C878C3">
        <w:rPr>
          <w:rFonts w:ascii="Arial" w:hAnsi="Arial" w:cs="Arial"/>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w:t>
      </w:r>
      <w:r w:rsidRPr="00C878C3">
        <w:rPr>
          <w:rFonts w:ascii="Arial" w:hAnsi="Arial" w:cs="Arial"/>
        </w:rPr>
        <w:lastRenderedPageBreak/>
        <w:t>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736E0B" w:rsidRPr="00C878C3" w:rsidRDefault="00736E0B" w:rsidP="00736E0B">
      <w:pPr>
        <w:pStyle w:val="Ttulo2"/>
        <w:rPr>
          <w:rFonts w:ascii="Arial" w:hAnsi="Arial" w:cs="Arial"/>
          <w:sz w:val="23"/>
        </w:rPr>
      </w:pPr>
      <w:r w:rsidRPr="00C878C3">
        <w:rPr>
          <w:rFonts w:ascii="Arial" w:hAnsi="Arial" w:cs="Arial"/>
          <w:sz w:val="23"/>
        </w:rPr>
        <w:t xml:space="preserve">Órgano Superior de Dirección del Instituto </w:t>
      </w:r>
    </w:p>
    <w:p w:rsidR="00736E0B" w:rsidRPr="00C878C3" w:rsidRDefault="00736E0B" w:rsidP="00736E0B">
      <w:pPr>
        <w:rPr>
          <w:rFonts w:ascii="Arial" w:hAnsi="Arial" w:cs="Arial"/>
        </w:rPr>
      </w:pPr>
      <w:r w:rsidRPr="00C878C3">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736E0B" w:rsidRPr="00C878C3" w:rsidRDefault="00736E0B" w:rsidP="00736E0B">
      <w:pPr>
        <w:pStyle w:val="Ttulo2"/>
        <w:rPr>
          <w:rFonts w:ascii="Arial" w:hAnsi="Arial" w:cs="Arial"/>
          <w:sz w:val="23"/>
        </w:rPr>
      </w:pPr>
      <w:r w:rsidRPr="00C878C3">
        <w:rPr>
          <w:rFonts w:ascii="Arial" w:hAnsi="Arial" w:cs="Arial"/>
          <w:sz w:val="23"/>
        </w:rPr>
        <w:t>Integración de la Junta Ejecutiva</w:t>
      </w:r>
    </w:p>
    <w:p w:rsidR="00736E0B" w:rsidRPr="00C878C3" w:rsidRDefault="00736E0B" w:rsidP="00736E0B">
      <w:pPr>
        <w:rPr>
          <w:rFonts w:ascii="Arial" w:hAnsi="Arial" w:cs="Arial"/>
        </w:rPr>
      </w:pPr>
      <w:r w:rsidRPr="00C878C3">
        <w:rPr>
          <w:rFonts w:ascii="Arial" w:hAnsi="Arial" w:cs="Arial"/>
        </w:rPr>
        <w:t>Que, el artículo 118 de la Ley Electoral establece que la Junta, será presidida por la Consejera o el Consejero Presidente y se integrará con la Secretaría Ejecutiva y con las personas titulares de las Direcciones de Organización Electoral y Educación Cívica; y de Administración.</w:t>
      </w:r>
    </w:p>
    <w:p w:rsidR="00736E0B" w:rsidRPr="00C878C3" w:rsidRDefault="00736E0B" w:rsidP="00736E0B">
      <w:pPr>
        <w:pStyle w:val="Ttulo2"/>
        <w:rPr>
          <w:rFonts w:ascii="Arial" w:hAnsi="Arial" w:cs="Arial"/>
          <w:sz w:val="23"/>
        </w:rPr>
      </w:pPr>
      <w:r w:rsidRPr="00C878C3">
        <w:rPr>
          <w:rFonts w:ascii="Arial" w:hAnsi="Arial" w:cs="Arial"/>
          <w:sz w:val="23"/>
        </w:rPr>
        <w:t xml:space="preserve">Atribuciones de la Junta Ejecutiva </w:t>
      </w:r>
    </w:p>
    <w:p w:rsidR="00736E0B" w:rsidRPr="00C878C3" w:rsidRDefault="00736E0B" w:rsidP="00736E0B">
      <w:pPr>
        <w:rPr>
          <w:rFonts w:ascii="Arial" w:hAnsi="Arial" w:cs="Arial"/>
        </w:rPr>
      </w:pPr>
      <w:r w:rsidRPr="00C878C3">
        <w:rPr>
          <w:rFonts w:ascii="Arial" w:hAnsi="Arial" w:cs="Arial"/>
        </w:rPr>
        <w:t>Que, en términos del artículo 119 de la Ley Electoral, la Junta Ejecutiva se reunirá por lo menos una vez al mes, siendo sus atribuciones las siguientes:</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Proponer al Consejo Estatal las políticas generales y los programas del Instituto Estatal;</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Fijar los procedimientos administrativos, conforme a las políticas y programas generales del Instituto Estatal;</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Revisar el cumplimiento de los trabajos relativos a los productos electorales que habrá de aportar el Registro Federal de Electores para el Proceso Local, conforme al convenio y documentos técnicos celebrados con el Instituto Nacional Electoral;</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lastRenderedPageBreak/>
        <w:t>Vigilar el cumplimiento de las normas aplicables a los Partidos Políticos, las agrupaciones políticas y candidatos;</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Supervisar el cumplimiento de los programas y actividades de las Direcciones del Instituto Estatal;</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Nombrar a los miembros de las Juntas Electorales Distritales, a propuesta de su Presidenta o Presidente, y supervisar el cumplimiento de sus actividades; así como aprobar, conforme al presupuesto autorizado, la estructura de las vocalías de acuerdo con las necesidades del proceso electoral;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Nombrar, en su caso, a la o el funcionario que acudirá a las sesiones de la Comisión Local de Vigilancia del Registro Federal de Electores, con facultades de enlace con el Instituto Nacional Electoral, de conformidad con el convenio respectivo que se suscriba;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Conocer de los informes de la Contraloría General respecto de los expedientes relativos a las faltas administrativas y, en su caso, sobre imposición de sanciones a las personas servidoras públicas del Instituto Estatal;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Formular los estudios y, en su caso, los proyectos de convenio que deban suscribirse entre el Instituto Estatal con el Instituto Nacional Electoral;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Presentar a consideración del Consejo Estatal el proyecto de dictamen de pérdida de registro de algún Partido Político Local o agrupación política local, que se encuentren en cualquiera de los supuestos establecidos en esta Ley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Resolver, en el ámbito de su competencia, los medios de impugnación en contra de los actos o resoluciones de la Secretaría Ejecutiva y de las Juntas Distritales del Instituto Estatal, en los términos establecidos en la ley de la materia; </w:t>
      </w:r>
    </w:p>
    <w:p w:rsidR="00736E0B" w:rsidRPr="00C878C3" w:rsidRDefault="00736E0B" w:rsidP="00736E0B">
      <w:pPr>
        <w:pStyle w:val="Prrafodelista"/>
        <w:numPr>
          <w:ilvl w:val="0"/>
          <w:numId w:val="1"/>
        </w:numPr>
        <w:ind w:left="720"/>
        <w:contextualSpacing w:val="0"/>
        <w:rPr>
          <w:rFonts w:ascii="Arial" w:hAnsi="Arial" w:cs="Arial"/>
        </w:rPr>
      </w:pPr>
      <w:r w:rsidRPr="00C878C3">
        <w:rPr>
          <w:rFonts w:ascii="Arial" w:hAnsi="Arial" w:cs="Arial"/>
        </w:rPr>
        <w:t xml:space="preserve">Integrar los expedientes relativos a las faltas administrativas en materia electoral y, en su caso, proponer las sanciones, en los términos que establece esta Ley, y </w:t>
      </w:r>
    </w:p>
    <w:p w:rsidR="00736E0B" w:rsidRDefault="00736E0B" w:rsidP="00736E0B">
      <w:pPr>
        <w:pStyle w:val="Prrafodelista"/>
        <w:numPr>
          <w:ilvl w:val="0"/>
          <w:numId w:val="1"/>
        </w:numPr>
        <w:ind w:left="720"/>
        <w:contextualSpacing w:val="0"/>
        <w:rPr>
          <w:rFonts w:ascii="Arial" w:hAnsi="Arial" w:cs="Arial"/>
        </w:rPr>
      </w:pPr>
      <w:r w:rsidRPr="00C878C3">
        <w:rPr>
          <w:rFonts w:ascii="Arial" w:hAnsi="Arial" w:cs="Arial"/>
        </w:rPr>
        <w:t>Las demás que le encomiende la Ley, el Consejo Estatal y la o el Consejero Presidente.</w:t>
      </w:r>
    </w:p>
    <w:p w:rsidR="00C878C3" w:rsidRPr="00C878C3" w:rsidRDefault="00C878C3" w:rsidP="00C878C3">
      <w:pPr>
        <w:pStyle w:val="Prrafodelista"/>
        <w:contextualSpacing w:val="0"/>
        <w:rPr>
          <w:rFonts w:ascii="Arial" w:hAnsi="Arial" w:cs="Arial"/>
        </w:rPr>
      </w:pPr>
    </w:p>
    <w:p w:rsidR="00736E0B" w:rsidRPr="00C878C3" w:rsidRDefault="00736E0B" w:rsidP="00736E0B">
      <w:pPr>
        <w:pStyle w:val="Ttulo2"/>
        <w:rPr>
          <w:rFonts w:ascii="Arial" w:hAnsi="Arial" w:cs="Arial"/>
          <w:sz w:val="23"/>
        </w:rPr>
      </w:pPr>
      <w:r w:rsidRPr="00C878C3">
        <w:rPr>
          <w:rFonts w:ascii="Arial" w:hAnsi="Arial" w:cs="Arial"/>
          <w:sz w:val="23"/>
        </w:rPr>
        <w:lastRenderedPageBreak/>
        <w:t>Etapas del proceso electoral</w:t>
      </w:r>
    </w:p>
    <w:p w:rsidR="00736E0B" w:rsidRPr="00C878C3" w:rsidRDefault="00736E0B" w:rsidP="00736E0B">
      <w:pPr>
        <w:rPr>
          <w:rFonts w:ascii="Arial" w:hAnsi="Arial" w:cs="Arial"/>
        </w:rPr>
      </w:pPr>
      <w:r w:rsidRPr="00C878C3">
        <w:rPr>
          <w:rFonts w:ascii="Arial" w:hAnsi="Arial" w:cs="Arial"/>
        </w:rPr>
        <w:t>Que, en términos del artículo 165 numeral 2 de la Ley Electoral el proceso electoral ordinario comprende las etapas siguientes:</w:t>
      </w:r>
    </w:p>
    <w:p w:rsidR="00736E0B" w:rsidRPr="00C878C3" w:rsidRDefault="00736E0B" w:rsidP="00736E0B">
      <w:pPr>
        <w:pStyle w:val="Prrafodelista"/>
        <w:numPr>
          <w:ilvl w:val="0"/>
          <w:numId w:val="2"/>
        </w:numPr>
        <w:rPr>
          <w:rFonts w:ascii="Arial" w:hAnsi="Arial" w:cs="Arial"/>
        </w:rPr>
      </w:pPr>
      <w:r w:rsidRPr="00C878C3">
        <w:rPr>
          <w:rFonts w:ascii="Arial" w:hAnsi="Arial" w:cs="Arial"/>
        </w:rPr>
        <w:t>Preparación de la elección;</w:t>
      </w:r>
    </w:p>
    <w:p w:rsidR="00736E0B" w:rsidRPr="00C878C3" w:rsidRDefault="00736E0B" w:rsidP="00736E0B">
      <w:pPr>
        <w:pStyle w:val="Prrafodelista"/>
        <w:numPr>
          <w:ilvl w:val="0"/>
          <w:numId w:val="2"/>
        </w:numPr>
        <w:rPr>
          <w:rFonts w:ascii="Arial" w:hAnsi="Arial" w:cs="Arial"/>
        </w:rPr>
      </w:pPr>
      <w:r w:rsidRPr="00C878C3">
        <w:rPr>
          <w:rFonts w:ascii="Arial" w:hAnsi="Arial" w:cs="Arial"/>
        </w:rPr>
        <w:t>Jornada electoral, y</w:t>
      </w:r>
    </w:p>
    <w:p w:rsidR="00736E0B" w:rsidRPr="00C878C3" w:rsidRDefault="00736E0B" w:rsidP="00736E0B">
      <w:pPr>
        <w:pStyle w:val="Prrafodelista"/>
        <w:numPr>
          <w:ilvl w:val="0"/>
          <w:numId w:val="2"/>
        </w:numPr>
        <w:rPr>
          <w:rFonts w:ascii="Arial" w:hAnsi="Arial" w:cs="Arial"/>
        </w:rPr>
      </w:pPr>
      <w:r w:rsidRPr="00C878C3">
        <w:rPr>
          <w:rFonts w:ascii="Arial" w:hAnsi="Arial" w:cs="Arial"/>
        </w:rPr>
        <w:t>Resultados y declaración de validez de las elecciones.</w:t>
      </w:r>
    </w:p>
    <w:p w:rsidR="00736E0B" w:rsidRPr="00C878C3" w:rsidRDefault="00736E0B" w:rsidP="00736E0B">
      <w:pPr>
        <w:rPr>
          <w:rFonts w:ascii="Arial" w:hAnsi="Arial" w:cs="Arial"/>
        </w:rPr>
      </w:pPr>
      <w:r w:rsidRPr="00C878C3">
        <w:rPr>
          <w:rFonts w:ascii="Arial" w:hAnsi="Arial" w:cs="Arial"/>
        </w:rPr>
        <w:t>La etapa de preparación de la elección, se inicia con la primera sesión que el Consejo Estatal, celebre para el proceso electoral respectivo y concluye al iniciarse la jornada electoral.</w:t>
      </w:r>
    </w:p>
    <w:p w:rsidR="00736E0B" w:rsidRPr="00C878C3" w:rsidRDefault="00736E0B" w:rsidP="00736E0B">
      <w:pPr>
        <w:rPr>
          <w:rFonts w:ascii="Arial" w:hAnsi="Arial" w:cs="Arial"/>
        </w:rPr>
      </w:pPr>
      <w:r w:rsidRPr="00C878C3">
        <w:rPr>
          <w:rFonts w:ascii="Arial" w:hAnsi="Arial" w:cs="Arial"/>
        </w:rPr>
        <w:t>Por su parte, la etapa de la jornada electoral de las elecciones, se inicia a las 8:00 horas del primer domingo del mes de junio y concluye con la clausura de casillas.</w:t>
      </w:r>
    </w:p>
    <w:p w:rsidR="00736E0B" w:rsidRPr="00C878C3" w:rsidRDefault="00736E0B" w:rsidP="00736E0B">
      <w:pPr>
        <w:rPr>
          <w:rFonts w:ascii="Arial" w:hAnsi="Arial" w:cs="Arial"/>
        </w:rPr>
      </w:pPr>
      <w:r w:rsidRPr="00C878C3">
        <w:rPr>
          <w:rFonts w:ascii="Arial" w:hAnsi="Arial" w:cs="Arial"/>
        </w:rPr>
        <w:t>Finalmente, la etapa de resultados y declaración de validez de las elecciones se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rsidR="00736E0B" w:rsidRPr="00C878C3" w:rsidRDefault="00736E0B" w:rsidP="00736E0B">
      <w:pPr>
        <w:rPr>
          <w:rFonts w:ascii="Arial" w:hAnsi="Arial" w:cs="Arial"/>
        </w:rPr>
      </w:pPr>
      <w:r w:rsidRPr="00C878C3">
        <w:rPr>
          <w:rFonts w:ascii="Arial" w:hAnsi="Arial" w:cs="Arial"/>
        </w:rPr>
        <w:t>2.12</w:t>
      </w:r>
      <w:r w:rsidRPr="00C878C3">
        <w:rPr>
          <w:rFonts w:ascii="Arial" w:hAnsi="Arial" w:cs="Arial"/>
        </w:rPr>
        <w:tab/>
        <w:t xml:space="preserve">Autonomía presupuestaria del Instituto </w:t>
      </w:r>
    </w:p>
    <w:p w:rsidR="00736E0B" w:rsidRPr="00C878C3" w:rsidRDefault="00736E0B" w:rsidP="00736E0B">
      <w:pPr>
        <w:rPr>
          <w:rFonts w:ascii="Arial" w:hAnsi="Arial" w:cs="Arial"/>
        </w:rPr>
      </w:pPr>
      <w:r w:rsidRPr="00C878C3">
        <w:rPr>
          <w:rFonts w:ascii="Arial" w:hAnsi="Arial" w:cs="Arial"/>
        </w:rPr>
        <w:t>Que, el artículo 6 de la Ley de Presupuesto y Responsabilidad Hacendaria del Estado de Tabasco y sus Municipios, sostiene que la autonomía presupuestaria otorgada a los órganos autónomos a través de la Constitución Local comprende:</w:t>
      </w:r>
    </w:p>
    <w:p w:rsidR="00736E0B" w:rsidRPr="00C878C3" w:rsidRDefault="00736E0B" w:rsidP="00736E0B">
      <w:pPr>
        <w:rPr>
          <w:rFonts w:ascii="Arial" w:hAnsi="Arial" w:cs="Arial"/>
        </w:rPr>
      </w:pPr>
      <w:r w:rsidRPr="00C878C3">
        <w:rPr>
          <w:rFonts w:ascii="Arial" w:hAnsi="Arial" w:cs="Arial"/>
        </w:rPr>
        <w:t>a)</w:t>
      </w:r>
      <w:r w:rsidRPr="00C878C3">
        <w:rPr>
          <w:rFonts w:ascii="Arial" w:hAnsi="Arial" w:cs="Arial"/>
        </w:rPr>
        <w:tab/>
        <w:t xml:space="preserve">La aprobación de su proyecto de presupuesto y su remisión a la Secretaría de Finanzas para su integración al proyecto de Presupuesto de Egresos, observando los criterios de política económica y demás disposiciones aplicables; </w:t>
      </w:r>
    </w:p>
    <w:p w:rsidR="00736E0B" w:rsidRPr="00C878C3" w:rsidRDefault="00736E0B" w:rsidP="00736E0B">
      <w:pPr>
        <w:rPr>
          <w:rFonts w:ascii="Arial" w:hAnsi="Arial" w:cs="Arial"/>
        </w:rPr>
      </w:pPr>
      <w:r w:rsidRPr="00C878C3">
        <w:rPr>
          <w:rFonts w:ascii="Arial" w:hAnsi="Arial" w:cs="Arial"/>
        </w:rPr>
        <w:t>b)</w:t>
      </w:r>
      <w:r w:rsidRPr="00C878C3">
        <w:rPr>
          <w:rFonts w:ascii="Arial" w:hAnsi="Arial" w:cs="Arial"/>
        </w:rPr>
        <w:tab/>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rsidR="00736E0B" w:rsidRPr="00C878C3" w:rsidRDefault="00736E0B" w:rsidP="00736E0B">
      <w:pPr>
        <w:rPr>
          <w:rFonts w:ascii="Arial" w:hAnsi="Arial" w:cs="Arial"/>
        </w:rPr>
      </w:pPr>
      <w:r w:rsidRPr="00C878C3">
        <w:rPr>
          <w:rFonts w:ascii="Arial" w:hAnsi="Arial" w:cs="Arial"/>
        </w:rPr>
        <w:lastRenderedPageBreak/>
        <w:t>c)</w:t>
      </w:r>
      <w:r w:rsidRPr="00C878C3">
        <w:rPr>
          <w:rFonts w:ascii="Arial" w:hAnsi="Arial" w:cs="Arial"/>
        </w:rPr>
        <w:tab/>
        <w:t xml:space="preserve">La autorización de las adecuaciones a sus presupuestos sin requerir la aprobación de la Secretaría de Finanzas, observando las disposiciones de dicha Ley; </w:t>
      </w:r>
    </w:p>
    <w:p w:rsidR="00736E0B" w:rsidRPr="00C878C3" w:rsidRDefault="00736E0B" w:rsidP="00736E0B">
      <w:pPr>
        <w:rPr>
          <w:rFonts w:ascii="Arial" w:hAnsi="Arial" w:cs="Arial"/>
        </w:rPr>
      </w:pPr>
      <w:r w:rsidRPr="00C878C3">
        <w:rPr>
          <w:rFonts w:ascii="Arial" w:hAnsi="Arial" w:cs="Arial"/>
        </w:rPr>
        <w:t>d)</w:t>
      </w:r>
      <w:r w:rsidRPr="00C878C3">
        <w:rPr>
          <w:rFonts w:ascii="Arial" w:hAnsi="Arial" w:cs="Arial"/>
        </w:rPr>
        <w:tab/>
        <w:t xml:space="preserve">La realización de sus pagos a través de sus respectivas tesorerías o sus equivalentes; </w:t>
      </w:r>
    </w:p>
    <w:p w:rsidR="00736E0B" w:rsidRPr="00C878C3" w:rsidRDefault="00736E0B" w:rsidP="00736E0B">
      <w:pPr>
        <w:rPr>
          <w:rFonts w:ascii="Arial" w:hAnsi="Arial" w:cs="Arial"/>
        </w:rPr>
      </w:pPr>
      <w:r w:rsidRPr="00C878C3">
        <w:rPr>
          <w:rFonts w:ascii="Arial" w:hAnsi="Arial" w:cs="Arial"/>
        </w:rPr>
        <w:t>e)</w:t>
      </w:r>
      <w:r w:rsidRPr="00C878C3">
        <w:rPr>
          <w:rFonts w:ascii="Arial" w:hAnsi="Arial" w:cs="Arial"/>
        </w:rPr>
        <w:tab/>
        <w:t>La determinación de los ajustes que correspondan en sus presupuestos en caso de disminución de ingresos, observando, en lo conducente, lo dispuesto en el artículo 18 de la Ley mencionada; y</w:t>
      </w:r>
    </w:p>
    <w:p w:rsidR="00736E0B" w:rsidRPr="00C878C3" w:rsidRDefault="00736E0B" w:rsidP="00736E0B">
      <w:pPr>
        <w:rPr>
          <w:rFonts w:ascii="Arial" w:hAnsi="Arial" w:cs="Arial"/>
        </w:rPr>
      </w:pPr>
      <w:r w:rsidRPr="00C878C3">
        <w:rPr>
          <w:rFonts w:ascii="Arial" w:hAnsi="Arial" w:cs="Arial"/>
        </w:rPr>
        <w:t>f)</w:t>
      </w:r>
      <w:r w:rsidRPr="00C878C3">
        <w:rPr>
          <w:rFonts w:ascii="Arial" w:hAnsi="Arial" w:cs="Arial"/>
        </w:rPr>
        <w:tab/>
        <w:t>Llevar la contabilidad y elaborar sus informes conforme a lo previsto en dicha Ley, así como enviarlos a la Secretaría de Finanzas para su integración a los informes trimestrales y a la cuenta pública.</w:t>
      </w:r>
    </w:p>
    <w:p w:rsidR="00736E0B" w:rsidRPr="00C878C3" w:rsidRDefault="00736E0B" w:rsidP="00736E0B">
      <w:pPr>
        <w:pStyle w:val="Ttulo2"/>
        <w:rPr>
          <w:rFonts w:ascii="Arial" w:hAnsi="Arial" w:cs="Arial"/>
          <w:sz w:val="23"/>
        </w:rPr>
      </w:pPr>
      <w:r w:rsidRPr="00C878C3">
        <w:rPr>
          <w:rFonts w:ascii="Arial" w:hAnsi="Arial" w:cs="Arial"/>
          <w:sz w:val="23"/>
        </w:rPr>
        <w:t>Administración de los recursos financieros y materiales del Instituto</w:t>
      </w:r>
    </w:p>
    <w:p w:rsidR="00736E0B" w:rsidRPr="00C878C3" w:rsidRDefault="00736E0B" w:rsidP="00736E0B">
      <w:pPr>
        <w:rPr>
          <w:rFonts w:ascii="Arial" w:hAnsi="Arial" w:cs="Arial"/>
        </w:rPr>
      </w:pPr>
      <w:r w:rsidRPr="00C878C3">
        <w:rPr>
          <w:rFonts w:ascii="Arial" w:hAnsi="Arial" w:cs="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736E0B" w:rsidRPr="00C878C3" w:rsidRDefault="00736E0B" w:rsidP="00736E0B">
      <w:pPr>
        <w:pStyle w:val="Ttulo2"/>
        <w:rPr>
          <w:rFonts w:ascii="Arial" w:hAnsi="Arial" w:cs="Arial"/>
          <w:sz w:val="23"/>
        </w:rPr>
      </w:pPr>
      <w:r w:rsidRPr="00C878C3">
        <w:rPr>
          <w:rFonts w:ascii="Arial" w:hAnsi="Arial" w:cs="Arial"/>
          <w:sz w:val="23"/>
        </w:rPr>
        <w:t>Asignación presupuestal en materia de servicios personales</w:t>
      </w:r>
    </w:p>
    <w:p w:rsidR="00736E0B" w:rsidRPr="00C878C3" w:rsidRDefault="00736E0B" w:rsidP="00736E0B">
      <w:pPr>
        <w:rPr>
          <w:rFonts w:ascii="Arial" w:hAnsi="Arial" w:cs="Arial"/>
        </w:rPr>
      </w:pPr>
      <w:r w:rsidRPr="00C878C3">
        <w:rPr>
          <w:rFonts w:ascii="Arial" w:hAnsi="Arial" w:cs="Arial"/>
        </w:rPr>
        <w:t>Que, de conformidad con el artículo 30, fracción II de la Ley de Presupuesto y Responsabilidad Hacendaria del Estado de Tabasco y sus Municipios, en el proyecto de presupuesto de egresos se deberá presentar en una sección específica las erogaciones correspondientes al gasto en servicios personales, el cual comprende las remuneraciones de los servidores públicos desglosando las percepciones ordinarias y extraordinarias, e incluyendo las erogaciones a cargo de los ejecutores de gasto por concepto de obligaciones de carácter fiscal y de seguridad social inherentes a dichas remuneraciones, y las previsiones salariales y económicas para cubrir los incrementos salariales, la creación de plazas y otras medidas económicas de índole laboral. Estas previsiones serán incluidas en un capítulo específico del presupuesto de egresos.  Una vez aprobada la asignación global de servicios personales en el presupuesto de egresos, ésta no podrá incrementarse.</w:t>
      </w:r>
    </w:p>
    <w:p w:rsidR="00736E0B" w:rsidRPr="00C878C3" w:rsidRDefault="00736E0B" w:rsidP="00736E0B">
      <w:pPr>
        <w:rPr>
          <w:rFonts w:ascii="Arial" w:hAnsi="Arial" w:cs="Arial"/>
        </w:rPr>
      </w:pPr>
      <w:r w:rsidRPr="00C878C3">
        <w:rPr>
          <w:rFonts w:ascii="Arial" w:hAnsi="Arial" w:cs="Arial"/>
        </w:rPr>
        <w:lastRenderedPageBreak/>
        <w:t>En ese sentido, el Consejo Estatal en la formulación del anteproyecto de egresos para el ejercicio 2024 estableció un total de 173 plazas con categoría de confianza, acorde a la plantilla de personal que corresponde actualmente al Instituto, las cuales corresponden con al analítico señalado en el presupuesto de egresos para dicho ejercicio aprobado por el Congreso Local; asimismo presentó la plantilla de personal eventual requerido para realizar las actividades para el desarrollo del proceso Electoral Local Ordinario 2023-2024.</w:t>
      </w:r>
    </w:p>
    <w:p w:rsidR="00736E0B" w:rsidRPr="00C878C3" w:rsidRDefault="00736E0B" w:rsidP="00736E0B">
      <w:pPr>
        <w:pStyle w:val="Ttulo2"/>
        <w:rPr>
          <w:rFonts w:ascii="Arial" w:hAnsi="Arial" w:cs="Arial"/>
          <w:sz w:val="23"/>
        </w:rPr>
      </w:pPr>
      <w:r w:rsidRPr="00C878C3">
        <w:rPr>
          <w:rFonts w:ascii="Arial" w:hAnsi="Arial" w:cs="Arial"/>
          <w:sz w:val="23"/>
        </w:rPr>
        <w:t>Programa de fortalecimiento de las unidades administrativas</w:t>
      </w:r>
    </w:p>
    <w:p w:rsidR="00736E0B" w:rsidRPr="00C878C3" w:rsidRDefault="00736E0B" w:rsidP="00736E0B">
      <w:pPr>
        <w:rPr>
          <w:rFonts w:ascii="Arial" w:hAnsi="Arial" w:cs="Arial"/>
        </w:rPr>
      </w:pPr>
      <w:r w:rsidRPr="00C878C3">
        <w:rPr>
          <w:rFonts w:ascii="Arial" w:hAnsi="Arial" w:cs="Arial"/>
        </w:rPr>
        <w:t>Que, derivado de la conciliación presupuestal y financiera correspondiente al capítulo 1000 con corte al mes de julio, se advirtió una economía en los programas presupuestarios R002, Componente CRC01 por la cantidad de $6’957,827.84 (seis millones novecientos cincuenta y siete mil ochocientos veintisiete pesos 84/100 moneda nacional) y M001, Componente CMC01 por $1’748,362.06 (un millón setecientos cuarenta y ocho mil trescientos sesenta y dos pesos 06/100 moneda nacional) haciendo un total de $8’706,189.90 (ocho millones setecientos seis mil ciento ochenta y nueve mil pesos 90/100 moneda nacional) de acuerdo a la información proporcionada por la Dirección de Administración y la Unidad de Planeación y Evaluación de este Instituto.</w:t>
      </w:r>
    </w:p>
    <w:p w:rsidR="00736E0B" w:rsidRPr="00C878C3" w:rsidRDefault="00736E0B" w:rsidP="00736E0B">
      <w:pPr>
        <w:rPr>
          <w:rFonts w:ascii="Arial" w:hAnsi="Arial" w:cs="Arial"/>
        </w:rPr>
      </w:pPr>
      <w:r w:rsidRPr="00C878C3">
        <w:rPr>
          <w:rFonts w:ascii="Arial" w:hAnsi="Arial" w:cs="Arial"/>
        </w:rPr>
        <w:t xml:space="preserve">En razón de lo anterior y considerando las necesidades de personal de las unidades administrativas para realizar las actividades requeridas para la conclusión del proceso electoral </w:t>
      </w:r>
      <w:r w:rsidR="00615A51" w:rsidRPr="00C878C3">
        <w:rPr>
          <w:rFonts w:ascii="Arial" w:hAnsi="Arial" w:cs="Arial"/>
        </w:rPr>
        <w:t xml:space="preserve">tales como el desmantelamiento de los inmuebles en que se ubican las juntas distritales, así como de las bodegas electorales, los procedimientos de entrega recepción del personal adscrito a los órganos distritales, la revisión e integración del archivo de cada uno de los órganos señalados, el procedimiento de destrucción del material y la documentación electoral, entre otros; la Secretaría Ejecutiva propuso </w:t>
      </w:r>
      <w:r w:rsidR="001F4988" w:rsidRPr="00C878C3">
        <w:rPr>
          <w:rFonts w:ascii="Arial" w:hAnsi="Arial" w:cs="Arial"/>
        </w:rPr>
        <w:t>la implementación de un programa eventual que durante el período del 16 de agosto al 31 de diciembre de 2024, cubra los requerimientos de capital humano por parte de las diversas áreas del Instituto que tengan actividades pendientes vinculadas con la conclusión del Proceso Electoral.</w:t>
      </w:r>
    </w:p>
    <w:p w:rsidR="001F4988" w:rsidRDefault="001F4988" w:rsidP="00736E0B">
      <w:pPr>
        <w:rPr>
          <w:rFonts w:ascii="Arial" w:hAnsi="Arial" w:cs="Arial"/>
        </w:rPr>
      </w:pPr>
      <w:r w:rsidRPr="00C878C3">
        <w:rPr>
          <w:rFonts w:ascii="Arial" w:hAnsi="Arial" w:cs="Arial"/>
        </w:rPr>
        <w:t>El programa considera la contratación eventual de 7</w:t>
      </w:r>
      <w:r w:rsidR="00D02A1F" w:rsidRPr="00C878C3">
        <w:rPr>
          <w:rFonts w:ascii="Arial" w:hAnsi="Arial" w:cs="Arial"/>
        </w:rPr>
        <w:t>3</w:t>
      </w:r>
      <w:r w:rsidRPr="00C878C3">
        <w:rPr>
          <w:rFonts w:ascii="Arial" w:hAnsi="Arial" w:cs="Arial"/>
        </w:rPr>
        <w:t xml:space="preserve"> personas distribuidas de conformidad con lo siguiente:</w:t>
      </w:r>
    </w:p>
    <w:p w:rsidR="00C878C3" w:rsidRDefault="00C878C3" w:rsidP="00736E0B">
      <w:pPr>
        <w:rPr>
          <w:rFonts w:ascii="Arial" w:hAnsi="Arial" w:cs="Arial"/>
        </w:rPr>
      </w:pPr>
    </w:p>
    <w:p w:rsidR="00C878C3" w:rsidRPr="00C878C3" w:rsidRDefault="00C878C3" w:rsidP="00736E0B">
      <w:pPr>
        <w:rPr>
          <w:rFonts w:ascii="Arial" w:hAnsi="Arial" w:cs="Arial"/>
        </w:rPr>
      </w:pPr>
    </w:p>
    <w:tbl>
      <w:tblPr>
        <w:tblStyle w:val="Tablaconcuadrcula"/>
        <w:tblW w:w="0" w:type="auto"/>
        <w:jc w:val="center"/>
        <w:tblLook w:val="04A0" w:firstRow="1" w:lastRow="0" w:firstColumn="1" w:lastColumn="0" w:noHBand="0" w:noVBand="1"/>
      </w:tblPr>
      <w:tblGrid>
        <w:gridCol w:w="6232"/>
        <w:gridCol w:w="1843"/>
      </w:tblGrid>
      <w:tr w:rsidR="001F4988" w:rsidRPr="00C878C3" w:rsidTr="00C878C3">
        <w:trPr>
          <w:jc w:val="center"/>
        </w:trPr>
        <w:tc>
          <w:tcPr>
            <w:tcW w:w="6232" w:type="dxa"/>
            <w:shd w:val="clear" w:color="auto" w:fill="BFBFBF" w:themeFill="background1" w:themeFillShade="BF"/>
            <w:vAlign w:val="center"/>
          </w:tcPr>
          <w:p w:rsidR="001F4988" w:rsidRPr="00C878C3" w:rsidRDefault="001F4988" w:rsidP="001F4988">
            <w:pPr>
              <w:spacing w:before="40" w:after="40" w:line="276" w:lineRule="auto"/>
              <w:jc w:val="center"/>
              <w:rPr>
                <w:rFonts w:ascii="Arial" w:hAnsi="Arial" w:cs="Arial"/>
                <w:b/>
                <w:sz w:val="22"/>
              </w:rPr>
            </w:pPr>
            <w:r w:rsidRPr="00C878C3">
              <w:rPr>
                <w:rFonts w:ascii="Arial" w:hAnsi="Arial" w:cs="Arial"/>
                <w:b/>
                <w:sz w:val="22"/>
              </w:rPr>
              <w:t>Área administrativa</w:t>
            </w:r>
          </w:p>
        </w:tc>
        <w:tc>
          <w:tcPr>
            <w:tcW w:w="1843" w:type="dxa"/>
            <w:shd w:val="clear" w:color="auto" w:fill="BFBFBF" w:themeFill="background1" w:themeFillShade="BF"/>
            <w:vAlign w:val="center"/>
          </w:tcPr>
          <w:p w:rsidR="001F4988" w:rsidRPr="00C878C3" w:rsidRDefault="001F4988" w:rsidP="001F4988">
            <w:pPr>
              <w:spacing w:before="40" w:after="40" w:line="276" w:lineRule="auto"/>
              <w:jc w:val="center"/>
              <w:rPr>
                <w:rFonts w:ascii="Arial" w:hAnsi="Arial" w:cs="Arial"/>
                <w:b/>
                <w:sz w:val="22"/>
              </w:rPr>
            </w:pPr>
            <w:r w:rsidRPr="00C878C3">
              <w:rPr>
                <w:rFonts w:ascii="Arial" w:hAnsi="Arial" w:cs="Arial"/>
                <w:b/>
                <w:sz w:val="22"/>
              </w:rPr>
              <w:t>Personal requerido</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Presidencia del Consejo</w:t>
            </w:r>
          </w:p>
        </w:tc>
        <w:tc>
          <w:tcPr>
            <w:tcW w:w="1843" w:type="dxa"/>
            <w:vAlign w:val="center"/>
          </w:tcPr>
          <w:p w:rsidR="001F4988" w:rsidRPr="00C878C3" w:rsidRDefault="001F4988" w:rsidP="001F4988">
            <w:pPr>
              <w:spacing w:before="40" w:after="40" w:line="276" w:lineRule="auto"/>
              <w:jc w:val="center"/>
              <w:rPr>
                <w:rFonts w:ascii="Arial" w:hAnsi="Arial" w:cs="Arial"/>
                <w:sz w:val="22"/>
              </w:rPr>
            </w:pPr>
            <w:r w:rsidRPr="00C878C3">
              <w:rPr>
                <w:rFonts w:ascii="Arial" w:hAnsi="Arial" w:cs="Arial"/>
                <w:sz w:val="22"/>
              </w:rPr>
              <w:t>9</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Consejerías Electorales</w:t>
            </w:r>
          </w:p>
        </w:tc>
        <w:tc>
          <w:tcPr>
            <w:tcW w:w="1843" w:type="dxa"/>
            <w:vAlign w:val="center"/>
          </w:tcPr>
          <w:p w:rsidR="001F4988" w:rsidRPr="00C878C3" w:rsidRDefault="001F4988" w:rsidP="001F4988">
            <w:pPr>
              <w:spacing w:before="40" w:after="40" w:line="276" w:lineRule="auto"/>
              <w:jc w:val="center"/>
              <w:rPr>
                <w:rFonts w:ascii="Arial" w:hAnsi="Arial" w:cs="Arial"/>
                <w:sz w:val="22"/>
              </w:rPr>
            </w:pPr>
            <w:r w:rsidRPr="00C878C3">
              <w:rPr>
                <w:rFonts w:ascii="Arial" w:hAnsi="Arial" w:cs="Arial"/>
                <w:sz w:val="22"/>
              </w:rPr>
              <w:t>6</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Secretaría Ejecutiva</w:t>
            </w:r>
          </w:p>
        </w:tc>
        <w:tc>
          <w:tcPr>
            <w:tcW w:w="1843" w:type="dxa"/>
            <w:vAlign w:val="center"/>
          </w:tcPr>
          <w:p w:rsidR="001F4988" w:rsidRPr="00C878C3" w:rsidRDefault="001F4988" w:rsidP="001F4988">
            <w:pPr>
              <w:spacing w:before="40" w:after="40" w:line="276" w:lineRule="auto"/>
              <w:jc w:val="center"/>
              <w:rPr>
                <w:rFonts w:ascii="Arial" w:hAnsi="Arial" w:cs="Arial"/>
                <w:sz w:val="22"/>
              </w:rPr>
            </w:pPr>
            <w:r w:rsidRPr="00C878C3">
              <w:rPr>
                <w:rFonts w:ascii="Arial" w:hAnsi="Arial" w:cs="Arial"/>
                <w:sz w:val="22"/>
              </w:rPr>
              <w:t>16</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Dirección de Organización Electoral y Educación Cívica</w:t>
            </w:r>
          </w:p>
        </w:tc>
        <w:tc>
          <w:tcPr>
            <w:tcW w:w="1843" w:type="dxa"/>
            <w:vAlign w:val="center"/>
          </w:tcPr>
          <w:p w:rsidR="001F4988" w:rsidRPr="00C878C3" w:rsidRDefault="00D02A1F" w:rsidP="001F4988">
            <w:pPr>
              <w:spacing w:before="40" w:after="40" w:line="276" w:lineRule="auto"/>
              <w:jc w:val="center"/>
              <w:rPr>
                <w:rFonts w:ascii="Arial" w:hAnsi="Arial" w:cs="Arial"/>
                <w:sz w:val="22"/>
              </w:rPr>
            </w:pPr>
            <w:r w:rsidRPr="00C878C3">
              <w:rPr>
                <w:rFonts w:ascii="Arial" w:hAnsi="Arial" w:cs="Arial"/>
                <w:sz w:val="22"/>
              </w:rPr>
              <w:t>9</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Dirección de Administración</w:t>
            </w:r>
          </w:p>
        </w:tc>
        <w:tc>
          <w:tcPr>
            <w:tcW w:w="1843" w:type="dxa"/>
            <w:vAlign w:val="center"/>
          </w:tcPr>
          <w:p w:rsidR="001F4988" w:rsidRPr="00C878C3" w:rsidRDefault="00D02A1F" w:rsidP="001F4988">
            <w:pPr>
              <w:spacing w:before="40" w:after="40" w:line="276" w:lineRule="auto"/>
              <w:jc w:val="center"/>
              <w:rPr>
                <w:rFonts w:ascii="Arial" w:hAnsi="Arial" w:cs="Arial"/>
                <w:sz w:val="22"/>
              </w:rPr>
            </w:pPr>
            <w:r w:rsidRPr="00C878C3">
              <w:rPr>
                <w:rFonts w:ascii="Arial" w:hAnsi="Arial" w:cs="Arial"/>
                <w:sz w:val="22"/>
              </w:rPr>
              <w:t>29</w:t>
            </w:r>
          </w:p>
        </w:tc>
      </w:tr>
      <w:tr w:rsidR="001F4988" w:rsidRPr="00C878C3" w:rsidTr="001F4988">
        <w:trPr>
          <w:jc w:val="center"/>
        </w:trPr>
        <w:tc>
          <w:tcPr>
            <w:tcW w:w="6232" w:type="dxa"/>
            <w:vAlign w:val="center"/>
          </w:tcPr>
          <w:p w:rsidR="001F4988" w:rsidRPr="00C878C3" w:rsidRDefault="001F4988" w:rsidP="001F4988">
            <w:pPr>
              <w:spacing w:before="40" w:after="40" w:line="276" w:lineRule="auto"/>
              <w:rPr>
                <w:rFonts w:ascii="Arial" w:hAnsi="Arial" w:cs="Arial"/>
                <w:sz w:val="22"/>
              </w:rPr>
            </w:pPr>
            <w:r w:rsidRPr="00C878C3">
              <w:rPr>
                <w:rFonts w:ascii="Arial" w:hAnsi="Arial" w:cs="Arial"/>
                <w:sz w:val="22"/>
              </w:rPr>
              <w:t>Contraloría General</w:t>
            </w:r>
          </w:p>
        </w:tc>
        <w:tc>
          <w:tcPr>
            <w:tcW w:w="1843" w:type="dxa"/>
            <w:vAlign w:val="center"/>
          </w:tcPr>
          <w:p w:rsidR="001F4988" w:rsidRPr="00C878C3" w:rsidRDefault="001F4988" w:rsidP="001F4988">
            <w:pPr>
              <w:spacing w:before="40" w:after="40" w:line="276" w:lineRule="auto"/>
              <w:jc w:val="center"/>
              <w:rPr>
                <w:rFonts w:ascii="Arial" w:hAnsi="Arial" w:cs="Arial"/>
                <w:sz w:val="22"/>
              </w:rPr>
            </w:pPr>
            <w:r w:rsidRPr="00C878C3">
              <w:rPr>
                <w:rFonts w:ascii="Arial" w:hAnsi="Arial" w:cs="Arial"/>
                <w:sz w:val="22"/>
              </w:rPr>
              <w:t>4</w:t>
            </w:r>
          </w:p>
        </w:tc>
      </w:tr>
    </w:tbl>
    <w:p w:rsidR="001F4988" w:rsidRPr="00C878C3" w:rsidRDefault="001F4988" w:rsidP="00736E0B">
      <w:pPr>
        <w:rPr>
          <w:rFonts w:ascii="Arial" w:hAnsi="Arial" w:cs="Arial"/>
        </w:rPr>
      </w:pPr>
      <w:r w:rsidRPr="00C878C3">
        <w:rPr>
          <w:rFonts w:ascii="Arial" w:hAnsi="Arial" w:cs="Arial"/>
        </w:rPr>
        <w:t>Para este órgano electoral, el programa se considera viable, toda vez que, como se mencionó, existen actividades administrativas y electorales vinculadas con la conclusión del Proceso Electoral.</w:t>
      </w:r>
    </w:p>
    <w:p w:rsidR="00736E0B" w:rsidRPr="00C878C3" w:rsidRDefault="00736E0B" w:rsidP="00736E0B">
      <w:pPr>
        <w:rPr>
          <w:rFonts w:ascii="Arial" w:hAnsi="Arial" w:cs="Arial"/>
        </w:rPr>
      </w:pPr>
      <w:r w:rsidRPr="00C878C3">
        <w:rPr>
          <w:rFonts w:ascii="Arial" w:hAnsi="Arial" w:cs="Arial"/>
        </w:rPr>
        <w:t xml:space="preserve">Para </w:t>
      </w:r>
      <w:r w:rsidR="00C879AE" w:rsidRPr="00C878C3">
        <w:rPr>
          <w:rFonts w:ascii="Arial" w:hAnsi="Arial" w:cs="Arial"/>
        </w:rPr>
        <w:t>cumplir con el propósito del programa</w:t>
      </w:r>
      <w:r w:rsidRPr="00C878C3">
        <w:rPr>
          <w:rFonts w:ascii="Arial" w:hAnsi="Arial" w:cs="Arial"/>
        </w:rPr>
        <w:t xml:space="preserve">, se analizaron las funciones de las diversas áreas que intervienen en el Proceso Electoral </w:t>
      </w:r>
      <w:r w:rsidR="00C879AE" w:rsidRPr="00C878C3">
        <w:rPr>
          <w:rFonts w:ascii="Arial" w:hAnsi="Arial" w:cs="Arial"/>
        </w:rPr>
        <w:t xml:space="preserve">y las actividades aún pendientes, todo ello ponderando </w:t>
      </w:r>
      <w:r w:rsidRPr="00C878C3">
        <w:rPr>
          <w:rFonts w:ascii="Arial" w:hAnsi="Arial" w:cs="Arial"/>
        </w:rPr>
        <w:t>el uso eficiente de los recursos públicos.</w:t>
      </w:r>
    </w:p>
    <w:p w:rsidR="00C879AE" w:rsidRPr="00C878C3" w:rsidRDefault="00C879AE" w:rsidP="00C879AE">
      <w:pPr>
        <w:rPr>
          <w:rFonts w:ascii="Arial" w:hAnsi="Arial" w:cs="Arial"/>
        </w:rPr>
      </w:pPr>
      <w:r w:rsidRPr="00C878C3">
        <w:rPr>
          <w:rFonts w:ascii="Arial" w:hAnsi="Arial" w:cs="Arial"/>
        </w:rPr>
        <w:t>Con dicho programa se fortalece a las unidades administrativas para que éstas puedan de forma eficiente coadyuvar, supervisar y dar cumplimiento a las diversas acciones encomendadas por la Ley Electoral, todo ello con el propósito de cumplir con las funciones sustantivas del Instituto y concluir satisfactoriamente con el Proceso Electoral Local Ordinario 2023-2024.</w:t>
      </w:r>
    </w:p>
    <w:p w:rsidR="00C879AE" w:rsidRPr="00C878C3" w:rsidRDefault="00C879AE" w:rsidP="00C879AE">
      <w:pPr>
        <w:rPr>
          <w:rFonts w:ascii="Arial" w:hAnsi="Arial" w:cs="Arial"/>
        </w:rPr>
      </w:pPr>
      <w:r w:rsidRPr="00C878C3">
        <w:rPr>
          <w:rFonts w:ascii="Arial" w:hAnsi="Arial" w:cs="Arial"/>
        </w:rPr>
        <w:t>Sobre la base de las consideraciones señaladas, esta Junta Estatal emite el siguiente:</w:t>
      </w:r>
    </w:p>
    <w:p w:rsidR="00C879AE" w:rsidRPr="00C878C3" w:rsidRDefault="00C879AE" w:rsidP="00C879AE">
      <w:pPr>
        <w:pStyle w:val="Ttulo1"/>
        <w:rPr>
          <w:rFonts w:ascii="Arial" w:hAnsi="Arial" w:cs="Arial"/>
          <w:sz w:val="24"/>
          <w:szCs w:val="24"/>
        </w:rPr>
      </w:pPr>
      <w:r w:rsidRPr="00C878C3">
        <w:rPr>
          <w:rFonts w:ascii="Arial" w:hAnsi="Arial" w:cs="Arial"/>
          <w:sz w:val="24"/>
          <w:szCs w:val="24"/>
        </w:rPr>
        <w:t>Acuerdo</w:t>
      </w:r>
    </w:p>
    <w:p w:rsidR="00C879AE" w:rsidRPr="00C878C3" w:rsidRDefault="00C879AE" w:rsidP="00C879AE">
      <w:pPr>
        <w:rPr>
          <w:rFonts w:ascii="Arial" w:hAnsi="Arial" w:cs="Arial"/>
        </w:rPr>
      </w:pPr>
      <w:r w:rsidRPr="00C878C3">
        <w:rPr>
          <w:rFonts w:ascii="Arial" w:hAnsi="Arial" w:cs="Arial"/>
          <w:b/>
        </w:rPr>
        <w:t>Primero.</w:t>
      </w:r>
      <w:r w:rsidRPr="00C878C3">
        <w:rPr>
          <w:rFonts w:ascii="Arial" w:hAnsi="Arial" w:cs="Arial"/>
        </w:rPr>
        <w:t xml:space="preserve"> Se aprueba el programa de fortalecimiento de las unidades administrativas para el desarrollo de las actividades post electorales del Instituto Electoral y de Participación Ciudadana de Tabasco, con una vigencia del 16 de agosto al 31 de diciembre de 2024.</w:t>
      </w:r>
    </w:p>
    <w:p w:rsidR="00C879AE" w:rsidRPr="00C878C3" w:rsidRDefault="00C879AE" w:rsidP="00C879AE">
      <w:pPr>
        <w:rPr>
          <w:rFonts w:ascii="Arial" w:hAnsi="Arial" w:cs="Arial"/>
        </w:rPr>
      </w:pPr>
      <w:r w:rsidRPr="00C878C3">
        <w:rPr>
          <w:rFonts w:ascii="Arial" w:hAnsi="Arial" w:cs="Arial"/>
          <w:b/>
        </w:rPr>
        <w:t>Segundo.</w:t>
      </w:r>
      <w:r w:rsidRPr="00C878C3">
        <w:rPr>
          <w:rFonts w:ascii="Arial" w:hAnsi="Arial" w:cs="Arial"/>
        </w:rPr>
        <w:t xml:space="preserve"> Se instruye a la Dirección de Administración realice los trámites administrativos correspondientes para la contratación del personal eventual.</w:t>
      </w:r>
    </w:p>
    <w:p w:rsidR="008A6E0C" w:rsidRPr="00C878C3" w:rsidRDefault="008A6E0C" w:rsidP="008A6E0C">
      <w:pPr>
        <w:rPr>
          <w:rFonts w:ascii="Arial" w:hAnsi="Arial" w:cs="Arial"/>
        </w:rPr>
      </w:pPr>
      <w:r w:rsidRPr="00C878C3">
        <w:rPr>
          <w:rFonts w:ascii="Arial" w:hAnsi="Arial" w:cs="Arial"/>
          <w:b/>
        </w:rPr>
        <w:lastRenderedPageBreak/>
        <w:t xml:space="preserve">Tercero. </w:t>
      </w:r>
      <w:r w:rsidRPr="00C878C3">
        <w:rPr>
          <w:rFonts w:ascii="Arial" w:hAnsi="Arial" w:cs="Arial"/>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rsidR="008A6E0C" w:rsidRPr="00C878C3" w:rsidRDefault="008A6E0C" w:rsidP="008A6E0C">
      <w:pPr>
        <w:rPr>
          <w:rFonts w:ascii="Arial" w:hAnsi="Arial" w:cs="Arial"/>
        </w:rPr>
      </w:pPr>
      <w:r w:rsidRPr="00C878C3">
        <w:rPr>
          <w:rFonts w:ascii="Arial" w:hAnsi="Arial" w:cs="Arial"/>
        </w:rPr>
        <w:t xml:space="preserve">El presente acuerdo se aprobó en sesión </w:t>
      </w:r>
      <w:r w:rsidR="00C878C3">
        <w:rPr>
          <w:rFonts w:ascii="Arial" w:hAnsi="Arial" w:cs="Arial"/>
        </w:rPr>
        <w:t xml:space="preserve"> extraordinaria</w:t>
      </w:r>
      <w:r w:rsidRPr="00C878C3">
        <w:rPr>
          <w:rFonts w:ascii="Arial" w:hAnsi="Arial" w:cs="Arial"/>
        </w:rPr>
        <w:t xml:space="preserve"> efectuada el </w:t>
      </w:r>
      <w:r w:rsidR="00C878C3">
        <w:rPr>
          <w:rFonts w:ascii="Arial" w:hAnsi="Arial" w:cs="Arial"/>
        </w:rPr>
        <w:t>quince</w:t>
      </w:r>
      <w:r w:rsidRPr="00C878C3">
        <w:rPr>
          <w:rFonts w:ascii="Arial" w:hAnsi="Arial" w:cs="Arial"/>
        </w:rPr>
        <w:t xml:space="preserve"> de agosto del año dos mil veinticuatro, por votación</w:t>
      </w:r>
      <w:r w:rsidR="00C878C3">
        <w:rPr>
          <w:rFonts w:ascii="Arial" w:hAnsi="Arial" w:cs="Arial"/>
        </w:rPr>
        <w:t xml:space="preserve"> </w:t>
      </w:r>
      <w:r w:rsidR="00F71E46">
        <w:rPr>
          <w:rFonts w:ascii="Arial" w:hAnsi="Arial" w:cs="Arial"/>
        </w:rPr>
        <w:t>unánime</w:t>
      </w:r>
      <w:bookmarkStart w:id="0" w:name="_GoBack"/>
      <w:bookmarkEnd w:id="0"/>
      <w:r w:rsidRPr="00C878C3">
        <w:rPr>
          <w:rFonts w:ascii="Arial" w:hAnsi="Arial" w:cs="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8A6E0C" w:rsidRPr="00C878C3" w:rsidRDefault="008A6E0C" w:rsidP="008A6E0C">
      <w:pPr>
        <w:rPr>
          <w:rFonts w:ascii="Arial" w:hAnsi="Arial" w:cs="Arial"/>
        </w:rPr>
      </w:pPr>
    </w:p>
    <w:p w:rsidR="008A6E0C" w:rsidRPr="00C878C3" w:rsidRDefault="008A6E0C" w:rsidP="008A6E0C">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8A6E0C" w:rsidRPr="00C878C3" w:rsidTr="004145B0">
        <w:tc>
          <w:tcPr>
            <w:tcW w:w="4395" w:type="dxa"/>
          </w:tcPr>
          <w:p w:rsidR="008A6E0C" w:rsidRPr="00C878C3" w:rsidRDefault="008A6E0C" w:rsidP="004145B0">
            <w:pPr>
              <w:widowControl w:val="0"/>
              <w:spacing w:before="0" w:after="0"/>
              <w:jc w:val="center"/>
              <w:rPr>
                <w:rFonts w:ascii="Arial" w:hAnsi="Arial" w:cs="Arial"/>
                <w:b/>
                <w:spacing w:val="-10"/>
              </w:rPr>
            </w:pPr>
            <w:r w:rsidRPr="00C878C3">
              <w:rPr>
                <w:rFonts w:ascii="Arial" w:hAnsi="Arial" w:cs="Arial"/>
                <w:b/>
                <w:spacing w:val="-10"/>
              </w:rPr>
              <w:t>MTRA. ELIZABETH NAVA GUTIÉRREZ</w:t>
            </w:r>
          </w:p>
          <w:p w:rsidR="008A6E0C" w:rsidRPr="00C878C3" w:rsidRDefault="008A6E0C" w:rsidP="004145B0">
            <w:pPr>
              <w:widowControl w:val="0"/>
              <w:spacing w:before="0" w:after="0"/>
              <w:jc w:val="center"/>
              <w:rPr>
                <w:rFonts w:ascii="Arial" w:hAnsi="Arial" w:cs="Arial"/>
                <w:b/>
              </w:rPr>
            </w:pPr>
            <w:r w:rsidRPr="00C878C3">
              <w:rPr>
                <w:rFonts w:ascii="Arial" w:hAnsi="Arial" w:cs="Arial"/>
                <w:b/>
                <w:spacing w:val="-10"/>
              </w:rPr>
              <w:t>CONSEJERA PRESIDENTA</w:t>
            </w:r>
          </w:p>
        </w:tc>
        <w:tc>
          <w:tcPr>
            <w:tcW w:w="278" w:type="dxa"/>
          </w:tcPr>
          <w:p w:rsidR="008A6E0C" w:rsidRPr="00C878C3" w:rsidRDefault="008A6E0C" w:rsidP="004145B0">
            <w:pPr>
              <w:widowControl w:val="0"/>
              <w:spacing w:before="0" w:after="0"/>
              <w:rPr>
                <w:rFonts w:ascii="Arial" w:hAnsi="Arial" w:cs="Arial"/>
                <w:b/>
              </w:rPr>
            </w:pPr>
          </w:p>
        </w:tc>
        <w:tc>
          <w:tcPr>
            <w:tcW w:w="4400" w:type="dxa"/>
          </w:tcPr>
          <w:p w:rsidR="008A6E0C" w:rsidRPr="00C878C3" w:rsidRDefault="008A6E0C" w:rsidP="004145B0">
            <w:pPr>
              <w:widowControl w:val="0"/>
              <w:spacing w:before="0" w:after="0"/>
              <w:jc w:val="center"/>
              <w:rPr>
                <w:rFonts w:ascii="Arial" w:hAnsi="Arial" w:cs="Arial"/>
                <w:b/>
                <w:spacing w:val="-10"/>
              </w:rPr>
            </w:pPr>
            <w:r w:rsidRPr="00C878C3">
              <w:rPr>
                <w:rFonts w:ascii="Arial" w:hAnsi="Arial" w:cs="Arial"/>
                <w:b/>
                <w:spacing w:val="-10"/>
              </w:rPr>
              <w:t>LIC. JORGE ALBERTO ZAVALA FRÍAS</w:t>
            </w:r>
          </w:p>
          <w:p w:rsidR="008A6E0C" w:rsidRPr="00C878C3" w:rsidRDefault="008A6E0C" w:rsidP="004145B0">
            <w:pPr>
              <w:widowControl w:val="0"/>
              <w:spacing w:before="0" w:after="0"/>
              <w:jc w:val="center"/>
              <w:rPr>
                <w:rFonts w:ascii="Arial" w:hAnsi="Arial" w:cs="Arial"/>
                <w:b/>
              </w:rPr>
            </w:pPr>
            <w:r w:rsidRPr="00C878C3">
              <w:rPr>
                <w:rFonts w:ascii="Arial" w:hAnsi="Arial" w:cs="Arial"/>
                <w:b/>
                <w:spacing w:val="-10"/>
              </w:rPr>
              <w:t>SECRETARIO EJECUTIVO</w:t>
            </w:r>
          </w:p>
        </w:tc>
      </w:tr>
    </w:tbl>
    <w:p w:rsidR="008A6E0C" w:rsidRPr="00C878C3" w:rsidRDefault="008A6E0C" w:rsidP="008A6E0C">
      <w:pPr>
        <w:rPr>
          <w:rFonts w:ascii="Arial" w:hAnsi="Arial" w:cs="Arial"/>
        </w:rPr>
      </w:pPr>
    </w:p>
    <w:p w:rsidR="0072797F" w:rsidRPr="00C878C3" w:rsidRDefault="0072797F" w:rsidP="00C879AE">
      <w:pPr>
        <w:rPr>
          <w:rFonts w:ascii="Arial" w:hAnsi="Arial" w:cs="Arial"/>
        </w:rPr>
      </w:pPr>
    </w:p>
    <w:sectPr w:rsidR="0072797F" w:rsidRPr="00C878C3" w:rsidSect="00CF06C0">
      <w:headerReference w:type="default" r:id="rId7"/>
      <w:footerReference w:type="default" r:id="rId8"/>
      <w:pgSz w:w="12240" w:h="15840" w:code="1"/>
      <w:pgMar w:top="2694"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CB4" w:rsidRDefault="00C44CB4" w:rsidP="008A6E0C">
      <w:pPr>
        <w:spacing w:before="0" w:after="0" w:line="240" w:lineRule="auto"/>
      </w:pPr>
      <w:r>
        <w:separator/>
      </w:r>
    </w:p>
  </w:endnote>
  <w:endnote w:type="continuationSeparator" w:id="0">
    <w:p w:rsidR="00C44CB4" w:rsidRDefault="00C44CB4" w:rsidP="008A6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9A4347-A253-47BF-8E31-06EC4527A03F}"/>
    <w:embedBold r:id="rId2" w:fontKey="{B83EFE7C-24ED-4A30-AE90-2DCC3F93E3B2}"/>
  </w:font>
  <w:font w:name="Exo">
    <w:altName w:val="Times New Roman"/>
    <w:charset w:val="00"/>
    <w:family w:val="auto"/>
    <w:pitch w:val="variable"/>
    <w:sig w:usb0="A00000FF" w:usb1="4000204B" w:usb2="00000000" w:usb3="00000000" w:csb0="00000193" w:csb1="00000000"/>
    <w:embedRegular r:id="rId3" w:fontKey="{1F84822F-6B50-449B-A764-E6775010099C}"/>
    <w:embedBold r:id="rId4" w:fontKey="{3733C37D-D2CF-4FF1-9328-3A57190C3B4B}"/>
  </w:font>
  <w:font w:name="Calibri Light">
    <w:panose1 w:val="020F0302020204030204"/>
    <w:charset w:val="00"/>
    <w:family w:val="swiss"/>
    <w:pitch w:val="variable"/>
    <w:sig w:usb0="E4002EFF" w:usb1="C200247B" w:usb2="00000009" w:usb3="00000000" w:csb0="000001FF" w:csb1="00000000"/>
    <w:embedRegular r:id="rId5" w:fontKey="{D1CB605B-BC08-43B3-A179-8A0327ABDE41}"/>
    <w:embedItalic r:id="rId6" w:fontKey="{9FE834F9-7872-4B9D-9B00-A7706DF032F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E32FB74-0D02-4DC5-8A38-DD107F6660AD}"/>
    <w:embedBold r:id="rId8" w:fontKey="{83C6BBE2-EBFF-4FAF-9324-B1624D0E364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b/>
        <w:color w:val="C45911" w:themeColor="accent2" w:themeShade="BF"/>
      </w:rPr>
      <w:id w:val="-412465419"/>
      <w:docPartObj>
        <w:docPartGallery w:val="Page Numbers (Top of Page)"/>
        <w:docPartUnique/>
      </w:docPartObj>
    </w:sdtPr>
    <w:sdtEndPr>
      <w:rPr>
        <w:color w:val="993366"/>
      </w:rPr>
    </w:sdtEndPr>
    <w:sdtContent>
      <w:p w:rsidR="008A6E0C" w:rsidRPr="008A6E0C" w:rsidRDefault="008A6E0C" w:rsidP="008A6E0C">
        <w:pPr>
          <w:pStyle w:val="Piedepgina"/>
          <w:jc w:val="right"/>
          <w:rPr>
            <w:rFonts w:cs="Tahoma"/>
            <w:b/>
            <w:color w:val="993366"/>
          </w:rPr>
        </w:pPr>
        <w:r w:rsidRPr="000205D9">
          <w:rPr>
            <w:rFonts w:cs="Tahoma"/>
            <w:b/>
            <w:color w:val="993366"/>
          </w:rPr>
          <w:t xml:space="preserve">Página </w:t>
        </w:r>
        <w:r w:rsidRPr="000205D9">
          <w:rPr>
            <w:rFonts w:cs="Tahoma"/>
            <w:b/>
            <w:bCs/>
            <w:color w:val="993366"/>
            <w:sz w:val="24"/>
            <w:szCs w:val="24"/>
          </w:rPr>
          <w:fldChar w:fldCharType="begin"/>
        </w:r>
        <w:r w:rsidRPr="000205D9">
          <w:rPr>
            <w:rFonts w:cs="Tahoma"/>
            <w:b/>
            <w:bCs/>
            <w:color w:val="993366"/>
          </w:rPr>
          <w:instrText>PAGE</w:instrText>
        </w:r>
        <w:r w:rsidRPr="000205D9">
          <w:rPr>
            <w:rFonts w:cs="Tahoma"/>
            <w:b/>
            <w:bCs/>
            <w:color w:val="993366"/>
            <w:sz w:val="24"/>
            <w:szCs w:val="24"/>
          </w:rPr>
          <w:fldChar w:fldCharType="separate"/>
        </w:r>
        <w:r w:rsidR="00F71E46">
          <w:rPr>
            <w:rFonts w:cs="Tahoma"/>
            <w:b/>
            <w:bCs/>
            <w:noProof/>
            <w:color w:val="993366"/>
          </w:rPr>
          <w:t>3</w:t>
        </w:r>
        <w:r w:rsidRPr="000205D9">
          <w:rPr>
            <w:rFonts w:cs="Tahoma"/>
            <w:b/>
            <w:bCs/>
            <w:color w:val="993366"/>
            <w:sz w:val="24"/>
            <w:szCs w:val="24"/>
          </w:rPr>
          <w:fldChar w:fldCharType="end"/>
        </w:r>
        <w:r w:rsidRPr="000205D9">
          <w:rPr>
            <w:rFonts w:cs="Tahoma"/>
            <w:b/>
            <w:color w:val="993366"/>
          </w:rPr>
          <w:t xml:space="preserve"> de </w:t>
        </w:r>
        <w:r w:rsidRPr="000205D9">
          <w:rPr>
            <w:rFonts w:cs="Tahoma"/>
            <w:b/>
            <w:bCs/>
            <w:color w:val="993366"/>
            <w:sz w:val="24"/>
            <w:szCs w:val="24"/>
          </w:rPr>
          <w:fldChar w:fldCharType="begin"/>
        </w:r>
        <w:r w:rsidRPr="000205D9">
          <w:rPr>
            <w:rFonts w:cs="Tahoma"/>
            <w:b/>
            <w:bCs/>
            <w:color w:val="993366"/>
          </w:rPr>
          <w:instrText>NUMPAGES</w:instrText>
        </w:r>
        <w:r w:rsidRPr="000205D9">
          <w:rPr>
            <w:rFonts w:cs="Tahoma"/>
            <w:b/>
            <w:bCs/>
            <w:color w:val="993366"/>
            <w:sz w:val="24"/>
            <w:szCs w:val="24"/>
          </w:rPr>
          <w:fldChar w:fldCharType="separate"/>
        </w:r>
        <w:r w:rsidR="00F71E46">
          <w:rPr>
            <w:rFonts w:cs="Tahoma"/>
            <w:b/>
            <w:bCs/>
            <w:noProof/>
            <w:color w:val="993366"/>
          </w:rPr>
          <w:t>9</w:t>
        </w:r>
        <w:r w:rsidRPr="000205D9">
          <w:rPr>
            <w:rFonts w:cs="Tahoma"/>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CB4" w:rsidRDefault="00C44CB4" w:rsidP="008A6E0C">
      <w:pPr>
        <w:spacing w:before="0" w:after="0" w:line="240" w:lineRule="auto"/>
      </w:pPr>
      <w:r>
        <w:separator/>
      </w:r>
    </w:p>
  </w:footnote>
  <w:footnote w:type="continuationSeparator" w:id="0">
    <w:p w:rsidR="00C44CB4" w:rsidRDefault="00C44CB4" w:rsidP="008A6E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8A6E0C" w:rsidRPr="005E43CB" w:rsidTr="004145B0">
      <w:tc>
        <w:tcPr>
          <w:tcW w:w="1418" w:type="dxa"/>
        </w:tcPr>
        <w:p w:rsidR="008A6E0C" w:rsidRPr="005E43CB" w:rsidRDefault="008A6E0C" w:rsidP="008A6E0C">
          <w:pPr>
            <w:pStyle w:val="Encabezado"/>
            <w:ind w:left="-170"/>
            <w:jc w:val="left"/>
          </w:pPr>
          <w:r w:rsidRPr="005E43CB">
            <w:rPr>
              <w:b/>
              <w:noProof/>
              <w:sz w:val="32"/>
              <w:lang w:eastAsia="es-MX"/>
            </w:rPr>
            <w:drawing>
              <wp:inline distT="0" distB="0" distL="0" distR="0" wp14:anchorId="4C9CBF5A" wp14:editId="3465BEEE">
                <wp:extent cx="1014331" cy="1199403"/>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8A6E0C" w:rsidRPr="00C878C3" w:rsidRDefault="008A6E0C" w:rsidP="008A6E0C">
          <w:pPr>
            <w:pStyle w:val="Encabezado"/>
            <w:spacing w:before="720"/>
            <w:jc w:val="center"/>
            <w:rPr>
              <w:rFonts w:ascii="Arial" w:hAnsi="Arial" w:cs="Arial"/>
              <w:b/>
              <w:bCs/>
              <w:sz w:val="25"/>
              <w:szCs w:val="25"/>
            </w:rPr>
          </w:pPr>
          <w:r w:rsidRPr="00C878C3">
            <w:rPr>
              <w:rFonts w:ascii="Arial" w:hAnsi="Arial" w:cs="Arial"/>
              <w:b/>
              <w:bCs/>
              <w:sz w:val="25"/>
              <w:szCs w:val="25"/>
            </w:rPr>
            <w:t>INSTITUTO ELECTORAL Y DE PARTICIPACIÓN CIUDADANA DE TABASCO</w:t>
          </w:r>
        </w:p>
        <w:p w:rsidR="008A6E0C" w:rsidRPr="005E43CB" w:rsidRDefault="008A6E0C" w:rsidP="008A6E0C">
          <w:pPr>
            <w:pStyle w:val="Encabezado"/>
            <w:jc w:val="center"/>
            <w:rPr>
              <w:sz w:val="25"/>
              <w:szCs w:val="25"/>
            </w:rPr>
          </w:pPr>
          <w:r w:rsidRPr="00C878C3">
            <w:rPr>
              <w:rFonts w:ascii="Arial" w:hAnsi="Arial" w:cs="Arial"/>
              <w:sz w:val="25"/>
              <w:szCs w:val="25"/>
            </w:rPr>
            <w:t>JUNTA ESTATAL EJECUTIVA</w:t>
          </w:r>
        </w:p>
      </w:tc>
      <w:tc>
        <w:tcPr>
          <w:tcW w:w="1843" w:type="dxa"/>
        </w:tcPr>
        <w:p w:rsidR="008A6E0C" w:rsidRPr="005E43CB" w:rsidRDefault="008A6E0C" w:rsidP="008A6E0C">
          <w:pPr>
            <w:pStyle w:val="Encabezado"/>
            <w:spacing w:before="480"/>
          </w:pPr>
          <w:r>
            <w:rPr>
              <w:noProof/>
              <w:lang w:eastAsia="es-MX"/>
            </w:rPr>
            <w:drawing>
              <wp:inline distT="0" distB="0" distL="0" distR="0" wp14:anchorId="3E5A8521" wp14:editId="31B22692">
                <wp:extent cx="942975" cy="774065"/>
                <wp:effectExtent l="0" t="0" r="952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8A6E0C" w:rsidRPr="00C878C3" w:rsidRDefault="00C878C3" w:rsidP="00C878C3">
    <w:pPr>
      <w:pStyle w:val="Encabezado"/>
      <w:jc w:val="right"/>
      <w:rPr>
        <w:rFonts w:ascii="Arial" w:hAnsi="Arial" w:cs="Arial"/>
        <w:b/>
        <w:sz w:val="24"/>
        <w:szCs w:val="24"/>
      </w:rPr>
    </w:pPr>
    <w:r w:rsidRPr="00C878C3">
      <w:rPr>
        <w:rFonts w:ascii="Arial" w:hAnsi="Arial" w:cs="Arial"/>
        <w:b/>
        <w:sz w:val="24"/>
        <w:szCs w:val="24"/>
      </w:rPr>
      <w:t>JEE/2024/022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78CB"/>
    <w:multiLevelType w:val="hybridMultilevel"/>
    <w:tmpl w:val="2416A5B4"/>
    <w:lvl w:ilvl="0" w:tplc="C004E9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E3E3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9365"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A70275"/>
    <w:multiLevelType w:val="hybridMultilevel"/>
    <w:tmpl w:val="123A928A"/>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E0B"/>
    <w:rsid w:val="001C06A7"/>
    <w:rsid w:val="001F4988"/>
    <w:rsid w:val="005112B0"/>
    <w:rsid w:val="00615A51"/>
    <w:rsid w:val="0072797F"/>
    <w:rsid w:val="00736E0B"/>
    <w:rsid w:val="00763981"/>
    <w:rsid w:val="008A6E0C"/>
    <w:rsid w:val="00BD2143"/>
    <w:rsid w:val="00C34443"/>
    <w:rsid w:val="00C44CB4"/>
    <w:rsid w:val="00C53439"/>
    <w:rsid w:val="00C878C3"/>
    <w:rsid w:val="00C879AE"/>
    <w:rsid w:val="00CF06C0"/>
    <w:rsid w:val="00D02A1F"/>
    <w:rsid w:val="00D36B24"/>
    <w:rsid w:val="00F71E46"/>
    <w:rsid w:val="00FE3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AAB4A"/>
  <w15:chartTrackingRefBased/>
  <w15:docId w15:val="{A4BC8F96-F0F1-4CB1-86BA-206D0ED4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E0B"/>
    <w:pPr>
      <w:spacing w:before="240" w:after="240" w:line="300" w:lineRule="auto"/>
      <w:jc w:val="both"/>
    </w:pPr>
    <w:rPr>
      <w:rFonts w:ascii="Exo" w:hAnsi="Exo"/>
      <w:sz w:val="23"/>
      <w:szCs w:val="23"/>
    </w:rPr>
  </w:style>
  <w:style w:type="paragraph" w:styleId="Ttulo1">
    <w:name w:val="heading 1"/>
    <w:basedOn w:val="Normal"/>
    <w:next w:val="Normal"/>
    <w:link w:val="Ttulo1Car"/>
    <w:uiPriority w:val="9"/>
    <w:qFormat/>
    <w:rsid w:val="00736E0B"/>
    <w:pPr>
      <w:numPr>
        <w:numId w:val="3"/>
      </w:numPr>
      <w:spacing w:before="480" w:line="276" w:lineRule="auto"/>
      <w:jc w:val="center"/>
      <w:outlineLvl w:val="0"/>
    </w:pPr>
    <w:rPr>
      <w:b/>
      <w:sz w:val="28"/>
      <w:lang w:val="es-ES"/>
    </w:rPr>
  </w:style>
  <w:style w:type="paragraph" w:styleId="Ttulo2">
    <w:name w:val="heading 2"/>
    <w:basedOn w:val="Normal"/>
    <w:next w:val="Normal"/>
    <w:link w:val="Ttulo2Car"/>
    <w:uiPriority w:val="9"/>
    <w:unhideWhenUsed/>
    <w:qFormat/>
    <w:rsid w:val="00736E0B"/>
    <w:pPr>
      <w:numPr>
        <w:ilvl w:val="1"/>
        <w:numId w:val="3"/>
      </w:numPr>
      <w:spacing w:before="480" w:line="276" w:lineRule="auto"/>
      <w:ind w:left="576"/>
      <w:outlineLvl w:val="1"/>
    </w:pPr>
    <w:rPr>
      <w:b/>
      <w:sz w:val="24"/>
      <w:lang w:val="es-ES"/>
    </w:rPr>
  </w:style>
  <w:style w:type="paragraph" w:styleId="Ttulo3">
    <w:name w:val="heading 3"/>
    <w:basedOn w:val="Normal"/>
    <w:next w:val="Normal"/>
    <w:link w:val="Ttulo3Car"/>
    <w:uiPriority w:val="9"/>
    <w:semiHidden/>
    <w:unhideWhenUsed/>
    <w:qFormat/>
    <w:rsid w:val="00736E0B"/>
    <w:pPr>
      <w:keepNext/>
      <w:keepLines/>
      <w:numPr>
        <w:ilvl w:val="2"/>
        <w:numId w:val="3"/>
      </w:numPr>
      <w:spacing w:before="40" w:after="0" w:line="276" w:lineRule="auto"/>
      <w:outlineLvl w:val="2"/>
    </w:pPr>
    <w:rPr>
      <w:rFonts w:asciiTheme="majorHAnsi" w:eastAsiaTheme="majorEastAsia" w:hAnsiTheme="majorHAnsi" w:cstheme="majorBidi"/>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736E0B"/>
    <w:pPr>
      <w:keepNext/>
      <w:keepLines/>
      <w:numPr>
        <w:ilvl w:val="3"/>
        <w:numId w:val="3"/>
      </w:numPr>
      <w:spacing w:before="40" w:after="0" w:line="276" w:lineRule="auto"/>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736E0B"/>
    <w:pPr>
      <w:keepNext/>
      <w:keepLines/>
      <w:numPr>
        <w:ilvl w:val="4"/>
        <w:numId w:val="3"/>
      </w:numPr>
      <w:spacing w:before="40" w:after="0" w:line="276" w:lineRule="auto"/>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736E0B"/>
    <w:pPr>
      <w:keepNext/>
      <w:keepLines/>
      <w:numPr>
        <w:ilvl w:val="5"/>
        <w:numId w:val="3"/>
      </w:numPr>
      <w:spacing w:before="40" w:after="0" w:line="276" w:lineRule="auto"/>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736E0B"/>
    <w:pPr>
      <w:keepNext/>
      <w:keepLines/>
      <w:numPr>
        <w:ilvl w:val="6"/>
        <w:numId w:val="3"/>
      </w:numPr>
      <w:spacing w:before="40" w:after="0" w:line="276" w:lineRule="auto"/>
      <w:outlineLvl w:val="6"/>
    </w:pPr>
    <w:rPr>
      <w:rFonts w:asciiTheme="majorHAnsi" w:eastAsiaTheme="majorEastAsia" w:hAnsiTheme="majorHAnsi" w:cstheme="majorBidi"/>
      <w:i/>
      <w:iCs/>
      <w:color w:val="1F4D78" w:themeColor="accent1" w:themeShade="7F"/>
      <w:lang w:val="es-ES"/>
    </w:rPr>
  </w:style>
  <w:style w:type="paragraph" w:styleId="Ttulo8">
    <w:name w:val="heading 8"/>
    <w:basedOn w:val="Normal"/>
    <w:next w:val="Normal"/>
    <w:link w:val="Ttulo8Car"/>
    <w:uiPriority w:val="9"/>
    <w:semiHidden/>
    <w:unhideWhenUsed/>
    <w:qFormat/>
    <w:rsid w:val="00736E0B"/>
    <w:pPr>
      <w:keepNext/>
      <w:keepLines/>
      <w:numPr>
        <w:ilvl w:val="7"/>
        <w:numId w:val="3"/>
      </w:numPr>
      <w:spacing w:before="40" w:after="0" w:line="276" w:lineRule="auto"/>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736E0B"/>
    <w:pPr>
      <w:keepNext/>
      <w:keepLines/>
      <w:numPr>
        <w:ilvl w:val="8"/>
        <w:numId w:val="3"/>
      </w:numPr>
      <w:spacing w:before="40" w:after="0" w:line="276" w:lineRule="auto"/>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6E0B"/>
    <w:rPr>
      <w:rFonts w:ascii="Exo" w:hAnsi="Exo"/>
      <w:b/>
      <w:sz w:val="28"/>
      <w:szCs w:val="23"/>
      <w:lang w:val="es-ES"/>
    </w:rPr>
  </w:style>
  <w:style w:type="character" w:customStyle="1" w:styleId="Ttulo2Car">
    <w:name w:val="Título 2 Car"/>
    <w:basedOn w:val="Fuentedeprrafopredeter"/>
    <w:link w:val="Ttulo2"/>
    <w:uiPriority w:val="9"/>
    <w:rsid w:val="00736E0B"/>
    <w:rPr>
      <w:rFonts w:ascii="Exo" w:hAnsi="Exo"/>
      <w:b/>
      <w:sz w:val="24"/>
      <w:szCs w:val="23"/>
      <w:lang w:val="es-ES"/>
    </w:rPr>
  </w:style>
  <w:style w:type="character" w:customStyle="1" w:styleId="Ttulo3Car">
    <w:name w:val="Título 3 Car"/>
    <w:basedOn w:val="Fuentedeprrafopredeter"/>
    <w:link w:val="Ttulo3"/>
    <w:uiPriority w:val="9"/>
    <w:semiHidden/>
    <w:rsid w:val="00736E0B"/>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736E0B"/>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736E0B"/>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736E0B"/>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736E0B"/>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736E0B"/>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36E0B"/>
    <w:rPr>
      <w:rFonts w:asciiTheme="majorHAnsi" w:eastAsiaTheme="majorEastAsia" w:hAnsiTheme="majorHAnsi" w:cstheme="majorBidi"/>
      <w:i/>
      <w:iCs/>
      <w:color w:val="272727" w:themeColor="text1" w:themeTint="D8"/>
      <w:sz w:val="21"/>
      <w:szCs w:val="21"/>
      <w:lang w:val="es-ES"/>
    </w:rPr>
  </w:style>
  <w:style w:type="paragraph" w:styleId="Prrafodelista">
    <w:name w:val="List Paragraph"/>
    <w:basedOn w:val="Normal"/>
    <w:uiPriority w:val="34"/>
    <w:qFormat/>
    <w:rsid w:val="00736E0B"/>
    <w:pPr>
      <w:spacing w:line="276" w:lineRule="auto"/>
      <w:ind w:left="720"/>
      <w:contextualSpacing/>
    </w:pPr>
    <w:rPr>
      <w:lang w:val="es-ES"/>
    </w:rPr>
  </w:style>
  <w:style w:type="table" w:styleId="Tablaconcuadrcula">
    <w:name w:val="Table Grid"/>
    <w:basedOn w:val="Tablanormal"/>
    <w:uiPriority w:val="39"/>
    <w:rsid w:val="001F4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6E0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A6E0C"/>
    <w:rPr>
      <w:rFonts w:ascii="Exo" w:hAnsi="Exo"/>
      <w:sz w:val="23"/>
      <w:szCs w:val="23"/>
    </w:rPr>
  </w:style>
  <w:style w:type="paragraph" w:styleId="Piedepgina">
    <w:name w:val="footer"/>
    <w:basedOn w:val="Normal"/>
    <w:link w:val="PiedepginaCar"/>
    <w:uiPriority w:val="99"/>
    <w:unhideWhenUsed/>
    <w:rsid w:val="008A6E0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A6E0C"/>
    <w:rPr>
      <w:rFonts w:ascii="Exo" w:hAnsi="Exo"/>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2411</Words>
  <Characters>13266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8</cp:revision>
  <dcterms:created xsi:type="dcterms:W3CDTF">2024-08-14T19:02:00Z</dcterms:created>
  <dcterms:modified xsi:type="dcterms:W3CDTF">2024-08-15T16:03:00Z</dcterms:modified>
</cp:coreProperties>
</file>