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C93" w:rsidRPr="007E11CF" w:rsidRDefault="00BF3553" w:rsidP="002F293B">
      <w:pPr>
        <w:rPr>
          <w:rFonts w:ascii="Arial" w:hAnsi="Arial" w:cs="Arial"/>
          <w:b/>
        </w:rPr>
      </w:pPr>
      <w:r>
        <w:rPr>
          <w:rFonts w:ascii="Arial" w:hAnsi="Arial" w:cs="Arial"/>
          <w:b/>
        </w:rPr>
        <w:t xml:space="preserve"> </w:t>
      </w:r>
      <w:bookmarkStart w:id="0" w:name="_GoBack"/>
      <w:bookmarkEnd w:id="0"/>
      <w:r w:rsidR="007E11CF" w:rsidRPr="007E11CF">
        <w:rPr>
          <w:rFonts w:ascii="Arial" w:hAnsi="Arial" w:cs="Arial"/>
          <w:b/>
        </w:rPr>
        <w:t>ACUERDO QUE EMITE LA JUNTA ESTATAL EJECUTIVA DEL INSTITUTO ELECTORAL Y DE PARTICIPACIÓN CIUDADANA DE TABASCO, MEDIANTE EL CUAL APRUEBA EL CLASIFICADOR POR OBJETO DEL GASTO DEL PROPIO INSTITUTO</w:t>
      </w:r>
    </w:p>
    <w:p w:rsidR="00E56DA5" w:rsidRPr="007E11CF" w:rsidRDefault="00E56DA5" w:rsidP="00E56DA5">
      <w:pPr>
        <w:rPr>
          <w:rFonts w:ascii="Arial" w:hAnsi="Arial" w:cs="Arial"/>
        </w:rPr>
      </w:pPr>
      <w:r w:rsidRPr="007E11CF">
        <w:rPr>
          <w:rFonts w:ascii="Arial" w:hAnsi="Arial" w:cs="Arial"/>
        </w:rPr>
        <w:t>Para efectos del presente acuerdo se usarán las abreviaturas y definiciones siguientes:</w:t>
      </w:r>
    </w:p>
    <w:tbl>
      <w:tblPr>
        <w:tblStyle w:val="Tablaconcuadrcula"/>
        <w:tblW w:w="0" w:type="auto"/>
        <w:tblInd w:w="988" w:type="dxa"/>
        <w:tblBorders>
          <w:top w:val="single" w:sz="4" w:space="0" w:color="993366"/>
          <w:left w:val="single" w:sz="4" w:space="0" w:color="993366"/>
          <w:bottom w:val="single" w:sz="4" w:space="0" w:color="993366"/>
          <w:right w:val="single" w:sz="4" w:space="0" w:color="993366"/>
          <w:insideH w:val="single" w:sz="4" w:space="0" w:color="993366"/>
          <w:insideV w:val="single" w:sz="4" w:space="0" w:color="993366"/>
        </w:tblBorders>
        <w:tblLook w:val="04A0" w:firstRow="1" w:lastRow="0" w:firstColumn="1" w:lastColumn="0" w:noHBand="0" w:noVBand="1"/>
      </w:tblPr>
      <w:tblGrid>
        <w:gridCol w:w="2664"/>
        <w:gridCol w:w="3998"/>
      </w:tblGrid>
      <w:tr w:rsidR="00E56DA5" w:rsidRPr="007E11CF" w:rsidTr="00546725">
        <w:tc>
          <w:tcPr>
            <w:tcW w:w="2664" w:type="dxa"/>
            <w:vAlign w:val="center"/>
          </w:tcPr>
          <w:p w:rsidR="00E56DA5" w:rsidRPr="007E11CF" w:rsidRDefault="00E56DA5" w:rsidP="00546725">
            <w:pPr>
              <w:spacing w:before="60" w:after="60"/>
              <w:jc w:val="right"/>
              <w:rPr>
                <w:rFonts w:ascii="Arial" w:hAnsi="Arial" w:cs="Arial"/>
                <w:b/>
                <w:sz w:val="20"/>
                <w:szCs w:val="20"/>
              </w:rPr>
            </w:pPr>
            <w:r w:rsidRPr="007E11CF">
              <w:rPr>
                <w:rFonts w:ascii="Arial" w:hAnsi="Arial" w:cs="Arial"/>
                <w:b/>
                <w:sz w:val="20"/>
                <w:szCs w:val="20"/>
              </w:rPr>
              <w:t>Consejo Estatal:</w:t>
            </w:r>
          </w:p>
        </w:tc>
        <w:tc>
          <w:tcPr>
            <w:tcW w:w="3998" w:type="dxa"/>
            <w:vAlign w:val="center"/>
          </w:tcPr>
          <w:p w:rsidR="00E56DA5" w:rsidRPr="007E11CF" w:rsidRDefault="00E56DA5" w:rsidP="00546725">
            <w:pPr>
              <w:spacing w:before="60" w:after="60"/>
              <w:ind w:left="113" w:right="113"/>
              <w:rPr>
                <w:rFonts w:ascii="Arial" w:hAnsi="Arial" w:cs="Arial"/>
                <w:sz w:val="20"/>
                <w:szCs w:val="20"/>
              </w:rPr>
            </w:pPr>
            <w:r w:rsidRPr="007E11CF">
              <w:rPr>
                <w:rFonts w:ascii="Arial" w:hAnsi="Arial" w:cs="Arial"/>
                <w:sz w:val="20"/>
                <w:szCs w:val="20"/>
              </w:rPr>
              <w:t>Consejo Estatal del Instituto Electoral y de Participación Ciudadana de Tabasco.</w:t>
            </w:r>
          </w:p>
        </w:tc>
      </w:tr>
      <w:tr w:rsidR="00E56DA5" w:rsidRPr="007E11CF" w:rsidTr="00546725">
        <w:tc>
          <w:tcPr>
            <w:tcW w:w="2664" w:type="dxa"/>
            <w:vAlign w:val="center"/>
          </w:tcPr>
          <w:p w:rsidR="00E56DA5" w:rsidRPr="007E11CF" w:rsidRDefault="00E56DA5" w:rsidP="00546725">
            <w:pPr>
              <w:spacing w:before="60" w:after="60"/>
              <w:jc w:val="right"/>
              <w:rPr>
                <w:rFonts w:ascii="Arial" w:hAnsi="Arial" w:cs="Arial"/>
                <w:b/>
                <w:sz w:val="20"/>
                <w:szCs w:val="20"/>
              </w:rPr>
            </w:pPr>
            <w:r w:rsidRPr="007E11CF">
              <w:rPr>
                <w:rFonts w:ascii="Arial" w:hAnsi="Arial" w:cs="Arial"/>
                <w:b/>
                <w:sz w:val="20"/>
                <w:szCs w:val="20"/>
              </w:rPr>
              <w:t>Constitución Federal:</w:t>
            </w:r>
          </w:p>
        </w:tc>
        <w:tc>
          <w:tcPr>
            <w:tcW w:w="3998" w:type="dxa"/>
            <w:vAlign w:val="center"/>
          </w:tcPr>
          <w:p w:rsidR="00E56DA5" w:rsidRPr="007E11CF" w:rsidRDefault="00E56DA5" w:rsidP="00546725">
            <w:pPr>
              <w:spacing w:before="60" w:after="60"/>
              <w:ind w:left="113" w:right="113"/>
              <w:rPr>
                <w:rFonts w:ascii="Arial" w:hAnsi="Arial" w:cs="Arial"/>
                <w:sz w:val="20"/>
                <w:szCs w:val="20"/>
              </w:rPr>
            </w:pPr>
            <w:r w:rsidRPr="007E11CF">
              <w:rPr>
                <w:rFonts w:ascii="Arial" w:hAnsi="Arial" w:cs="Arial"/>
                <w:sz w:val="20"/>
                <w:szCs w:val="20"/>
              </w:rPr>
              <w:t>Constitución Política de los Estados Unidos Mexicanos.</w:t>
            </w:r>
          </w:p>
        </w:tc>
      </w:tr>
      <w:tr w:rsidR="00E56DA5" w:rsidRPr="007E11CF" w:rsidTr="00546725">
        <w:tc>
          <w:tcPr>
            <w:tcW w:w="2664" w:type="dxa"/>
            <w:vAlign w:val="center"/>
          </w:tcPr>
          <w:p w:rsidR="00E56DA5" w:rsidRPr="007E11CF" w:rsidRDefault="00E56DA5" w:rsidP="00546725">
            <w:pPr>
              <w:spacing w:before="60" w:after="60"/>
              <w:jc w:val="right"/>
              <w:rPr>
                <w:rFonts w:ascii="Arial" w:hAnsi="Arial" w:cs="Arial"/>
                <w:b/>
                <w:sz w:val="20"/>
                <w:szCs w:val="20"/>
              </w:rPr>
            </w:pPr>
            <w:r w:rsidRPr="007E11CF">
              <w:rPr>
                <w:rFonts w:ascii="Arial" w:hAnsi="Arial" w:cs="Arial"/>
                <w:b/>
                <w:sz w:val="20"/>
                <w:szCs w:val="20"/>
              </w:rPr>
              <w:t>Constitución Local:</w:t>
            </w:r>
          </w:p>
        </w:tc>
        <w:tc>
          <w:tcPr>
            <w:tcW w:w="3998" w:type="dxa"/>
            <w:vAlign w:val="center"/>
          </w:tcPr>
          <w:p w:rsidR="00E56DA5" w:rsidRPr="007E11CF" w:rsidRDefault="00E56DA5" w:rsidP="00546725">
            <w:pPr>
              <w:spacing w:before="60" w:after="60"/>
              <w:ind w:left="113" w:right="113"/>
              <w:rPr>
                <w:rFonts w:ascii="Arial" w:hAnsi="Arial" w:cs="Arial"/>
                <w:sz w:val="20"/>
                <w:szCs w:val="20"/>
              </w:rPr>
            </w:pPr>
            <w:r w:rsidRPr="007E11CF">
              <w:rPr>
                <w:rFonts w:ascii="Arial" w:hAnsi="Arial" w:cs="Arial"/>
                <w:sz w:val="20"/>
                <w:szCs w:val="20"/>
              </w:rPr>
              <w:t>Constitución Política del Estado Libre y Soberano de Tabasco.</w:t>
            </w:r>
          </w:p>
        </w:tc>
      </w:tr>
      <w:tr w:rsidR="00E56DA5" w:rsidRPr="007E11CF" w:rsidTr="00546725">
        <w:tc>
          <w:tcPr>
            <w:tcW w:w="2664" w:type="dxa"/>
            <w:vAlign w:val="center"/>
          </w:tcPr>
          <w:p w:rsidR="00E56DA5" w:rsidRPr="007E11CF" w:rsidRDefault="00E56DA5" w:rsidP="00546725">
            <w:pPr>
              <w:spacing w:before="60" w:after="60"/>
              <w:jc w:val="right"/>
              <w:rPr>
                <w:rFonts w:ascii="Arial" w:hAnsi="Arial" w:cs="Arial"/>
                <w:b/>
                <w:sz w:val="20"/>
                <w:szCs w:val="20"/>
              </w:rPr>
            </w:pPr>
            <w:r w:rsidRPr="007E11CF">
              <w:rPr>
                <w:rFonts w:ascii="Arial" w:hAnsi="Arial" w:cs="Arial"/>
                <w:b/>
                <w:sz w:val="20"/>
                <w:szCs w:val="20"/>
              </w:rPr>
              <w:t>Instituto:</w:t>
            </w:r>
          </w:p>
        </w:tc>
        <w:tc>
          <w:tcPr>
            <w:tcW w:w="3998" w:type="dxa"/>
            <w:vAlign w:val="center"/>
          </w:tcPr>
          <w:p w:rsidR="00E56DA5" w:rsidRPr="007E11CF" w:rsidRDefault="00E56DA5" w:rsidP="00546725">
            <w:pPr>
              <w:spacing w:before="60" w:after="60"/>
              <w:ind w:left="113" w:right="113"/>
              <w:rPr>
                <w:rFonts w:ascii="Arial" w:hAnsi="Arial" w:cs="Arial"/>
                <w:sz w:val="20"/>
                <w:szCs w:val="20"/>
              </w:rPr>
            </w:pPr>
            <w:r w:rsidRPr="007E11CF">
              <w:rPr>
                <w:rFonts w:ascii="Arial" w:hAnsi="Arial" w:cs="Arial"/>
                <w:sz w:val="20"/>
                <w:szCs w:val="20"/>
              </w:rPr>
              <w:t>Instituto Electoral y de Participación Ciudadana de Tabasco.</w:t>
            </w:r>
          </w:p>
        </w:tc>
      </w:tr>
      <w:tr w:rsidR="00E56DA5" w:rsidRPr="007E11CF" w:rsidTr="00546725">
        <w:tc>
          <w:tcPr>
            <w:tcW w:w="2664" w:type="dxa"/>
            <w:vAlign w:val="center"/>
          </w:tcPr>
          <w:p w:rsidR="00E56DA5" w:rsidRPr="007E11CF" w:rsidRDefault="00E56DA5" w:rsidP="00546725">
            <w:pPr>
              <w:spacing w:before="60" w:after="60"/>
              <w:jc w:val="right"/>
              <w:rPr>
                <w:rFonts w:ascii="Arial" w:hAnsi="Arial" w:cs="Arial"/>
                <w:b/>
                <w:sz w:val="20"/>
                <w:szCs w:val="20"/>
              </w:rPr>
            </w:pPr>
            <w:r w:rsidRPr="007E11CF">
              <w:rPr>
                <w:rFonts w:ascii="Arial" w:hAnsi="Arial" w:cs="Arial"/>
                <w:b/>
                <w:sz w:val="20"/>
                <w:szCs w:val="20"/>
              </w:rPr>
              <w:t>Junta Ejecutiva:</w:t>
            </w:r>
          </w:p>
        </w:tc>
        <w:tc>
          <w:tcPr>
            <w:tcW w:w="3998" w:type="dxa"/>
            <w:vAlign w:val="center"/>
          </w:tcPr>
          <w:p w:rsidR="00E56DA5" w:rsidRPr="007E11CF" w:rsidRDefault="00E56DA5" w:rsidP="00546725">
            <w:pPr>
              <w:spacing w:before="60" w:after="60"/>
              <w:ind w:left="113" w:right="113"/>
              <w:rPr>
                <w:rFonts w:ascii="Arial" w:hAnsi="Arial" w:cs="Arial"/>
                <w:sz w:val="20"/>
                <w:szCs w:val="20"/>
              </w:rPr>
            </w:pPr>
            <w:r w:rsidRPr="007E11CF">
              <w:rPr>
                <w:rFonts w:ascii="Arial" w:hAnsi="Arial" w:cs="Arial"/>
                <w:sz w:val="20"/>
                <w:szCs w:val="20"/>
              </w:rPr>
              <w:t>Junta Estatal Ejecutiva del Instituto Electoral y de Participación Ciudadana de Tabasco.</w:t>
            </w:r>
          </w:p>
        </w:tc>
      </w:tr>
      <w:tr w:rsidR="00E56DA5" w:rsidRPr="007E11CF" w:rsidTr="00546725">
        <w:tc>
          <w:tcPr>
            <w:tcW w:w="2664" w:type="dxa"/>
            <w:vAlign w:val="center"/>
          </w:tcPr>
          <w:p w:rsidR="00E56DA5" w:rsidRPr="007E11CF" w:rsidRDefault="00E56DA5" w:rsidP="00546725">
            <w:pPr>
              <w:spacing w:before="60" w:after="60"/>
              <w:jc w:val="right"/>
              <w:rPr>
                <w:rFonts w:ascii="Arial" w:hAnsi="Arial" w:cs="Arial"/>
                <w:b/>
                <w:sz w:val="20"/>
                <w:szCs w:val="20"/>
              </w:rPr>
            </w:pPr>
            <w:r w:rsidRPr="007E11CF">
              <w:rPr>
                <w:rFonts w:ascii="Arial" w:hAnsi="Arial" w:cs="Arial"/>
                <w:b/>
                <w:sz w:val="20"/>
                <w:szCs w:val="20"/>
              </w:rPr>
              <w:t>Ley de Contabilidad:</w:t>
            </w:r>
          </w:p>
        </w:tc>
        <w:tc>
          <w:tcPr>
            <w:tcW w:w="3998" w:type="dxa"/>
            <w:vAlign w:val="center"/>
          </w:tcPr>
          <w:p w:rsidR="00E56DA5" w:rsidRPr="007E11CF" w:rsidRDefault="00E56DA5" w:rsidP="00546725">
            <w:pPr>
              <w:spacing w:before="60" w:after="60"/>
              <w:ind w:left="113" w:right="113"/>
              <w:rPr>
                <w:rFonts w:ascii="Arial" w:hAnsi="Arial" w:cs="Arial"/>
                <w:sz w:val="20"/>
                <w:szCs w:val="20"/>
              </w:rPr>
            </w:pPr>
            <w:r w:rsidRPr="007E11CF">
              <w:rPr>
                <w:rFonts w:ascii="Arial" w:hAnsi="Arial" w:cs="Arial"/>
                <w:sz w:val="20"/>
                <w:szCs w:val="20"/>
              </w:rPr>
              <w:t>Ley General de Contabilidad Gubernamental.</w:t>
            </w:r>
          </w:p>
        </w:tc>
      </w:tr>
      <w:tr w:rsidR="00E56DA5" w:rsidRPr="007E11CF" w:rsidTr="00546725">
        <w:tc>
          <w:tcPr>
            <w:tcW w:w="2664" w:type="dxa"/>
            <w:vAlign w:val="center"/>
          </w:tcPr>
          <w:p w:rsidR="00E56DA5" w:rsidRPr="007E11CF" w:rsidRDefault="00E56DA5" w:rsidP="00546725">
            <w:pPr>
              <w:spacing w:before="60" w:after="60"/>
              <w:jc w:val="right"/>
              <w:rPr>
                <w:rFonts w:ascii="Arial" w:hAnsi="Arial" w:cs="Arial"/>
                <w:b/>
                <w:sz w:val="20"/>
                <w:szCs w:val="20"/>
              </w:rPr>
            </w:pPr>
            <w:r w:rsidRPr="007E11CF">
              <w:rPr>
                <w:rFonts w:ascii="Arial" w:hAnsi="Arial" w:cs="Arial"/>
                <w:b/>
                <w:sz w:val="20"/>
                <w:szCs w:val="20"/>
              </w:rPr>
              <w:t>Ley Electoral:</w:t>
            </w:r>
          </w:p>
        </w:tc>
        <w:tc>
          <w:tcPr>
            <w:tcW w:w="3998" w:type="dxa"/>
            <w:vAlign w:val="center"/>
          </w:tcPr>
          <w:p w:rsidR="00E56DA5" w:rsidRPr="007E11CF" w:rsidRDefault="00E56DA5" w:rsidP="00546725">
            <w:pPr>
              <w:spacing w:before="60" w:after="60"/>
              <w:ind w:left="113" w:right="113"/>
              <w:rPr>
                <w:rFonts w:ascii="Arial" w:hAnsi="Arial" w:cs="Arial"/>
                <w:sz w:val="20"/>
                <w:szCs w:val="20"/>
              </w:rPr>
            </w:pPr>
            <w:r w:rsidRPr="007E11CF">
              <w:rPr>
                <w:rFonts w:ascii="Arial" w:hAnsi="Arial" w:cs="Arial"/>
                <w:sz w:val="20"/>
                <w:szCs w:val="20"/>
              </w:rPr>
              <w:t>Ley Electoral y de Partidos Políticos del Estado de Tabasco.</w:t>
            </w:r>
          </w:p>
        </w:tc>
      </w:tr>
      <w:tr w:rsidR="00E56DA5" w:rsidRPr="007E11CF" w:rsidTr="00546725">
        <w:tc>
          <w:tcPr>
            <w:tcW w:w="2664" w:type="dxa"/>
            <w:vAlign w:val="center"/>
          </w:tcPr>
          <w:p w:rsidR="00E56DA5" w:rsidRPr="007E11CF" w:rsidRDefault="00E56DA5" w:rsidP="00546725">
            <w:pPr>
              <w:spacing w:before="60" w:after="60"/>
              <w:jc w:val="right"/>
              <w:rPr>
                <w:rFonts w:ascii="Arial" w:hAnsi="Arial" w:cs="Arial"/>
                <w:b/>
                <w:sz w:val="20"/>
                <w:szCs w:val="20"/>
              </w:rPr>
            </w:pPr>
            <w:r w:rsidRPr="007E11CF">
              <w:rPr>
                <w:rFonts w:ascii="Arial" w:hAnsi="Arial" w:cs="Arial"/>
                <w:b/>
                <w:sz w:val="20"/>
                <w:szCs w:val="20"/>
              </w:rPr>
              <w:t>Ley General:</w:t>
            </w:r>
          </w:p>
        </w:tc>
        <w:tc>
          <w:tcPr>
            <w:tcW w:w="3998" w:type="dxa"/>
            <w:vAlign w:val="center"/>
          </w:tcPr>
          <w:p w:rsidR="00E56DA5" w:rsidRPr="007E11CF" w:rsidRDefault="00E56DA5" w:rsidP="00546725">
            <w:pPr>
              <w:spacing w:before="60" w:after="60"/>
              <w:ind w:left="113" w:right="113"/>
              <w:rPr>
                <w:rFonts w:ascii="Arial" w:hAnsi="Arial" w:cs="Arial"/>
                <w:sz w:val="20"/>
                <w:szCs w:val="20"/>
              </w:rPr>
            </w:pPr>
            <w:r w:rsidRPr="007E11CF">
              <w:rPr>
                <w:rFonts w:ascii="Arial" w:hAnsi="Arial" w:cs="Arial"/>
                <w:sz w:val="20"/>
                <w:szCs w:val="20"/>
              </w:rPr>
              <w:t>Ley General de Instituciones y Procedimientos Electorales.</w:t>
            </w:r>
          </w:p>
        </w:tc>
      </w:tr>
    </w:tbl>
    <w:p w:rsidR="00E56DA5" w:rsidRPr="007E11CF" w:rsidRDefault="00E56DA5" w:rsidP="00E56DA5">
      <w:pPr>
        <w:pStyle w:val="Ttulo1"/>
        <w:rPr>
          <w:rFonts w:ascii="Arial" w:hAnsi="Arial" w:cs="Arial"/>
          <w:sz w:val="24"/>
          <w:szCs w:val="24"/>
        </w:rPr>
      </w:pPr>
      <w:r w:rsidRPr="007E11CF">
        <w:rPr>
          <w:rFonts w:ascii="Arial" w:hAnsi="Arial" w:cs="Arial"/>
          <w:sz w:val="24"/>
          <w:szCs w:val="24"/>
        </w:rPr>
        <w:t>Antecedentes</w:t>
      </w:r>
    </w:p>
    <w:p w:rsidR="00E56DA5" w:rsidRPr="007E11CF" w:rsidRDefault="00E56DA5" w:rsidP="00E56DA5">
      <w:pPr>
        <w:pStyle w:val="Ttulo2"/>
        <w:rPr>
          <w:rFonts w:ascii="Arial" w:hAnsi="Arial" w:cs="Arial"/>
        </w:rPr>
      </w:pPr>
      <w:r w:rsidRPr="007E11CF">
        <w:rPr>
          <w:rFonts w:ascii="Arial" w:hAnsi="Arial" w:cs="Arial"/>
        </w:rPr>
        <w:t xml:space="preserve">Ley de Contabilidad </w:t>
      </w:r>
    </w:p>
    <w:p w:rsidR="00E56DA5" w:rsidRPr="007E11CF" w:rsidRDefault="00E56DA5" w:rsidP="00E56DA5">
      <w:pPr>
        <w:rPr>
          <w:rFonts w:ascii="Arial" w:hAnsi="Arial" w:cs="Arial"/>
        </w:rPr>
      </w:pPr>
      <w:r w:rsidRPr="007E11CF">
        <w:rPr>
          <w:rFonts w:ascii="Arial" w:hAnsi="Arial" w:cs="Arial"/>
        </w:rPr>
        <w:t>El 31 de diciembre de 2008, se publicó en el Diario Oficial de la Federación la Ley General de Contabilidad Gubernamental de observancia obligatoria para los órganos autónomos locales, entre otros, y que tiene por objeto establecer los criterios generales que regirán la contabilidad gubernamental y la emisión de información financiera de los entes públicos, con el fin de lograr su adecuada armonización.</w:t>
      </w:r>
    </w:p>
    <w:p w:rsidR="00E56DA5" w:rsidRPr="007E11CF" w:rsidRDefault="00E56DA5" w:rsidP="00E56DA5">
      <w:pPr>
        <w:pStyle w:val="Ttulo2"/>
        <w:rPr>
          <w:rFonts w:ascii="Arial" w:hAnsi="Arial" w:cs="Arial"/>
        </w:rPr>
      </w:pPr>
      <w:r w:rsidRPr="007E11CF">
        <w:rPr>
          <w:rFonts w:ascii="Arial" w:hAnsi="Arial" w:cs="Arial"/>
        </w:rPr>
        <w:lastRenderedPageBreak/>
        <w:t>Aplicación de la contabilidad gubernamental</w:t>
      </w:r>
    </w:p>
    <w:p w:rsidR="00E56DA5" w:rsidRPr="007E11CF" w:rsidRDefault="00E56DA5" w:rsidP="00E56DA5">
      <w:pPr>
        <w:rPr>
          <w:rFonts w:ascii="Arial" w:hAnsi="Arial" w:cs="Arial"/>
        </w:rPr>
      </w:pPr>
      <w:r w:rsidRPr="007E11CF">
        <w:rPr>
          <w:rFonts w:ascii="Arial" w:hAnsi="Arial" w:cs="Arial"/>
        </w:rPr>
        <w:t>De acuerdo con los artículos 2 y 3 de la Ley de Contabilidad, los entes públicos deben aplicar la contabilidad gubernamental para registrar y fiscalizar activos, pasivos, ingresos y gastos, midiendo la eficacia, economía y eficiencia del gasto e ingresos públicos. Además, deben seguir las mejores prácticas contables nacionales e internacionales para apoyar la planificación financiera, control de recursos, análisis y fiscalización.</w:t>
      </w:r>
    </w:p>
    <w:p w:rsidR="00E56DA5" w:rsidRPr="007E11CF" w:rsidRDefault="00E56DA5" w:rsidP="00E56DA5">
      <w:pPr>
        <w:pStyle w:val="Ttulo1"/>
        <w:rPr>
          <w:rFonts w:ascii="Arial" w:hAnsi="Arial" w:cs="Arial"/>
          <w:sz w:val="24"/>
          <w:szCs w:val="24"/>
        </w:rPr>
      </w:pPr>
      <w:r w:rsidRPr="007E11CF">
        <w:rPr>
          <w:rFonts w:ascii="Arial" w:hAnsi="Arial" w:cs="Arial"/>
          <w:sz w:val="24"/>
          <w:szCs w:val="24"/>
        </w:rPr>
        <w:t>Considerando</w:t>
      </w:r>
    </w:p>
    <w:p w:rsidR="00E56DA5" w:rsidRPr="007E11CF" w:rsidRDefault="00E56DA5" w:rsidP="00E56DA5">
      <w:pPr>
        <w:pStyle w:val="Ttulo2"/>
        <w:rPr>
          <w:rFonts w:ascii="Arial" w:hAnsi="Arial" w:cs="Arial"/>
        </w:rPr>
      </w:pPr>
      <w:r w:rsidRPr="007E11CF">
        <w:rPr>
          <w:rFonts w:ascii="Arial" w:hAnsi="Arial" w:cs="Arial"/>
        </w:rPr>
        <w:t xml:space="preserve">Fines del Instituto </w:t>
      </w:r>
    </w:p>
    <w:p w:rsidR="00E56DA5" w:rsidRPr="007E11CF" w:rsidRDefault="00E56DA5" w:rsidP="00E56DA5">
      <w:pPr>
        <w:rPr>
          <w:rFonts w:ascii="Arial" w:hAnsi="Arial" w:cs="Arial"/>
        </w:rPr>
      </w:pPr>
      <w:r w:rsidRPr="007E11CF">
        <w:rPr>
          <w:rFonts w:ascii="Arial" w:hAnsi="Arial" w:cs="Arial"/>
        </w:rPr>
        <w:t>Que, los artículos 9, apartado C, fracción I, de la Constitución Local; 3 numeral 3, 100 y 102, de la Ley Electoral, establecen que, el Instituto es el organismo público local de carácter permanente, autónomo en su funcionamiento, independiente en sus decisiones y profesional en su desempeño, dotado de personalidad jurídica y patrimonio propios que se rige por los principios de certeza, legalidad, independencia, inclusión, imparcialidad, máxima publicidad, transparencia, rendición de cuentas, objetividad, paridad, interculturalidad, y las realizarán con perspectiva de género y enfoque de derechos humanos.</w:t>
      </w:r>
    </w:p>
    <w:p w:rsidR="00E56DA5" w:rsidRDefault="00E56DA5" w:rsidP="00E56DA5">
      <w:pPr>
        <w:rPr>
          <w:rFonts w:ascii="Arial" w:hAnsi="Arial" w:cs="Arial"/>
        </w:rPr>
      </w:pPr>
      <w:r w:rsidRPr="007E11CF">
        <w:rPr>
          <w:rFonts w:ascii="Arial" w:hAnsi="Arial" w:cs="Arial"/>
        </w:rPr>
        <w:t>Por su parte, el artículo 101, de la Ley Electoral, establece como finalidades del Instituto Electoral las siguientes: contribuir al desarrollo de la vida pública y democrática en el Estado de Tabasco; preservar el fortalecimiento del régimen de partidos políticos; asegurar a las ciudadanas y ciudadanos el ejercicio de sus derechos políticos electorales y vigilar el cumplimiento de sus obligaciones; garantizar la celebración periódica y pacífica de las elecciones para renovar a los integrantes de los poderes Legislativo, Ejecutivo y los ayuntamientos del Estado; velar por la autenticidad y efectividad del voto; llevar a cabo la promoción del voto y coadyuvar en la difusión de la educación cívica y de la cultura democrática; garantizar la paridad de género y el respeto de los derechos humanos de las mujeres en el ámbito político y electoral; y, organizar o coadyuvar a la realización de los ejercicios de consultas populares y demás formas de participación ciudadana, de conformidad con lo que dispongan las leyes.</w:t>
      </w:r>
    </w:p>
    <w:p w:rsidR="007E11CF" w:rsidRPr="007E11CF" w:rsidRDefault="007E11CF" w:rsidP="00E56DA5">
      <w:pPr>
        <w:rPr>
          <w:rFonts w:ascii="Arial" w:hAnsi="Arial" w:cs="Arial"/>
        </w:rPr>
      </w:pPr>
    </w:p>
    <w:p w:rsidR="00E56DA5" w:rsidRPr="007E11CF" w:rsidRDefault="00E56DA5" w:rsidP="00E56DA5">
      <w:pPr>
        <w:pStyle w:val="Ttulo2"/>
        <w:rPr>
          <w:rFonts w:ascii="Arial" w:hAnsi="Arial" w:cs="Arial"/>
        </w:rPr>
      </w:pPr>
      <w:r w:rsidRPr="007E11CF">
        <w:rPr>
          <w:rFonts w:ascii="Arial" w:hAnsi="Arial" w:cs="Arial"/>
        </w:rPr>
        <w:lastRenderedPageBreak/>
        <w:t xml:space="preserve">Órganos Centrales del Instituto </w:t>
      </w:r>
    </w:p>
    <w:p w:rsidR="00E56DA5" w:rsidRPr="007E11CF" w:rsidRDefault="00E56DA5" w:rsidP="00E56DA5">
      <w:pPr>
        <w:rPr>
          <w:rFonts w:ascii="Arial" w:hAnsi="Arial" w:cs="Arial"/>
        </w:rPr>
      </w:pPr>
      <w:r w:rsidRPr="007E11CF">
        <w:rPr>
          <w:rFonts w:ascii="Arial" w:hAnsi="Arial" w:cs="Arial"/>
        </w:rPr>
        <w:t>Que, el artículo 105, de la Ley Electoral, señala que, son órganos centrales del Instituto los siguientes: I. Consejo Estatal; II. Presidencia del Consejo Estatal; III. Junta Ejecutiva; IV. Secretaría Ejecutiva, y V. Órgano Técnico de Fiscalización.</w:t>
      </w:r>
    </w:p>
    <w:p w:rsidR="00E56DA5" w:rsidRPr="007E11CF" w:rsidRDefault="00E56DA5" w:rsidP="00E56DA5">
      <w:pPr>
        <w:pStyle w:val="Ttulo2"/>
        <w:rPr>
          <w:rFonts w:ascii="Arial" w:hAnsi="Arial" w:cs="Arial"/>
        </w:rPr>
      </w:pPr>
      <w:r w:rsidRPr="007E11CF">
        <w:rPr>
          <w:rFonts w:ascii="Arial" w:hAnsi="Arial" w:cs="Arial"/>
        </w:rPr>
        <w:t>Órgano Superior de Dirección del Instituto</w:t>
      </w:r>
    </w:p>
    <w:p w:rsidR="00E56DA5" w:rsidRPr="007E11CF" w:rsidRDefault="00E56DA5" w:rsidP="00E56DA5">
      <w:pPr>
        <w:rPr>
          <w:rFonts w:ascii="Arial" w:hAnsi="Arial" w:cs="Arial"/>
        </w:rPr>
      </w:pPr>
      <w:r w:rsidRPr="007E11CF">
        <w:rPr>
          <w:rFonts w:ascii="Arial" w:hAnsi="Arial" w:cs="Arial"/>
        </w:rPr>
        <w:t>Que, de acuerdo con lo estipulado en el artículo 106, de la Ley Electoral, el Consejo Estatal es el Órgano Superior de Dirección, responsable de vigilar el cumplimiento de las disposiciones constitucionales y legales en materia electoral, así como de velar porque los principios de certeza, legalidad, independencia, máxima publicidad, imparcialidad, objetividad y paridad de género, guíen todas las actividades del Instituto.</w:t>
      </w:r>
    </w:p>
    <w:p w:rsidR="00E56DA5" w:rsidRPr="007E11CF" w:rsidRDefault="00E56DA5" w:rsidP="00E56DA5">
      <w:pPr>
        <w:pStyle w:val="Ttulo2"/>
        <w:rPr>
          <w:rFonts w:ascii="Arial" w:hAnsi="Arial" w:cs="Arial"/>
        </w:rPr>
      </w:pPr>
      <w:r w:rsidRPr="007E11CF">
        <w:rPr>
          <w:rFonts w:ascii="Arial" w:hAnsi="Arial" w:cs="Arial"/>
        </w:rPr>
        <w:t>Integración del Órgano de Dirección Superior</w:t>
      </w:r>
    </w:p>
    <w:p w:rsidR="00E56DA5" w:rsidRPr="007E11CF" w:rsidRDefault="00E56DA5" w:rsidP="00E56DA5">
      <w:pPr>
        <w:rPr>
          <w:rFonts w:ascii="Arial" w:hAnsi="Arial" w:cs="Arial"/>
        </w:rPr>
      </w:pPr>
      <w:r w:rsidRPr="007E11CF">
        <w:rPr>
          <w:rFonts w:ascii="Arial" w:hAnsi="Arial" w:cs="Arial"/>
        </w:rPr>
        <w:t>Que, de conformidad con los artículos 99, de la Ley General y 107, numeral 1, de la Ley Electoral, el Consejo Estatal se integrará por una Consejera o un Consejero Presidente y seis consejeras y consejeros electorales, con voz y voto; la Secretaria o el Secretario Ejecutivo y una o un representante por cada partido político con registro nacional o estatal, quienes concurrirán a las sesiones sólo con derecho a voz.</w:t>
      </w:r>
    </w:p>
    <w:p w:rsidR="00E56DA5" w:rsidRPr="007E11CF" w:rsidRDefault="00E56DA5" w:rsidP="00E56DA5">
      <w:pPr>
        <w:pStyle w:val="Ttulo2"/>
        <w:rPr>
          <w:rFonts w:ascii="Arial" w:hAnsi="Arial" w:cs="Arial"/>
        </w:rPr>
      </w:pPr>
      <w:r w:rsidRPr="007E11CF">
        <w:rPr>
          <w:rFonts w:ascii="Arial" w:hAnsi="Arial" w:cs="Arial"/>
        </w:rPr>
        <w:t>Integración de la Junta Ejecutiva</w:t>
      </w:r>
    </w:p>
    <w:p w:rsidR="00E56DA5" w:rsidRPr="007E11CF" w:rsidRDefault="00E56DA5" w:rsidP="00E56DA5">
      <w:pPr>
        <w:rPr>
          <w:rFonts w:ascii="Arial" w:hAnsi="Arial" w:cs="Arial"/>
        </w:rPr>
      </w:pPr>
      <w:r w:rsidRPr="007E11CF">
        <w:rPr>
          <w:rFonts w:ascii="Arial" w:hAnsi="Arial" w:cs="Arial"/>
        </w:rPr>
        <w:t>Que, el artículo 118, numeral 1, de la Ley Electoral, establece que la Junta Ejecutiva será presidida por la Presidencia del Consejo y se integrará con las personas titulares de la Secretaría Ejecutiva, las Direcciones de Organización Electoral y Educación Cívica, y, de Administración.</w:t>
      </w:r>
    </w:p>
    <w:p w:rsidR="00E56DA5" w:rsidRPr="007E11CF" w:rsidRDefault="00E56DA5" w:rsidP="00E56DA5">
      <w:pPr>
        <w:rPr>
          <w:rFonts w:ascii="Arial" w:hAnsi="Arial" w:cs="Arial"/>
        </w:rPr>
      </w:pPr>
      <w:r w:rsidRPr="007E11CF">
        <w:rPr>
          <w:rFonts w:ascii="Arial" w:hAnsi="Arial" w:cs="Arial"/>
        </w:rPr>
        <w:t>Asimismo, el numeral 2, del artículo mencionado establece que, las o los titulares del Órgano Técnico de Fiscalización y de la Contraloría General podrán participar en las sesiones de la Junta Ejecutiva, a convocatoria de la Presidencia del Consejo.</w:t>
      </w:r>
    </w:p>
    <w:p w:rsidR="00E56DA5" w:rsidRPr="007E11CF" w:rsidRDefault="00E56DA5" w:rsidP="00E56DA5">
      <w:pPr>
        <w:pStyle w:val="Ttulo2"/>
        <w:rPr>
          <w:rFonts w:ascii="Arial" w:hAnsi="Arial" w:cs="Arial"/>
        </w:rPr>
      </w:pPr>
      <w:r w:rsidRPr="007E11CF">
        <w:rPr>
          <w:rFonts w:ascii="Arial" w:hAnsi="Arial" w:cs="Arial"/>
        </w:rPr>
        <w:t>Competencia de la Junta Ejecutiva</w:t>
      </w:r>
    </w:p>
    <w:p w:rsidR="00E56DA5" w:rsidRPr="007E11CF" w:rsidRDefault="00E56DA5" w:rsidP="00E56DA5">
      <w:pPr>
        <w:rPr>
          <w:rFonts w:ascii="Arial" w:hAnsi="Arial" w:cs="Arial"/>
        </w:rPr>
      </w:pPr>
      <w:r w:rsidRPr="007E11CF">
        <w:rPr>
          <w:rFonts w:ascii="Arial" w:hAnsi="Arial" w:cs="Arial"/>
        </w:rPr>
        <w:t xml:space="preserve">Que, de conformidad con el artículo 119 numeral 1 fracciones II y V de la Ley Electoral, la Junta Ejecutiva se reunirá por lo menos una vez al mes, siendo competente para fijar </w:t>
      </w:r>
      <w:r w:rsidRPr="007E11CF">
        <w:rPr>
          <w:rFonts w:ascii="Arial" w:hAnsi="Arial" w:cs="Arial"/>
        </w:rPr>
        <w:lastRenderedPageBreak/>
        <w:t>los procedimientos administrativos, conforme a las políticas y programas generales; asimismo, para supervisar el cumplimiento de los programas y actividades de las direcciones del Instituto.</w:t>
      </w:r>
    </w:p>
    <w:p w:rsidR="00E56DA5" w:rsidRPr="007E11CF" w:rsidRDefault="00E56DA5" w:rsidP="00E56DA5">
      <w:pPr>
        <w:rPr>
          <w:rFonts w:ascii="Arial" w:hAnsi="Arial" w:cs="Arial"/>
        </w:rPr>
      </w:pPr>
      <w:r w:rsidRPr="007E11CF">
        <w:rPr>
          <w:rFonts w:ascii="Arial" w:hAnsi="Arial" w:cs="Arial"/>
        </w:rPr>
        <w:t>Acorde a lo anterior, de la interpretación sistemática y funcional del numeral 2 del artículo 115 y 22 del Reglamento de Sesiones de la Junta Ejecutiva, para el debido ejercicio de las facultades y atribuciones del Instituto, derivados de caso fortuito o causa de fuerza mayor; o en situaciones de falta o insuficiencia de previsión normativa o reglamentaria, la Junta Ejecutiva podrá dictar los acuerdos necesarios que resulten pertinentes para garantizar el oportuno y adecuado cumplimiento de las funciones que corresponda, siempre en apego a sus facultades y a los principios rectores de la función electoral.</w:t>
      </w:r>
    </w:p>
    <w:p w:rsidR="004C5634" w:rsidRPr="007E11CF" w:rsidRDefault="004C5634" w:rsidP="004C5634">
      <w:pPr>
        <w:pStyle w:val="Ttulo2"/>
        <w:spacing w:line="276" w:lineRule="auto"/>
        <w:rPr>
          <w:rFonts w:ascii="Arial" w:hAnsi="Arial" w:cs="Arial"/>
        </w:rPr>
      </w:pPr>
      <w:r w:rsidRPr="007E11CF">
        <w:rPr>
          <w:rFonts w:ascii="Arial" w:hAnsi="Arial" w:cs="Arial"/>
        </w:rPr>
        <w:t xml:space="preserve">Administración del Instituto </w:t>
      </w:r>
    </w:p>
    <w:p w:rsidR="004C5634" w:rsidRPr="007E11CF" w:rsidRDefault="004C5634" w:rsidP="004C5634">
      <w:pPr>
        <w:rPr>
          <w:rFonts w:ascii="Arial" w:hAnsi="Arial" w:cs="Arial"/>
        </w:rPr>
      </w:pPr>
      <w:r w:rsidRPr="007E11CF">
        <w:rPr>
          <w:rFonts w:ascii="Arial" w:hAnsi="Arial" w:cs="Arial"/>
        </w:rPr>
        <w:t>Que, el artículo 117 numeral 1 de la Ley Electoral establece que, entre otras, la Secretaría Ejecutiva, tiene la atribución de coordinar la Junta Ejecutiva, conducir la administración y supervisar el desarrollo adecuado de las actividades de los órganos ejecutivos y técnicos del Instituto.</w:t>
      </w:r>
    </w:p>
    <w:p w:rsidR="00E56DA5" w:rsidRPr="007E11CF" w:rsidRDefault="00E56DA5" w:rsidP="00E56DA5">
      <w:pPr>
        <w:pStyle w:val="Ttulo2"/>
        <w:rPr>
          <w:rFonts w:ascii="Arial" w:hAnsi="Arial" w:cs="Arial"/>
        </w:rPr>
      </w:pPr>
      <w:r w:rsidRPr="007E11CF">
        <w:rPr>
          <w:rFonts w:ascii="Arial" w:hAnsi="Arial" w:cs="Arial"/>
        </w:rPr>
        <w:t>Administración de los recursos financieros y materiales del Instituto</w:t>
      </w:r>
    </w:p>
    <w:p w:rsidR="00E56DA5" w:rsidRPr="007E11CF" w:rsidRDefault="00E56DA5" w:rsidP="00E56DA5">
      <w:pPr>
        <w:rPr>
          <w:rFonts w:ascii="Arial" w:hAnsi="Arial" w:cs="Arial"/>
        </w:rPr>
      </w:pPr>
      <w:r w:rsidRPr="007E11CF">
        <w:rPr>
          <w:rFonts w:ascii="Arial" w:hAnsi="Arial" w:cs="Arial"/>
        </w:rPr>
        <w:t>Que, conforme al artículo 122 numeral 1 fracción I de la Ley Electoral, corresponde a la Dirección de Administración aplicar las políticas, normas y procedimientos para la administración de los recursos financieros y materiales del Instituto, previo acuerdo de la Junta Ejecutiva.</w:t>
      </w:r>
    </w:p>
    <w:p w:rsidR="004C5634" w:rsidRPr="007E11CF" w:rsidRDefault="004C5634" w:rsidP="004C5634">
      <w:pPr>
        <w:pStyle w:val="Ttulo2"/>
        <w:spacing w:line="276" w:lineRule="auto"/>
        <w:rPr>
          <w:rFonts w:ascii="Arial" w:hAnsi="Arial" w:cs="Arial"/>
        </w:rPr>
      </w:pPr>
      <w:r w:rsidRPr="007E11CF">
        <w:rPr>
          <w:rFonts w:ascii="Arial" w:hAnsi="Arial" w:cs="Arial"/>
        </w:rPr>
        <w:t xml:space="preserve">Autonomía presupuestaria del Instituto </w:t>
      </w:r>
    </w:p>
    <w:p w:rsidR="004C5634" w:rsidRPr="007E11CF" w:rsidRDefault="004C5634" w:rsidP="004C5634">
      <w:pPr>
        <w:rPr>
          <w:rFonts w:ascii="Arial" w:hAnsi="Arial" w:cs="Arial"/>
        </w:rPr>
      </w:pPr>
      <w:r w:rsidRPr="007E11CF">
        <w:rPr>
          <w:rFonts w:ascii="Arial" w:hAnsi="Arial" w:cs="Arial"/>
        </w:rPr>
        <w:t>Que, el artículo 6 de la Ley de Presupuesto y Responsabilidad Hacendaria del Estado de Tabasco y sus Municipios, sostiene que la autonomía presupuestaria otorgada a los órganos autónomos a través de la Constitución Local comprende:</w:t>
      </w:r>
    </w:p>
    <w:p w:rsidR="004C5634" w:rsidRPr="007E11CF" w:rsidRDefault="004C5634" w:rsidP="004C5634">
      <w:pPr>
        <w:pStyle w:val="Prrafodelista"/>
        <w:numPr>
          <w:ilvl w:val="0"/>
          <w:numId w:val="5"/>
        </w:numPr>
        <w:spacing w:line="276" w:lineRule="auto"/>
        <w:ind w:left="357" w:hanging="357"/>
        <w:contextualSpacing w:val="0"/>
        <w:rPr>
          <w:rFonts w:ascii="Arial" w:hAnsi="Arial" w:cs="Arial"/>
        </w:rPr>
      </w:pPr>
      <w:r w:rsidRPr="007E11CF">
        <w:rPr>
          <w:rFonts w:ascii="Arial" w:hAnsi="Arial" w:cs="Arial"/>
        </w:rPr>
        <w:t xml:space="preserve">La aprobación de su proyecto de presupuesto y su remisión a la Secretaría de Finanzas para su integración al proyecto de Presupuesto de Egresos, observando los criterios de política económica y demás disposiciones aplicables; </w:t>
      </w:r>
    </w:p>
    <w:p w:rsidR="004C5634" w:rsidRPr="007E11CF" w:rsidRDefault="004C5634" w:rsidP="004C5634">
      <w:pPr>
        <w:pStyle w:val="Prrafodelista"/>
        <w:numPr>
          <w:ilvl w:val="0"/>
          <w:numId w:val="5"/>
        </w:numPr>
        <w:spacing w:line="276" w:lineRule="auto"/>
        <w:ind w:left="357" w:hanging="357"/>
        <w:contextualSpacing w:val="0"/>
        <w:rPr>
          <w:rFonts w:ascii="Arial" w:hAnsi="Arial" w:cs="Arial"/>
        </w:rPr>
      </w:pPr>
      <w:r w:rsidRPr="007E11CF">
        <w:rPr>
          <w:rFonts w:ascii="Arial" w:hAnsi="Arial" w:cs="Arial"/>
        </w:rPr>
        <w:lastRenderedPageBreak/>
        <w:t xml:space="preserve">Ejercer su presupuesto observando lo dispuesto en dicha Ley, sin sujetarse a las disposiciones generales emitidas por la Secretaría y la Contraloría, el cual deberá realizarse con base en los principios de eficiencia, eficacia y transparencia y estarán sujetos a la normatividad, la evaluación y el control de los órganos correspondientes; </w:t>
      </w:r>
    </w:p>
    <w:p w:rsidR="004C5634" w:rsidRPr="007E11CF" w:rsidRDefault="004C5634" w:rsidP="004C5634">
      <w:pPr>
        <w:pStyle w:val="Prrafodelista"/>
        <w:numPr>
          <w:ilvl w:val="0"/>
          <w:numId w:val="5"/>
        </w:numPr>
        <w:spacing w:line="276" w:lineRule="auto"/>
        <w:ind w:left="357" w:hanging="357"/>
        <w:contextualSpacing w:val="0"/>
        <w:rPr>
          <w:rFonts w:ascii="Arial" w:hAnsi="Arial" w:cs="Arial"/>
        </w:rPr>
      </w:pPr>
      <w:r w:rsidRPr="007E11CF">
        <w:rPr>
          <w:rFonts w:ascii="Arial" w:hAnsi="Arial" w:cs="Arial"/>
        </w:rPr>
        <w:t xml:space="preserve">La autorización de las adecuaciones a sus presupuestos sin requerir la aprobación de la Secretaría de Finanzas, observando las disposiciones de dicha Ley; </w:t>
      </w:r>
    </w:p>
    <w:p w:rsidR="004C5634" w:rsidRPr="007E11CF" w:rsidRDefault="004C5634" w:rsidP="004C5634">
      <w:pPr>
        <w:pStyle w:val="Prrafodelista"/>
        <w:numPr>
          <w:ilvl w:val="0"/>
          <w:numId w:val="5"/>
        </w:numPr>
        <w:spacing w:line="276" w:lineRule="auto"/>
        <w:ind w:left="357" w:hanging="357"/>
        <w:contextualSpacing w:val="0"/>
        <w:rPr>
          <w:rFonts w:ascii="Arial" w:hAnsi="Arial" w:cs="Arial"/>
        </w:rPr>
      </w:pPr>
      <w:r w:rsidRPr="007E11CF">
        <w:rPr>
          <w:rFonts w:ascii="Arial" w:hAnsi="Arial" w:cs="Arial"/>
        </w:rPr>
        <w:t xml:space="preserve">La realización de sus pagos a través de sus respectivas tesorerías o sus equivalentes; </w:t>
      </w:r>
    </w:p>
    <w:p w:rsidR="004C5634" w:rsidRPr="007E11CF" w:rsidRDefault="004C5634" w:rsidP="004C5634">
      <w:pPr>
        <w:pStyle w:val="Prrafodelista"/>
        <w:numPr>
          <w:ilvl w:val="0"/>
          <w:numId w:val="5"/>
        </w:numPr>
        <w:spacing w:line="276" w:lineRule="auto"/>
        <w:ind w:left="357" w:hanging="357"/>
        <w:contextualSpacing w:val="0"/>
        <w:rPr>
          <w:rFonts w:ascii="Arial" w:hAnsi="Arial" w:cs="Arial"/>
        </w:rPr>
      </w:pPr>
      <w:r w:rsidRPr="007E11CF">
        <w:rPr>
          <w:rFonts w:ascii="Arial" w:hAnsi="Arial" w:cs="Arial"/>
        </w:rPr>
        <w:t>La determinación de los ajustes que correspondan en sus presupuestos en caso de disminución de ingresos, observando, en lo conducente, lo dispuesto en el artículo 18 de la Ley mencionada; y</w:t>
      </w:r>
    </w:p>
    <w:p w:rsidR="004C5634" w:rsidRPr="007E11CF" w:rsidRDefault="004C5634" w:rsidP="004C5634">
      <w:pPr>
        <w:pStyle w:val="Prrafodelista"/>
        <w:numPr>
          <w:ilvl w:val="0"/>
          <w:numId w:val="5"/>
        </w:numPr>
        <w:spacing w:line="276" w:lineRule="auto"/>
        <w:ind w:left="357" w:hanging="357"/>
        <w:contextualSpacing w:val="0"/>
        <w:rPr>
          <w:rFonts w:ascii="Arial" w:hAnsi="Arial" w:cs="Arial"/>
        </w:rPr>
      </w:pPr>
      <w:r w:rsidRPr="007E11CF">
        <w:rPr>
          <w:rFonts w:ascii="Arial" w:hAnsi="Arial" w:cs="Arial"/>
        </w:rPr>
        <w:t>Llevar la contabilidad y elaborar sus informes conforme a lo previsto en dicha Ley, así como enviarlos a la Secretaría de Finanzas para su integración a los informes trimestrales y a la cuenta pública.</w:t>
      </w:r>
    </w:p>
    <w:p w:rsidR="00C67820" w:rsidRPr="007E11CF" w:rsidRDefault="00C67820" w:rsidP="00C67820">
      <w:pPr>
        <w:pStyle w:val="Ttulo2"/>
        <w:rPr>
          <w:rFonts w:ascii="Arial" w:hAnsi="Arial" w:cs="Arial"/>
        </w:rPr>
      </w:pPr>
      <w:r w:rsidRPr="007E11CF">
        <w:rPr>
          <w:rFonts w:ascii="Arial" w:hAnsi="Arial" w:cs="Arial"/>
        </w:rPr>
        <w:t>Sistema de contabilidad gubernamental</w:t>
      </w:r>
    </w:p>
    <w:p w:rsidR="00C67820" w:rsidRPr="007E11CF" w:rsidRDefault="00C67820" w:rsidP="00C67820">
      <w:pPr>
        <w:rPr>
          <w:rFonts w:ascii="Arial" w:hAnsi="Arial" w:cs="Arial"/>
        </w:rPr>
      </w:pPr>
      <w:r w:rsidRPr="007E11CF">
        <w:rPr>
          <w:rFonts w:ascii="Arial" w:hAnsi="Arial" w:cs="Arial"/>
        </w:rPr>
        <w:t>Que, los artículos 16, 17 y 18 de la Ley de Contabilidad señalan que el sistema de contabilidad, al que deberán sujetarse los entes públicos, registrará de manera armónica, delimitada y específica las operaciones presupuestarias y contables derivadas de la gestión pública, así como otros flujos económicos. Asimismo, generará estados financieros, confiables, oportunos, comprensibles, periódicos y comparables, los cuales serán expresados en términos monetarios.</w:t>
      </w:r>
    </w:p>
    <w:p w:rsidR="00C67820" w:rsidRPr="007E11CF" w:rsidRDefault="00C67820" w:rsidP="00C67820">
      <w:pPr>
        <w:rPr>
          <w:rFonts w:ascii="Arial" w:hAnsi="Arial" w:cs="Arial"/>
        </w:rPr>
      </w:pPr>
      <w:r w:rsidRPr="007E11CF">
        <w:rPr>
          <w:rFonts w:ascii="Arial" w:hAnsi="Arial" w:cs="Arial"/>
        </w:rPr>
        <w:t>Para ello, cada ente público será responsable de su contabilidad, de la operación del sistema; así como del cumplimiento de lo dispuesto por dicha Ley y las decisiones que emita el consejo.</w:t>
      </w:r>
    </w:p>
    <w:p w:rsidR="00C67820" w:rsidRPr="007E11CF" w:rsidRDefault="00C67820" w:rsidP="00C67820">
      <w:pPr>
        <w:rPr>
          <w:rFonts w:ascii="Arial" w:hAnsi="Arial" w:cs="Arial"/>
        </w:rPr>
      </w:pPr>
      <w:r w:rsidRPr="007E11CF">
        <w:rPr>
          <w:rFonts w:ascii="Arial" w:hAnsi="Arial" w:cs="Arial"/>
        </w:rPr>
        <w:t>Así, el sistema estará conformado por el conjunto de registros, procedimientos, criterios e informes, estructurados sobre la base de principios técnicos comunes destinados a captar, valuar, registrar, clasificar, informar e interpretar, las transacciones, transformaciones y eventos que, derivados de la actividad económica, modifican la situación patrimonial del gobierno y de las finanzas públicas.</w:t>
      </w:r>
    </w:p>
    <w:p w:rsidR="00C67820" w:rsidRPr="007E11CF" w:rsidRDefault="00C67820" w:rsidP="00C67820">
      <w:pPr>
        <w:pStyle w:val="Ttulo2"/>
        <w:rPr>
          <w:rFonts w:ascii="Arial" w:hAnsi="Arial" w:cs="Arial"/>
        </w:rPr>
      </w:pPr>
      <w:r w:rsidRPr="007E11CF">
        <w:rPr>
          <w:rFonts w:ascii="Arial" w:hAnsi="Arial" w:cs="Arial"/>
        </w:rPr>
        <w:lastRenderedPageBreak/>
        <w:t>Obligación de los entes públicos</w:t>
      </w:r>
    </w:p>
    <w:p w:rsidR="00C67820" w:rsidRPr="007E11CF" w:rsidRDefault="00C67820" w:rsidP="00C67820">
      <w:pPr>
        <w:rPr>
          <w:rFonts w:ascii="Arial" w:hAnsi="Arial" w:cs="Arial"/>
        </w:rPr>
      </w:pPr>
      <w:r w:rsidRPr="007E11CF">
        <w:rPr>
          <w:rFonts w:ascii="Arial" w:hAnsi="Arial" w:cs="Arial"/>
        </w:rPr>
        <w:t>Que, en términos del artículo 19 de la Ley de Contabilidad, es obligación de los entes públicos asegurarse que el Sistema de Contabilidad:</w:t>
      </w:r>
    </w:p>
    <w:p w:rsidR="00C67820" w:rsidRPr="007E11CF" w:rsidRDefault="00C67820" w:rsidP="00C67820">
      <w:pPr>
        <w:pStyle w:val="Prrafodelista"/>
        <w:numPr>
          <w:ilvl w:val="0"/>
          <w:numId w:val="3"/>
        </w:numPr>
        <w:ind w:left="510" w:hanging="510"/>
        <w:contextualSpacing w:val="0"/>
        <w:rPr>
          <w:rFonts w:ascii="Arial" w:hAnsi="Arial" w:cs="Arial"/>
        </w:rPr>
      </w:pPr>
      <w:r w:rsidRPr="007E11CF">
        <w:rPr>
          <w:rFonts w:ascii="Arial" w:hAnsi="Arial" w:cs="Arial"/>
        </w:rPr>
        <w:t>Refleje la aplicación de los principios, normas contables generales y específicas e instrumentos que establezca el consejo;</w:t>
      </w:r>
    </w:p>
    <w:p w:rsidR="00C67820" w:rsidRPr="007E11CF" w:rsidRDefault="00C67820" w:rsidP="00C67820">
      <w:pPr>
        <w:pStyle w:val="Prrafodelista"/>
        <w:numPr>
          <w:ilvl w:val="0"/>
          <w:numId w:val="3"/>
        </w:numPr>
        <w:ind w:left="510" w:hanging="510"/>
        <w:contextualSpacing w:val="0"/>
        <w:rPr>
          <w:rFonts w:ascii="Arial" w:hAnsi="Arial" w:cs="Arial"/>
        </w:rPr>
      </w:pPr>
      <w:r w:rsidRPr="007E11CF">
        <w:rPr>
          <w:rFonts w:ascii="Arial" w:hAnsi="Arial" w:cs="Arial"/>
        </w:rPr>
        <w:t>Facilite el reconocimiento de las operaciones de ingresos, gastos, activos, pasivos y patrimoniales de los entes públicos;</w:t>
      </w:r>
    </w:p>
    <w:p w:rsidR="00C67820" w:rsidRPr="007E11CF" w:rsidRDefault="00C67820" w:rsidP="00C67820">
      <w:pPr>
        <w:pStyle w:val="Prrafodelista"/>
        <w:numPr>
          <w:ilvl w:val="0"/>
          <w:numId w:val="3"/>
        </w:numPr>
        <w:ind w:left="510" w:hanging="510"/>
        <w:contextualSpacing w:val="0"/>
        <w:rPr>
          <w:rFonts w:ascii="Arial" w:hAnsi="Arial" w:cs="Arial"/>
        </w:rPr>
      </w:pPr>
      <w:r w:rsidRPr="007E11CF">
        <w:rPr>
          <w:rFonts w:ascii="Arial" w:hAnsi="Arial" w:cs="Arial"/>
        </w:rPr>
        <w:t>Integre en forma automática el ejercicio presupuestario con la operación contable, a partir de la utilización del gasto devengado;</w:t>
      </w:r>
    </w:p>
    <w:p w:rsidR="00C67820" w:rsidRPr="007E11CF" w:rsidRDefault="00C67820" w:rsidP="00C67820">
      <w:pPr>
        <w:pStyle w:val="Prrafodelista"/>
        <w:numPr>
          <w:ilvl w:val="0"/>
          <w:numId w:val="3"/>
        </w:numPr>
        <w:ind w:left="510" w:hanging="510"/>
        <w:contextualSpacing w:val="0"/>
        <w:rPr>
          <w:rFonts w:ascii="Arial" w:hAnsi="Arial" w:cs="Arial"/>
        </w:rPr>
      </w:pPr>
      <w:r w:rsidRPr="007E11CF">
        <w:rPr>
          <w:rFonts w:ascii="Arial" w:hAnsi="Arial" w:cs="Arial"/>
        </w:rPr>
        <w:t>Permita que los registros se efectúen considerando la base acumulativa para la integración de la información presupuestaria y contable;</w:t>
      </w:r>
    </w:p>
    <w:p w:rsidR="00C67820" w:rsidRPr="007E11CF" w:rsidRDefault="00C67820" w:rsidP="00C67820">
      <w:pPr>
        <w:pStyle w:val="Prrafodelista"/>
        <w:numPr>
          <w:ilvl w:val="0"/>
          <w:numId w:val="3"/>
        </w:numPr>
        <w:ind w:left="510" w:hanging="510"/>
        <w:contextualSpacing w:val="0"/>
        <w:rPr>
          <w:rFonts w:ascii="Arial" w:hAnsi="Arial" w:cs="Arial"/>
        </w:rPr>
      </w:pPr>
      <w:r w:rsidRPr="007E11CF">
        <w:rPr>
          <w:rFonts w:ascii="Arial" w:hAnsi="Arial" w:cs="Arial"/>
        </w:rPr>
        <w:t>Refleje un registro congruente y ordenado de cada operación que genere derechos y obligaciones derivados de la gestión económico-financiera de los entes públicos;</w:t>
      </w:r>
    </w:p>
    <w:p w:rsidR="00C67820" w:rsidRPr="007E11CF" w:rsidRDefault="00C67820" w:rsidP="00C67820">
      <w:pPr>
        <w:pStyle w:val="Prrafodelista"/>
        <w:numPr>
          <w:ilvl w:val="0"/>
          <w:numId w:val="3"/>
        </w:numPr>
        <w:ind w:left="510" w:hanging="510"/>
        <w:contextualSpacing w:val="0"/>
        <w:rPr>
          <w:rFonts w:ascii="Arial" w:hAnsi="Arial" w:cs="Arial"/>
        </w:rPr>
      </w:pPr>
      <w:r w:rsidRPr="007E11CF">
        <w:rPr>
          <w:rFonts w:ascii="Arial" w:hAnsi="Arial" w:cs="Arial"/>
        </w:rPr>
        <w:t>Genere, en tiempo real, estados financieros, de ejecución presupuestaria y otra información que coadyuve a la toma de decisiones, a la transparencia, a la programación con base en resultados, a la evaluación y a la rendición de cuentas, y Facilite el registro y control de los inventarios de los bienes muebles e inmuebles de los entes públicos.</w:t>
      </w:r>
    </w:p>
    <w:p w:rsidR="00C67820" w:rsidRPr="007E11CF" w:rsidRDefault="00C67820" w:rsidP="00C67820">
      <w:pPr>
        <w:pStyle w:val="Ttulo2"/>
        <w:rPr>
          <w:rFonts w:ascii="Arial" w:hAnsi="Arial" w:cs="Arial"/>
        </w:rPr>
      </w:pPr>
      <w:r w:rsidRPr="007E11CF">
        <w:rPr>
          <w:rFonts w:ascii="Arial" w:hAnsi="Arial" w:cs="Arial"/>
        </w:rPr>
        <w:t>Registro contable de las operaciones</w:t>
      </w:r>
    </w:p>
    <w:p w:rsidR="00C67820" w:rsidRPr="007E11CF" w:rsidRDefault="00C67820" w:rsidP="00C67820">
      <w:pPr>
        <w:rPr>
          <w:rFonts w:ascii="Arial" w:hAnsi="Arial" w:cs="Arial"/>
        </w:rPr>
      </w:pPr>
      <w:r w:rsidRPr="007E11CF">
        <w:rPr>
          <w:rFonts w:ascii="Arial" w:hAnsi="Arial" w:cs="Arial"/>
        </w:rPr>
        <w:t>Que, el artículo 33 de la Ley de Contabilidad dispone que, la contabilidad gubernamental deberá permitir la expresión fiable de las transacciones en los estados financieros y considerar las mejores prácticas contables nacionales e internacionales en apoyo a las tareas de planeación financiera, control de recursos, análisis y fiscalización.</w:t>
      </w:r>
    </w:p>
    <w:p w:rsidR="00C67820" w:rsidRPr="007E11CF" w:rsidRDefault="00C67820" w:rsidP="00C67820">
      <w:pPr>
        <w:pStyle w:val="Ttulo2"/>
        <w:rPr>
          <w:rFonts w:ascii="Arial" w:hAnsi="Arial" w:cs="Arial"/>
        </w:rPr>
      </w:pPr>
      <w:r w:rsidRPr="007E11CF">
        <w:rPr>
          <w:rFonts w:ascii="Arial" w:hAnsi="Arial" w:cs="Arial"/>
        </w:rPr>
        <w:t>Clasificador por objeto del gasto del Instituto</w:t>
      </w:r>
    </w:p>
    <w:p w:rsidR="00C67820" w:rsidRPr="007E11CF" w:rsidRDefault="00C67820" w:rsidP="00C67820">
      <w:pPr>
        <w:rPr>
          <w:rFonts w:ascii="Arial" w:hAnsi="Arial" w:cs="Arial"/>
        </w:rPr>
      </w:pPr>
      <w:r w:rsidRPr="007E11CF">
        <w:rPr>
          <w:rFonts w:ascii="Arial" w:hAnsi="Arial" w:cs="Arial"/>
        </w:rPr>
        <w:t xml:space="preserve">Que, de acuerdo con la fracción VI del artículo 2 de la Ley de Presupuesto y Responsabilidad Hacendaria del Estado de Tabasco y sus Municipios, el Clasificador por Objeto del Gasto es el instrumento que permite registrar de manera ordenada, </w:t>
      </w:r>
      <w:r w:rsidRPr="007E11CF">
        <w:rPr>
          <w:rFonts w:ascii="Arial" w:hAnsi="Arial" w:cs="Arial"/>
        </w:rPr>
        <w:lastRenderedPageBreak/>
        <w:t xml:space="preserve">sistemática y homogénea las compras, los pagos y las erogaciones autorizados en capítulos, conceptos y partidas con base en la clasificación económica por objeto del gasto. </w:t>
      </w:r>
    </w:p>
    <w:p w:rsidR="002F293B" w:rsidRPr="007E11CF" w:rsidRDefault="00C67820" w:rsidP="002F293B">
      <w:pPr>
        <w:rPr>
          <w:rFonts w:ascii="Arial" w:hAnsi="Arial" w:cs="Arial"/>
        </w:rPr>
      </w:pPr>
      <w:r w:rsidRPr="007E11CF">
        <w:rPr>
          <w:rFonts w:ascii="Arial" w:hAnsi="Arial" w:cs="Arial"/>
        </w:rPr>
        <w:t xml:space="preserve">En ese sentido, </w:t>
      </w:r>
      <w:r w:rsidR="002F293B" w:rsidRPr="007E11CF">
        <w:rPr>
          <w:rFonts w:ascii="Arial" w:hAnsi="Arial" w:cs="Arial"/>
        </w:rPr>
        <w:t>acorde a la atribución que le confiere el artículo 41, párrafo 2 del Reglamento Interior de este Instituto, la Dirección de Administración propone el Clasificador por objeto del gasto que permitirá una clasificación de las erogaciones, consistente con criterios contables, claros, precisos, integrales y útiles, que posibiliten un adecuado registro y exposición de las operaciones, y que facilite la interrelación con las cuentas patrimoniales.</w:t>
      </w:r>
    </w:p>
    <w:p w:rsidR="002F293B" w:rsidRPr="007E11CF" w:rsidRDefault="002F293B" w:rsidP="002F293B">
      <w:pPr>
        <w:rPr>
          <w:rFonts w:ascii="Arial" w:hAnsi="Arial" w:cs="Arial"/>
        </w:rPr>
      </w:pPr>
      <w:r w:rsidRPr="007E11CF">
        <w:rPr>
          <w:rFonts w:ascii="Arial" w:hAnsi="Arial" w:cs="Arial"/>
        </w:rPr>
        <w:t xml:space="preserve">El propósito principal del Clasificador por Objeto del Gasto es el registro de los gastos que se realizan en el proceso presupuestario. Además, dicho documento resume, ordena y presenta los gastos programados en el presupuesto, de acuerdo con la naturaleza de los bienes, servicios, activos y pasivos financieros. </w:t>
      </w:r>
    </w:p>
    <w:p w:rsidR="002F293B" w:rsidRPr="007E11CF" w:rsidRDefault="002F293B" w:rsidP="002F293B">
      <w:pPr>
        <w:rPr>
          <w:rFonts w:ascii="Arial" w:hAnsi="Arial" w:cs="Arial"/>
        </w:rPr>
      </w:pPr>
      <w:r w:rsidRPr="007E11CF">
        <w:rPr>
          <w:rFonts w:ascii="Arial" w:hAnsi="Arial" w:cs="Arial"/>
        </w:rPr>
        <w:t>La clasificación por objeto del gasto 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el vínculo con la contabilidad.</w:t>
      </w:r>
    </w:p>
    <w:p w:rsidR="002F293B" w:rsidRPr="007E11CF" w:rsidRDefault="002F293B" w:rsidP="002F293B">
      <w:pPr>
        <w:rPr>
          <w:rFonts w:ascii="Arial" w:hAnsi="Arial" w:cs="Arial"/>
        </w:rPr>
      </w:pPr>
      <w:r w:rsidRPr="007E11CF">
        <w:rPr>
          <w:rFonts w:ascii="Arial" w:hAnsi="Arial" w:cs="Arial"/>
        </w:rPr>
        <w:t xml:space="preserve">En ese sentido, la clasificación de los gastos públicos tiene por finalidad: </w:t>
      </w:r>
    </w:p>
    <w:p w:rsidR="002F293B" w:rsidRPr="007E11CF" w:rsidRDefault="002F293B" w:rsidP="002F293B">
      <w:pPr>
        <w:pStyle w:val="Prrafodelista"/>
        <w:numPr>
          <w:ilvl w:val="0"/>
          <w:numId w:val="4"/>
        </w:numPr>
        <w:spacing w:line="276" w:lineRule="auto"/>
        <w:ind w:left="357" w:hanging="357"/>
        <w:contextualSpacing w:val="0"/>
        <w:rPr>
          <w:rFonts w:ascii="Arial" w:hAnsi="Arial" w:cs="Arial"/>
        </w:rPr>
      </w:pPr>
      <w:r w:rsidRPr="007E11CF">
        <w:rPr>
          <w:rFonts w:ascii="Arial" w:hAnsi="Arial" w:cs="Arial"/>
        </w:rPr>
        <w:t>Ofrecer información valiosa de la demanda de bienes y servicios que realiza el Instituto.</w:t>
      </w:r>
    </w:p>
    <w:p w:rsidR="002F293B" w:rsidRPr="007E11CF" w:rsidRDefault="002F293B" w:rsidP="002F293B">
      <w:pPr>
        <w:pStyle w:val="Prrafodelista"/>
        <w:numPr>
          <w:ilvl w:val="0"/>
          <w:numId w:val="4"/>
        </w:numPr>
        <w:spacing w:line="276" w:lineRule="auto"/>
        <w:ind w:left="357" w:hanging="357"/>
        <w:contextualSpacing w:val="0"/>
        <w:rPr>
          <w:rFonts w:ascii="Arial" w:hAnsi="Arial" w:cs="Arial"/>
        </w:rPr>
      </w:pPr>
      <w:r w:rsidRPr="007E11CF">
        <w:rPr>
          <w:rFonts w:ascii="Arial" w:hAnsi="Arial" w:cs="Arial"/>
        </w:rPr>
        <w:t>Permitir identificar con claridad y transparencia los bienes y servicios que se adquieren, las transferencias que se realizan y las aplicaciones previstas en el presupuesto.</w:t>
      </w:r>
    </w:p>
    <w:p w:rsidR="002F293B" w:rsidRPr="007E11CF" w:rsidRDefault="002F293B" w:rsidP="002F293B">
      <w:pPr>
        <w:pStyle w:val="Prrafodelista"/>
        <w:numPr>
          <w:ilvl w:val="0"/>
          <w:numId w:val="4"/>
        </w:numPr>
        <w:spacing w:line="276" w:lineRule="auto"/>
        <w:ind w:left="357" w:hanging="357"/>
        <w:contextualSpacing w:val="0"/>
        <w:rPr>
          <w:rFonts w:ascii="Arial" w:hAnsi="Arial" w:cs="Arial"/>
        </w:rPr>
      </w:pPr>
      <w:r w:rsidRPr="007E11CF">
        <w:rPr>
          <w:rFonts w:ascii="Arial" w:hAnsi="Arial" w:cs="Arial"/>
        </w:rPr>
        <w:t>Facilitar la programación de las adquisiciones de bienes y servicios, y otras acciones relacionadas con administración de bienes del Estado.</w:t>
      </w:r>
    </w:p>
    <w:p w:rsidR="002F293B" w:rsidRPr="007E11CF" w:rsidRDefault="002F293B" w:rsidP="002F293B">
      <w:pPr>
        <w:pStyle w:val="Prrafodelista"/>
        <w:numPr>
          <w:ilvl w:val="0"/>
          <w:numId w:val="4"/>
        </w:numPr>
        <w:spacing w:line="276" w:lineRule="auto"/>
        <w:ind w:left="357" w:hanging="357"/>
        <w:contextualSpacing w:val="0"/>
        <w:rPr>
          <w:rFonts w:ascii="Arial" w:hAnsi="Arial" w:cs="Arial"/>
        </w:rPr>
      </w:pPr>
      <w:r w:rsidRPr="007E11CF">
        <w:rPr>
          <w:rFonts w:ascii="Arial" w:hAnsi="Arial" w:cs="Arial"/>
        </w:rPr>
        <w:t>En el marco del sistema de cuentas gubernamentales, integradas e interrelacionadas, el Clasificador por Objeto del Gasto es uno de los principales elementos para obtener clasificaciones agregadas.</w:t>
      </w:r>
    </w:p>
    <w:p w:rsidR="002F293B" w:rsidRPr="007E11CF" w:rsidRDefault="002F293B" w:rsidP="002F293B">
      <w:pPr>
        <w:pStyle w:val="Prrafodelista"/>
        <w:numPr>
          <w:ilvl w:val="0"/>
          <w:numId w:val="4"/>
        </w:numPr>
        <w:spacing w:line="276" w:lineRule="auto"/>
        <w:ind w:left="357" w:hanging="357"/>
        <w:contextualSpacing w:val="0"/>
        <w:rPr>
          <w:rFonts w:ascii="Arial" w:hAnsi="Arial" w:cs="Arial"/>
        </w:rPr>
      </w:pPr>
      <w:r w:rsidRPr="007E11CF">
        <w:rPr>
          <w:rFonts w:ascii="Arial" w:hAnsi="Arial" w:cs="Arial"/>
        </w:rPr>
        <w:t>Facilitar el ejercicio del control interno y externo de las transacciones de los entes públicos.</w:t>
      </w:r>
    </w:p>
    <w:p w:rsidR="002F293B" w:rsidRPr="007E11CF" w:rsidRDefault="002F293B" w:rsidP="002F293B">
      <w:pPr>
        <w:pStyle w:val="Prrafodelista"/>
        <w:numPr>
          <w:ilvl w:val="0"/>
          <w:numId w:val="4"/>
        </w:numPr>
        <w:spacing w:line="276" w:lineRule="auto"/>
        <w:ind w:left="357" w:hanging="357"/>
        <w:contextualSpacing w:val="0"/>
        <w:rPr>
          <w:rFonts w:ascii="Arial" w:hAnsi="Arial" w:cs="Arial"/>
        </w:rPr>
      </w:pPr>
      <w:r w:rsidRPr="007E11CF">
        <w:rPr>
          <w:rFonts w:ascii="Arial" w:hAnsi="Arial" w:cs="Arial"/>
        </w:rPr>
        <w:lastRenderedPageBreak/>
        <w:t>Promover el desarrollo y aplicación de los sistemas de programación y gestión del gasto público.</w:t>
      </w:r>
    </w:p>
    <w:p w:rsidR="002F293B" w:rsidRPr="007E11CF" w:rsidRDefault="002F293B" w:rsidP="002F293B">
      <w:pPr>
        <w:pStyle w:val="Prrafodelista"/>
        <w:numPr>
          <w:ilvl w:val="0"/>
          <w:numId w:val="4"/>
        </w:numPr>
        <w:spacing w:line="276" w:lineRule="auto"/>
        <w:ind w:left="357" w:hanging="357"/>
        <w:contextualSpacing w:val="0"/>
        <w:rPr>
          <w:rFonts w:ascii="Arial" w:hAnsi="Arial" w:cs="Arial"/>
        </w:rPr>
      </w:pPr>
      <w:r w:rsidRPr="007E11CF">
        <w:rPr>
          <w:rFonts w:ascii="Arial" w:hAnsi="Arial" w:cs="Arial"/>
        </w:rPr>
        <w:t>Permitir el análisis de los efectos del gasto público y la proyección del mismo</w:t>
      </w:r>
    </w:p>
    <w:p w:rsidR="00C67820" w:rsidRPr="007E11CF" w:rsidRDefault="00C67820" w:rsidP="00C67820">
      <w:pPr>
        <w:rPr>
          <w:rFonts w:ascii="Arial" w:hAnsi="Arial" w:cs="Arial"/>
        </w:rPr>
      </w:pPr>
      <w:r w:rsidRPr="007E11CF">
        <w:rPr>
          <w:rFonts w:ascii="Arial" w:hAnsi="Arial" w:cs="Arial"/>
        </w:rPr>
        <w:t>Sobre la base de las consideraciones señaladas, esta Junta Ejecutiva emite el siguiente:</w:t>
      </w:r>
    </w:p>
    <w:p w:rsidR="00C67820" w:rsidRPr="007E11CF" w:rsidRDefault="00C67820" w:rsidP="00C67820">
      <w:pPr>
        <w:pStyle w:val="Ttulo1"/>
        <w:rPr>
          <w:rFonts w:ascii="Arial" w:hAnsi="Arial" w:cs="Arial"/>
          <w:sz w:val="24"/>
          <w:szCs w:val="24"/>
        </w:rPr>
      </w:pPr>
      <w:r w:rsidRPr="007E11CF">
        <w:rPr>
          <w:rFonts w:ascii="Arial" w:hAnsi="Arial" w:cs="Arial"/>
          <w:sz w:val="24"/>
          <w:szCs w:val="24"/>
        </w:rPr>
        <w:t>Acuerdo</w:t>
      </w:r>
    </w:p>
    <w:p w:rsidR="00C67820" w:rsidRPr="007E11CF" w:rsidRDefault="00C67820" w:rsidP="00C67820">
      <w:pPr>
        <w:rPr>
          <w:rFonts w:ascii="Arial" w:hAnsi="Arial" w:cs="Arial"/>
        </w:rPr>
      </w:pPr>
      <w:r w:rsidRPr="007E11CF">
        <w:rPr>
          <w:rFonts w:ascii="Arial" w:hAnsi="Arial" w:cs="Arial"/>
          <w:b/>
        </w:rPr>
        <w:t>Primero.</w:t>
      </w:r>
      <w:r w:rsidRPr="007E11CF">
        <w:rPr>
          <w:rFonts w:ascii="Arial" w:hAnsi="Arial" w:cs="Arial"/>
        </w:rPr>
        <w:t xml:space="preserve"> Se aprueba</w:t>
      </w:r>
      <w:r w:rsidR="002F293B" w:rsidRPr="007E11CF">
        <w:rPr>
          <w:rFonts w:ascii="Arial" w:hAnsi="Arial" w:cs="Arial"/>
        </w:rPr>
        <w:t xml:space="preserve"> el Clasificador por Objeto del Gasto del </w:t>
      </w:r>
      <w:r w:rsidRPr="007E11CF">
        <w:rPr>
          <w:rFonts w:ascii="Arial" w:hAnsi="Arial" w:cs="Arial"/>
        </w:rPr>
        <w:t>Instituto Electoral y de Participa</w:t>
      </w:r>
      <w:r w:rsidR="002F293B" w:rsidRPr="007E11CF">
        <w:rPr>
          <w:rFonts w:ascii="Arial" w:hAnsi="Arial" w:cs="Arial"/>
        </w:rPr>
        <w:t>ción Ciudadana de Tabasco anexo</w:t>
      </w:r>
      <w:r w:rsidRPr="007E11CF">
        <w:rPr>
          <w:rFonts w:ascii="Arial" w:hAnsi="Arial" w:cs="Arial"/>
        </w:rPr>
        <w:t xml:space="preserve"> al presente acuerdo.</w:t>
      </w:r>
    </w:p>
    <w:p w:rsidR="00C67820" w:rsidRPr="007E11CF" w:rsidRDefault="00C67820" w:rsidP="00C67820">
      <w:pPr>
        <w:rPr>
          <w:rFonts w:ascii="Arial" w:hAnsi="Arial" w:cs="Arial"/>
        </w:rPr>
      </w:pPr>
      <w:r w:rsidRPr="007E11CF">
        <w:rPr>
          <w:rFonts w:ascii="Arial" w:hAnsi="Arial" w:cs="Arial"/>
          <w:b/>
        </w:rPr>
        <w:t>Segundo.</w:t>
      </w:r>
      <w:r w:rsidRPr="007E11CF">
        <w:rPr>
          <w:rFonts w:ascii="Arial" w:hAnsi="Arial" w:cs="Arial"/>
        </w:rPr>
        <w:t xml:space="preserve"> </w:t>
      </w:r>
      <w:r w:rsidR="002F293B" w:rsidRPr="007E11CF">
        <w:rPr>
          <w:rFonts w:ascii="Arial" w:hAnsi="Arial" w:cs="Arial"/>
        </w:rPr>
        <w:t>El Clasificador por Objeto del Gasto aprobado, entrará</w:t>
      </w:r>
      <w:r w:rsidRPr="007E11CF">
        <w:rPr>
          <w:rFonts w:ascii="Arial" w:hAnsi="Arial" w:cs="Arial"/>
        </w:rPr>
        <w:t xml:space="preserve"> en vigor a partir del día siguiente de la aprobación del presente acuerdo.</w:t>
      </w:r>
    </w:p>
    <w:p w:rsidR="00C67820" w:rsidRPr="007E11CF" w:rsidRDefault="00C67820" w:rsidP="00C67820">
      <w:pPr>
        <w:rPr>
          <w:rFonts w:ascii="Arial" w:hAnsi="Arial" w:cs="Arial"/>
        </w:rPr>
      </w:pPr>
      <w:r w:rsidRPr="007E11CF">
        <w:rPr>
          <w:rFonts w:ascii="Arial" w:hAnsi="Arial" w:cs="Arial"/>
          <w:b/>
        </w:rPr>
        <w:t xml:space="preserve">Tercero. </w:t>
      </w:r>
      <w:r w:rsidRPr="007E11CF">
        <w:rPr>
          <w:rFonts w:ascii="Arial" w:hAnsi="Arial" w:cs="Arial"/>
        </w:rPr>
        <w:t>Publíquese el presente acuerdo en el Periódico Oficial del Estado y en la página de internet del Instituto, de conformidad con lo dispuesto en los artículos 114 de la Ley Electoral y de Partidos Políticos del Estado de Tabasco y 10 fracción III del Reglamento para la edición, publicación, distribución y resguardo del Periódico Oficial del Estado de Tabasco.</w:t>
      </w:r>
    </w:p>
    <w:p w:rsidR="008B7329" w:rsidRPr="007E11CF" w:rsidRDefault="008B7329" w:rsidP="008B7329">
      <w:pPr>
        <w:rPr>
          <w:rFonts w:ascii="Arial" w:hAnsi="Arial" w:cs="Arial"/>
        </w:rPr>
      </w:pPr>
      <w:r w:rsidRPr="007E11CF">
        <w:rPr>
          <w:rFonts w:ascii="Arial" w:hAnsi="Arial" w:cs="Arial"/>
        </w:rPr>
        <w:t>El presente acuerdo se aprobó en sesión</w:t>
      </w:r>
      <w:r w:rsidR="007E11CF">
        <w:rPr>
          <w:rFonts w:ascii="Arial" w:hAnsi="Arial" w:cs="Arial"/>
        </w:rPr>
        <w:t xml:space="preserve"> extraordinaria</w:t>
      </w:r>
      <w:r w:rsidRPr="007E11CF">
        <w:rPr>
          <w:rFonts w:ascii="Arial" w:hAnsi="Arial" w:cs="Arial"/>
        </w:rPr>
        <w:t xml:space="preserve"> efectuada el </w:t>
      </w:r>
      <w:r w:rsidR="007E11CF">
        <w:rPr>
          <w:rFonts w:ascii="Arial" w:hAnsi="Arial" w:cs="Arial"/>
        </w:rPr>
        <w:t>quince</w:t>
      </w:r>
      <w:r w:rsidRPr="007E11CF">
        <w:rPr>
          <w:rFonts w:ascii="Arial" w:hAnsi="Arial" w:cs="Arial"/>
        </w:rPr>
        <w:t xml:space="preserve"> de agosto del año dos mil veinticuatro, por votación </w:t>
      </w:r>
      <w:r w:rsidR="007E11CF">
        <w:rPr>
          <w:rFonts w:ascii="Arial" w:hAnsi="Arial" w:cs="Arial"/>
        </w:rPr>
        <w:t>unánime</w:t>
      </w:r>
      <w:r w:rsidRPr="007E11CF">
        <w:rPr>
          <w:rFonts w:ascii="Arial" w:hAnsi="Arial" w:cs="Arial"/>
        </w:rPr>
        <w:t xml:space="preserve"> de la y los integrantes de la Junta Estatal Ejecutiva del Instituto Electoral y de Participación Ciudadana de Tabasco: Lic. Javier García Rodríguez, Director de Administración; Lic. Rigoberto de la O Gallegos, Encargado de Despacho de la Dirección de Organización Electoral y Educación Cívica, Lic. Jorge Alberto Zavala Frías, Secretario Ejecutivo y Mtra. Elizabeth Nava Gutiérrez, Presidenta de la Junta Estatal Ejecutiva.</w:t>
      </w:r>
    </w:p>
    <w:p w:rsidR="00C67820" w:rsidRPr="007E11CF" w:rsidRDefault="00C67820" w:rsidP="00C67820">
      <w:pPr>
        <w:rPr>
          <w:rFonts w:ascii="Arial" w:hAnsi="Arial" w:cs="Arial"/>
        </w:rPr>
      </w:pPr>
    </w:p>
    <w:p w:rsidR="00C67820" w:rsidRPr="007E11CF" w:rsidRDefault="00C67820" w:rsidP="00C67820">
      <w:pPr>
        <w:rPr>
          <w:rFonts w:ascii="Arial" w:hAnsi="Arial" w:cs="Arial"/>
        </w:rPr>
      </w:pPr>
    </w:p>
    <w:tbl>
      <w:tblPr>
        <w:tblStyle w:val="Tablaconcuadrcula"/>
        <w:tblW w:w="907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78"/>
        <w:gridCol w:w="4400"/>
      </w:tblGrid>
      <w:tr w:rsidR="00C67820" w:rsidRPr="007E11CF" w:rsidTr="00546725">
        <w:tc>
          <w:tcPr>
            <w:tcW w:w="4395" w:type="dxa"/>
          </w:tcPr>
          <w:p w:rsidR="00C67820" w:rsidRPr="007E11CF" w:rsidRDefault="00C67820" w:rsidP="00546725">
            <w:pPr>
              <w:widowControl w:val="0"/>
              <w:spacing w:before="0" w:after="0"/>
              <w:jc w:val="center"/>
              <w:rPr>
                <w:rFonts w:ascii="Arial" w:hAnsi="Arial" w:cs="Arial"/>
                <w:b/>
                <w:spacing w:val="-10"/>
              </w:rPr>
            </w:pPr>
            <w:r w:rsidRPr="007E11CF">
              <w:rPr>
                <w:rFonts w:ascii="Arial" w:hAnsi="Arial" w:cs="Arial"/>
                <w:b/>
                <w:spacing w:val="-10"/>
              </w:rPr>
              <w:t>MTRA. ELIZABETH NAVA GUTIÉRREZ</w:t>
            </w:r>
          </w:p>
          <w:p w:rsidR="00C67820" w:rsidRPr="007E11CF" w:rsidRDefault="00C67820" w:rsidP="00546725">
            <w:pPr>
              <w:widowControl w:val="0"/>
              <w:spacing w:before="0" w:after="0"/>
              <w:jc w:val="center"/>
              <w:rPr>
                <w:rFonts w:ascii="Arial" w:hAnsi="Arial" w:cs="Arial"/>
                <w:b/>
              </w:rPr>
            </w:pPr>
            <w:r w:rsidRPr="007E11CF">
              <w:rPr>
                <w:rFonts w:ascii="Arial" w:hAnsi="Arial" w:cs="Arial"/>
                <w:b/>
                <w:spacing w:val="-10"/>
              </w:rPr>
              <w:t>CONSEJERA PRESIDENTA</w:t>
            </w:r>
          </w:p>
        </w:tc>
        <w:tc>
          <w:tcPr>
            <w:tcW w:w="278" w:type="dxa"/>
          </w:tcPr>
          <w:p w:rsidR="00C67820" w:rsidRPr="007E11CF" w:rsidRDefault="00C67820" w:rsidP="00546725">
            <w:pPr>
              <w:widowControl w:val="0"/>
              <w:spacing w:before="0" w:after="0"/>
              <w:rPr>
                <w:rFonts w:ascii="Arial" w:hAnsi="Arial" w:cs="Arial"/>
                <w:b/>
              </w:rPr>
            </w:pPr>
          </w:p>
        </w:tc>
        <w:tc>
          <w:tcPr>
            <w:tcW w:w="4400" w:type="dxa"/>
          </w:tcPr>
          <w:p w:rsidR="00C67820" w:rsidRPr="007E11CF" w:rsidRDefault="00C67820" w:rsidP="00546725">
            <w:pPr>
              <w:widowControl w:val="0"/>
              <w:spacing w:before="0" w:after="0"/>
              <w:jc w:val="center"/>
              <w:rPr>
                <w:rFonts w:ascii="Arial" w:hAnsi="Arial" w:cs="Arial"/>
                <w:b/>
                <w:spacing w:val="-10"/>
              </w:rPr>
            </w:pPr>
            <w:r w:rsidRPr="007E11CF">
              <w:rPr>
                <w:rFonts w:ascii="Arial" w:hAnsi="Arial" w:cs="Arial"/>
                <w:b/>
                <w:spacing w:val="-10"/>
              </w:rPr>
              <w:t>LIC. JORGE ALBERTO ZAVALA FRÍAS</w:t>
            </w:r>
          </w:p>
          <w:p w:rsidR="00C67820" w:rsidRPr="007E11CF" w:rsidRDefault="00C67820" w:rsidP="00546725">
            <w:pPr>
              <w:widowControl w:val="0"/>
              <w:spacing w:before="0" w:after="0"/>
              <w:jc w:val="center"/>
              <w:rPr>
                <w:rFonts w:ascii="Arial" w:hAnsi="Arial" w:cs="Arial"/>
                <w:b/>
              </w:rPr>
            </w:pPr>
            <w:r w:rsidRPr="007E11CF">
              <w:rPr>
                <w:rFonts w:ascii="Arial" w:hAnsi="Arial" w:cs="Arial"/>
                <w:b/>
                <w:spacing w:val="-10"/>
              </w:rPr>
              <w:t>SECRETARIO EJECUTIVO</w:t>
            </w:r>
          </w:p>
        </w:tc>
      </w:tr>
    </w:tbl>
    <w:p w:rsidR="00E56DA5" w:rsidRPr="007E11CF" w:rsidRDefault="00E56DA5" w:rsidP="00E56DA5">
      <w:pPr>
        <w:rPr>
          <w:rFonts w:ascii="Arial" w:hAnsi="Arial" w:cs="Arial"/>
        </w:rPr>
      </w:pPr>
    </w:p>
    <w:sectPr w:rsidR="00E56DA5" w:rsidRPr="007E11CF" w:rsidSect="002F293B">
      <w:headerReference w:type="even" r:id="rId7"/>
      <w:headerReference w:type="default" r:id="rId8"/>
      <w:footerReference w:type="even" r:id="rId9"/>
      <w:footerReference w:type="default" r:id="rId10"/>
      <w:headerReference w:type="first" r:id="rId11"/>
      <w:footerReference w:type="first" r:id="rId12"/>
      <w:pgSz w:w="12240" w:h="15840" w:code="1"/>
      <w:pgMar w:top="2836" w:right="1701" w:bottom="1276" w:left="170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F4B" w:rsidRDefault="00297F4B" w:rsidP="002F293B">
      <w:pPr>
        <w:spacing w:before="0" w:after="0" w:line="240" w:lineRule="auto"/>
      </w:pPr>
      <w:r>
        <w:separator/>
      </w:r>
    </w:p>
  </w:endnote>
  <w:endnote w:type="continuationSeparator" w:id="0">
    <w:p w:rsidR="00297F4B" w:rsidRDefault="00297F4B" w:rsidP="002F29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555B191-B478-40EA-B765-81558BC6B9B0}"/>
    <w:embedBold r:id="rId2" w:fontKey="{3D03EA93-B0A6-42A4-BE69-483C67A1F1C6}"/>
  </w:font>
  <w:font w:name="Exo">
    <w:altName w:val="Times New Roman"/>
    <w:charset w:val="00"/>
    <w:family w:val="auto"/>
    <w:pitch w:val="variable"/>
    <w:sig w:usb0="A00000EF" w:usb1="4000204B" w:usb2="00000000" w:usb3="00000000" w:csb0="00000193" w:csb1="00000000"/>
    <w:embedRegular r:id="rId3" w:fontKey="{6EE92D5A-553B-4C1B-8DA0-B81ABB727DA6}"/>
    <w:embedBold r:id="rId4" w:fontKey="{FC0F7903-3EB2-4A52-998C-474F71DEBC66}"/>
  </w:font>
  <w:font w:name="Calibri Light">
    <w:panose1 w:val="020F0302020204030204"/>
    <w:charset w:val="00"/>
    <w:family w:val="swiss"/>
    <w:pitch w:val="variable"/>
    <w:sig w:usb0="E4002EFF" w:usb1="C200247B" w:usb2="00000009" w:usb3="00000000" w:csb0="000001FF" w:csb1="00000000"/>
    <w:embedRegular r:id="rId5" w:fontKey="{FD9DAB96-D639-4009-802E-82CA606E47AB}"/>
    <w:embedItalic r:id="rId6" w:fontKey="{FB8DD345-E3CF-4303-A025-47429553361B}"/>
  </w:font>
  <w:font w:name="Segoe UI">
    <w:panose1 w:val="020B0502040204020203"/>
    <w:charset w:val="00"/>
    <w:family w:val="swiss"/>
    <w:pitch w:val="variable"/>
    <w:sig w:usb0="E4002EFF" w:usb1="C000E47F" w:usb2="00000009" w:usb3="00000000" w:csb0="000001FF" w:csb1="00000000"/>
    <w:embedRegular r:id="rId7" w:fontKey="{DBA1E8BA-924F-4203-AFAE-58653BC41BC8}"/>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8" w:fontKey="{F2E870BE-EBD1-4A4F-A5F1-F80A649A2C34}"/>
    <w:embedBold r:id="rId9" w:fontKey="{2FB0BC6A-56D9-4387-A055-7253F7FB837F}"/>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1CF" w:rsidRDefault="007E11C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Tahoma"/>
        <w:b/>
        <w:color w:val="C45911" w:themeColor="accent2" w:themeShade="BF"/>
      </w:rPr>
      <w:id w:val="-412465419"/>
      <w:docPartObj>
        <w:docPartGallery w:val="Page Numbers (Top of Page)"/>
        <w:docPartUnique/>
      </w:docPartObj>
    </w:sdtPr>
    <w:sdtEndPr>
      <w:rPr>
        <w:color w:val="993366"/>
      </w:rPr>
    </w:sdtEndPr>
    <w:sdtContent>
      <w:p w:rsidR="002F293B" w:rsidRPr="002F293B" w:rsidRDefault="002F293B" w:rsidP="002F293B">
        <w:pPr>
          <w:pStyle w:val="Piedepgina"/>
          <w:jc w:val="right"/>
          <w:rPr>
            <w:rFonts w:cs="Tahoma"/>
            <w:b/>
            <w:color w:val="993366"/>
          </w:rPr>
        </w:pPr>
        <w:r w:rsidRPr="000205D9">
          <w:rPr>
            <w:rFonts w:cs="Tahoma"/>
            <w:b/>
            <w:color w:val="993366"/>
          </w:rPr>
          <w:t xml:space="preserve">Página </w:t>
        </w:r>
        <w:r w:rsidRPr="000205D9">
          <w:rPr>
            <w:rFonts w:cs="Tahoma"/>
            <w:b/>
            <w:bCs/>
            <w:color w:val="993366"/>
            <w:sz w:val="24"/>
            <w:szCs w:val="24"/>
          </w:rPr>
          <w:fldChar w:fldCharType="begin"/>
        </w:r>
        <w:r w:rsidRPr="000205D9">
          <w:rPr>
            <w:rFonts w:cs="Tahoma"/>
            <w:b/>
            <w:bCs/>
            <w:color w:val="993366"/>
          </w:rPr>
          <w:instrText>PAGE</w:instrText>
        </w:r>
        <w:r w:rsidRPr="000205D9">
          <w:rPr>
            <w:rFonts w:cs="Tahoma"/>
            <w:b/>
            <w:bCs/>
            <w:color w:val="993366"/>
            <w:sz w:val="24"/>
            <w:szCs w:val="24"/>
          </w:rPr>
          <w:fldChar w:fldCharType="separate"/>
        </w:r>
        <w:r w:rsidR="00BF3553">
          <w:rPr>
            <w:rFonts w:cs="Tahoma"/>
            <w:b/>
            <w:bCs/>
            <w:noProof/>
            <w:color w:val="993366"/>
          </w:rPr>
          <w:t>6</w:t>
        </w:r>
        <w:r w:rsidRPr="000205D9">
          <w:rPr>
            <w:rFonts w:cs="Tahoma"/>
            <w:b/>
            <w:bCs/>
            <w:color w:val="993366"/>
            <w:sz w:val="24"/>
            <w:szCs w:val="24"/>
          </w:rPr>
          <w:fldChar w:fldCharType="end"/>
        </w:r>
        <w:r w:rsidRPr="000205D9">
          <w:rPr>
            <w:rFonts w:cs="Tahoma"/>
            <w:b/>
            <w:color w:val="993366"/>
          </w:rPr>
          <w:t xml:space="preserve"> de </w:t>
        </w:r>
        <w:r w:rsidRPr="000205D9">
          <w:rPr>
            <w:rFonts w:cs="Tahoma"/>
            <w:b/>
            <w:bCs/>
            <w:color w:val="993366"/>
            <w:sz w:val="24"/>
            <w:szCs w:val="24"/>
          </w:rPr>
          <w:fldChar w:fldCharType="begin"/>
        </w:r>
        <w:r w:rsidRPr="000205D9">
          <w:rPr>
            <w:rFonts w:cs="Tahoma"/>
            <w:b/>
            <w:bCs/>
            <w:color w:val="993366"/>
          </w:rPr>
          <w:instrText>NUMPAGES</w:instrText>
        </w:r>
        <w:r w:rsidRPr="000205D9">
          <w:rPr>
            <w:rFonts w:cs="Tahoma"/>
            <w:b/>
            <w:bCs/>
            <w:color w:val="993366"/>
            <w:sz w:val="24"/>
            <w:szCs w:val="24"/>
          </w:rPr>
          <w:fldChar w:fldCharType="separate"/>
        </w:r>
        <w:r w:rsidR="00BF3553">
          <w:rPr>
            <w:rFonts w:cs="Tahoma"/>
            <w:b/>
            <w:bCs/>
            <w:noProof/>
            <w:color w:val="993366"/>
          </w:rPr>
          <w:t>8</w:t>
        </w:r>
        <w:r w:rsidRPr="000205D9">
          <w:rPr>
            <w:rFonts w:cs="Tahoma"/>
            <w:b/>
            <w:bCs/>
            <w:color w:val="993366"/>
            <w:sz w:val="24"/>
            <w:szCs w:val="24"/>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1CF" w:rsidRDefault="007E11C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F4B" w:rsidRDefault="00297F4B" w:rsidP="002F293B">
      <w:pPr>
        <w:spacing w:before="0" w:after="0" w:line="240" w:lineRule="auto"/>
      </w:pPr>
      <w:r>
        <w:separator/>
      </w:r>
    </w:p>
  </w:footnote>
  <w:footnote w:type="continuationSeparator" w:id="0">
    <w:p w:rsidR="00297F4B" w:rsidRDefault="00297F4B" w:rsidP="002F29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1CF" w:rsidRDefault="007E11C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503"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6242"/>
      <w:gridCol w:w="1843"/>
    </w:tblGrid>
    <w:tr w:rsidR="002F293B" w:rsidRPr="005E43CB" w:rsidTr="00546725">
      <w:tc>
        <w:tcPr>
          <w:tcW w:w="1418" w:type="dxa"/>
        </w:tcPr>
        <w:p w:rsidR="002F293B" w:rsidRPr="005E43CB" w:rsidRDefault="002F293B" w:rsidP="002F293B">
          <w:pPr>
            <w:pStyle w:val="Encabezado"/>
            <w:ind w:left="-170"/>
            <w:jc w:val="left"/>
          </w:pPr>
          <w:r w:rsidRPr="005E43CB">
            <w:rPr>
              <w:b/>
              <w:noProof/>
              <w:sz w:val="32"/>
              <w:lang w:eastAsia="es-MX"/>
            </w:rPr>
            <w:drawing>
              <wp:inline distT="0" distB="0" distL="0" distR="0" wp14:anchorId="10AA7470" wp14:editId="7641ABB3">
                <wp:extent cx="1014331" cy="1199403"/>
                <wp:effectExtent l="0" t="0" r="0" b="127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AB_Color.png"/>
                        <pic:cNvPicPr/>
                      </pic:nvPicPr>
                      <pic:blipFill>
                        <a:blip r:embed="rId1">
                          <a:extLst>
                            <a:ext uri="{28A0092B-C50C-407E-A947-70E740481C1C}">
                              <a14:useLocalDpi xmlns:a14="http://schemas.microsoft.com/office/drawing/2010/main" val="0"/>
                            </a:ext>
                          </a:extLst>
                        </a:blip>
                        <a:stretch>
                          <a:fillRect/>
                        </a:stretch>
                      </pic:blipFill>
                      <pic:spPr>
                        <a:xfrm>
                          <a:off x="0" y="0"/>
                          <a:ext cx="1025855" cy="1213030"/>
                        </a:xfrm>
                        <a:prstGeom prst="rect">
                          <a:avLst/>
                        </a:prstGeom>
                      </pic:spPr>
                    </pic:pic>
                  </a:graphicData>
                </a:graphic>
              </wp:inline>
            </w:drawing>
          </w:r>
        </w:p>
      </w:tc>
      <w:tc>
        <w:tcPr>
          <w:tcW w:w="6242" w:type="dxa"/>
        </w:tcPr>
        <w:p w:rsidR="002F293B" w:rsidRPr="007E11CF" w:rsidRDefault="002F293B" w:rsidP="002F293B">
          <w:pPr>
            <w:pStyle w:val="Encabezado"/>
            <w:spacing w:before="720"/>
            <w:jc w:val="center"/>
            <w:rPr>
              <w:rFonts w:ascii="Arial" w:hAnsi="Arial" w:cs="Arial"/>
              <w:b/>
              <w:bCs/>
              <w:sz w:val="24"/>
              <w:szCs w:val="24"/>
            </w:rPr>
          </w:pPr>
          <w:r w:rsidRPr="007E11CF">
            <w:rPr>
              <w:rFonts w:ascii="Arial" w:hAnsi="Arial" w:cs="Arial"/>
              <w:b/>
              <w:bCs/>
              <w:sz w:val="24"/>
              <w:szCs w:val="24"/>
            </w:rPr>
            <w:t>INSTITUTO ELECTORAL Y DE PARTICIPACIÓN CIUDADANA DE TABASCO</w:t>
          </w:r>
        </w:p>
        <w:p w:rsidR="002F293B" w:rsidRPr="005E43CB" w:rsidRDefault="002F293B" w:rsidP="002F293B">
          <w:pPr>
            <w:pStyle w:val="Encabezado"/>
            <w:jc w:val="center"/>
            <w:rPr>
              <w:sz w:val="25"/>
              <w:szCs w:val="25"/>
            </w:rPr>
          </w:pPr>
          <w:r w:rsidRPr="007E11CF">
            <w:rPr>
              <w:rFonts w:ascii="Arial" w:hAnsi="Arial" w:cs="Arial"/>
              <w:sz w:val="24"/>
              <w:szCs w:val="24"/>
            </w:rPr>
            <w:t>JUNTA ESTATAL EJECUTIVA</w:t>
          </w:r>
        </w:p>
      </w:tc>
      <w:tc>
        <w:tcPr>
          <w:tcW w:w="1843" w:type="dxa"/>
        </w:tcPr>
        <w:p w:rsidR="002F293B" w:rsidRPr="005E43CB" w:rsidRDefault="002F293B" w:rsidP="002F293B">
          <w:pPr>
            <w:pStyle w:val="Encabezado"/>
            <w:spacing w:before="480"/>
          </w:pPr>
          <w:r>
            <w:rPr>
              <w:noProof/>
              <w:lang w:eastAsia="es-MX"/>
            </w:rPr>
            <w:drawing>
              <wp:inline distT="0" distB="0" distL="0" distR="0" wp14:anchorId="5064E903" wp14:editId="4A4C0303">
                <wp:extent cx="942975" cy="774065"/>
                <wp:effectExtent l="0" t="0" r="9525" b="698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EPCT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42975" cy="774065"/>
                        </a:xfrm>
                        <a:prstGeom prst="rect">
                          <a:avLst/>
                        </a:prstGeom>
                      </pic:spPr>
                    </pic:pic>
                  </a:graphicData>
                </a:graphic>
              </wp:inline>
            </w:drawing>
          </w:r>
        </w:p>
      </w:tc>
    </w:tr>
  </w:tbl>
  <w:p w:rsidR="002F293B" w:rsidRPr="007E11CF" w:rsidRDefault="007E11CF" w:rsidP="007E11CF">
    <w:pPr>
      <w:pStyle w:val="Encabezado"/>
      <w:jc w:val="right"/>
      <w:rPr>
        <w:rFonts w:ascii="Arial" w:hAnsi="Arial" w:cs="Arial"/>
        <w:b/>
        <w:sz w:val="24"/>
        <w:szCs w:val="24"/>
      </w:rPr>
    </w:pPr>
    <w:r w:rsidRPr="007E11CF">
      <w:rPr>
        <w:rFonts w:ascii="Arial" w:hAnsi="Arial" w:cs="Arial"/>
        <w:b/>
        <w:sz w:val="24"/>
        <w:szCs w:val="24"/>
      </w:rPr>
      <w:t>JEE/2024/019</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11CF" w:rsidRDefault="007E11C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C85452"/>
    <w:multiLevelType w:val="hybridMultilevel"/>
    <w:tmpl w:val="1C2E560C"/>
    <w:lvl w:ilvl="0" w:tplc="3CE6C6D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79152D"/>
    <w:multiLevelType w:val="hybridMultilevel"/>
    <w:tmpl w:val="290E61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C90B7F"/>
    <w:multiLevelType w:val="hybridMultilevel"/>
    <w:tmpl w:val="8E5CC9E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18F5A5B"/>
    <w:multiLevelType w:val="hybridMultilevel"/>
    <w:tmpl w:val="3690B7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552FDF"/>
    <w:multiLevelType w:val="multilevel"/>
    <w:tmpl w:val="5C70C0D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num w:numId="1">
    <w:abstractNumId w:val="4"/>
  </w:num>
  <w:num w:numId="2">
    <w:abstractNumId w:val="3"/>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DA5"/>
    <w:rsid w:val="00202ADF"/>
    <w:rsid w:val="00297F4B"/>
    <w:rsid w:val="002F293B"/>
    <w:rsid w:val="004C5634"/>
    <w:rsid w:val="00767E9A"/>
    <w:rsid w:val="007E11CF"/>
    <w:rsid w:val="008041BA"/>
    <w:rsid w:val="008B7329"/>
    <w:rsid w:val="00B95C93"/>
    <w:rsid w:val="00BA5AC8"/>
    <w:rsid w:val="00BF3553"/>
    <w:rsid w:val="00C67820"/>
    <w:rsid w:val="00CB19DA"/>
    <w:rsid w:val="00D516A4"/>
    <w:rsid w:val="00E56DA5"/>
    <w:rsid w:val="00EF1E03"/>
    <w:rsid w:val="00FC09B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970CF"/>
  <w15:chartTrackingRefBased/>
  <w15:docId w15:val="{37332A63-F0F8-47A1-A7C0-B1CA7B2BF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6DA5"/>
    <w:pPr>
      <w:spacing w:before="240" w:after="240" w:line="276" w:lineRule="auto"/>
      <w:jc w:val="both"/>
    </w:pPr>
    <w:rPr>
      <w:rFonts w:ascii="Exo" w:hAnsi="Exo"/>
      <w:sz w:val="23"/>
      <w:szCs w:val="23"/>
    </w:rPr>
  </w:style>
  <w:style w:type="paragraph" w:styleId="Ttulo1">
    <w:name w:val="heading 1"/>
    <w:basedOn w:val="Normal"/>
    <w:next w:val="Normal"/>
    <w:link w:val="Ttulo1Car"/>
    <w:uiPriority w:val="9"/>
    <w:qFormat/>
    <w:rsid w:val="00E56DA5"/>
    <w:pPr>
      <w:numPr>
        <w:numId w:val="1"/>
      </w:numPr>
      <w:spacing w:before="600" w:line="281" w:lineRule="auto"/>
      <w:jc w:val="center"/>
      <w:outlineLvl w:val="0"/>
    </w:pPr>
    <w:rPr>
      <w:b/>
      <w:sz w:val="28"/>
      <w:lang w:val="es-ES"/>
    </w:rPr>
  </w:style>
  <w:style w:type="paragraph" w:styleId="Ttulo2">
    <w:name w:val="heading 2"/>
    <w:basedOn w:val="Normal"/>
    <w:next w:val="Normal"/>
    <w:link w:val="Ttulo2Car"/>
    <w:uiPriority w:val="9"/>
    <w:unhideWhenUsed/>
    <w:qFormat/>
    <w:rsid w:val="00E56DA5"/>
    <w:pPr>
      <w:numPr>
        <w:ilvl w:val="1"/>
        <w:numId w:val="1"/>
      </w:numPr>
      <w:spacing w:before="480" w:line="281" w:lineRule="auto"/>
      <w:outlineLvl w:val="1"/>
    </w:pPr>
    <w:rPr>
      <w:b/>
      <w:lang w:val="es-ES"/>
    </w:rPr>
  </w:style>
  <w:style w:type="paragraph" w:styleId="Ttulo3">
    <w:name w:val="heading 3"/>
    <w:basedOn w:val="Normal"/>
    <w:next w:val="Normal"/>
    <w:link w:val="Ttulo3Car"/>
    <w:uiPriority w:val="9"/>
    <w:semiHidden/>
    <w:unhideWhenUsed/>
    <w:qFormat/>
    <w:rsid w:val="00E56DA5"/>
    <w:pPr>
      <w:keepNext/>
      <w:keepLines/>
      <w:numPr>
        <w:ilvl w:val="2"/>
        <w:numId w:val="1"/>
      </w:numPr>
      <w:spacing w:before="40" w:after="0" w:line="281" w:lineRule="auto"/>
      <w:outlineLvl w:val="2"/>
    </w:pPr>
    <w:rPr>
      <w:rFonts w:asciiTheme="majorHAnsi" w:eastAsiaTheme="majorEastAsia" w:hAnsiTheme="majorHAnsi" w:cstheme="majorBidi"/>
      <w:color w:val="1F4D78" w:themeColor="accent1" w:themeShade="7F"/>
      <w:sz w:val="24"/>
      <w:szCs w:val="24"/>
      <w:lang w:val="es-ES"/>
    </w:rPr>
  </w:style>
  <w:style w:type="paragraph" w:styleId="Ttulo4">
    <w:name w:val="heading 4"/>
    <w:basedOn w:val="Normal"/>
    <w:next w:val="Normal"/>
    <w:link w:val="Ttulo4Car"/>
    <w:uiPriority w:val="9"/>
    <w:semiHidden/>
    <w:unhideWhenUsed/>
    <w:qFormat/>
    <w:rsid w:val="00E56DA5"/>
    <w:pPr>
      <w:keepNext/>
      <w:keepLines/>
      <w:numPr>
        <w:ilvl w:val="3"/>
        <w:numId w:val="1"/>
      </w:numPr>
      <w:spacing w:before="40" w:after="0" w:line="281" w:lineRule="auto"/>
      <w:outlineLvl w:val="3"/>
    </w:pPr>
    <w:rPr>
      <w:rFonts w:asciiTheme="majorHAnsi" w:eastAsiaTheme="majorEastAsia" w:hAnsiTheme="majorHAnsi" w:cstheme="majorBidi"/>
      <w:i/>
      <w:iCs/>
      <w:color w:val="2E74B5" w:themeColor="accent1" w:themeShade="BF"/>
      <w:lang w:val="es-ES"/>
    </w:rPr>
  </w:style>
  <w:style w:type="paragraph" w:styleId="Ttulo5">
    <w:name w:val="heading 5"/>
    <w:basedOn w:val="Normal"/>
    <w:next w:val="Normal"/>
    <w:link w:val="Ttulo5Car"/>
    <w:uiPriority w:val="9"/>
    <w:semiHidden/>
    <w:unhideWhenUsed/>
    <w:qFormat/>
    <w:rsid w:val="00E56DA5"/>
    <w:pPr>
      <w:keepNext/>
      <w:keepLines/>
      <w:numPr>
        <w:ilvl w:val="4"/>
        <w:numId w:val="1"/>
      </w:numPr>
      <w:spacing w:before="40" w:after="0" w:line="281" w:lineRule="auto"/>
      <w:outlineLvl w:val="4"/>
    </w:pPr>
    <w:rPr>
      <w:rFonts w:asciiTheme="majorHAnsi" w:eastAsiaTheme="majorEastAsia" w:hAnsiTheme="majorHAnsi" w:cstheme="majorBidi"/>
      <w:color w:val="2E74B5" w:themeColor="accent1" w:themeShade="BF"/>
      <w:lang w:val="es-ES"/>
    </w:rPr>
  </w:style>
  <w:style w:type="paragraph" w:styleId="Ttulo6">
    <w:name w:val="heading 6"/>
    <w:basedOn w:val="Normal"/>
    <w:next w:val="Normal"/>
    <w:link w:val="Ttulo6Car"/>
    <w:uiPriority w:val="9"/>
    <w:semiHidden/>
    <w:unhideWhenUsed/>
    <w:qFormat/>
    <w:rsid w:val="00E56DA5"/>
    <w:pPr>
      <w:keepNext/>
      <w:keepLines/>
      <w:numPr>
        <w:ilvl w:val="5"/>
        <w:numId w:val="1"/>
      </w:numPr>
      <w:spacing w:before="40" w:after="0" w:line="281" w:lineRule="auto"/>
      <w:outlineLvl w:val="5"/>
    </w:pPr>
    <w:rPr>
      <w:rFonts w:asciiTheme="majorHAnsi" w:eastAsiaTheme="majorEastAsia" w:hAnsiTheme="majorHAnsi" w:cstheme="majorBidi"/>
      <w:color w:val="1F4D78" w:themeColor="accent1" w:themeShade="7F"/>
      <w:lang w:val="es-ES"/>
    </w:rPr>
  </w:style>
  <w:style w:type="paragraph" w:styleId="Ttulo7">
    <w:name w:val="heading 7"/>
    <w:basedOn w:val="Normal"/>
    <w:next w:val="Normal"/>
    <w:link w:val="Ttulo7Car"/>
    <w:uiPriority w:val="9"/>
    <w:semiHidden/>
    <w:unhideWhenUsed/>
    <w:qFormat/>
    <w:rsid w:val="00E56DA5"/>
    <w:pPr>
      <w:keepNext/>
      <w:keepLines/>
      <w:numPr>
        <w:ilvl w:val="6"/>
        <w:numId w:val="1"/>
      </w:numPr>
      <w:spacing w:before="40" w:after="0" w:line="281" w:lineRule="auto"/>
      <w:outlineLvl w:val="6"/>
    </w:pPr>
    <w:rPr>
      <w:rFonts w:asciiTheme="majorHAnsi" w:eastAsiaTheme="majorEastAsia" w:hAnsiTheme="majorHAnsi" w:cstheme="majorBidi"/>
      <w:i/>
      <w:iCs/>
      <w:color w:val="1F4D78" w:themeColor="accent1" w:themeShade="7F"/>
      <w:lang w:val="es-ES"/>
    </w:rPr>
  </w:style>
  <w:style w:type="paragraph" w:styleId="Ttulo8">
    <w:name w:val="heading 8"/>
    <w:basedOn w:val="Normal"/>
    <w:next w:val="Normal"/>
    <w:link w:val="Ttulo8Car"/>
    <w:uiPriority w:val="9"/>
    <w:semiHidden/>
    <w:unhideWhenUsed/>
    <w:qFormat/>
    <w:rsid w:val="00E56DA5"/>
    <w:pPr>
      <w:keepNext/>
      <w:keepLines/>
      <w:numPr>
        <w:ilvl w:val="7"/>
        <w:numId w:val="1"/>
      </w:numPr>
      <w:spacing w:before="40" w:after="0" w:line="281" w:lineRule="auto"/>
      <w:outlineLvl w:val="7"/>
    </w:pPr>
    <w:rPr>
      <w:rFonts w:asciiTheme="majorHAnsi" w:eastAsiaTheme="majorEastAsia" w:hAnsiTheme="majorHAnsi" w:cstheme="majorBidi"/>
      <w:color w:val="272727" w:themeColor="text1" w:themeTint="D8"/>
      <w:sz w:val="21"/>
      <w:szCs w:val="21"/>
      <w:lang w:val="es-ES"/>
    </w:rPr>
  </w:style>
  <w:style w:type="paragraph" w:styleId="Ttulo9">
    <w:name w:val="heading 9"/>
    <w:basedOn w:val="Normal"/>
    <w:next w:val="Normal"/>
    <w:link w:val="Ttulo9Car"/>
    <w:uiPriority w:val="9"/>
    <w:semiHidden/>
    <w:unhideWhenUsed/>
    <w:qFormat/>
    <w:rsid w:val="00E56DA5"/>
    <w:pPr>
      <w:keepNext/>
      <w:keepLines/>
      <w:numPr>
        <w:ilvl w:val="8"/>
        <w:numId w:val="1"/>
      </w:numPr>
      <w:spacing w:before="40" w:after="0" w:line="281" w:lineRule="auto"/>
      <w:outlineLvl w:val="8"/>
    </w:pPr>
    <w:rPr>
      <w:rFonts w:asciiTheme="majorHAnsi" w:eastAsiaTheme="majorEastAsia" w:hAnsiTheme="majorHAnsi" w:cstheme="majorBidi"/>
      <w:i/>
      <w:iCs/>
      <w:color w:val="272727" w:themeColor="text1" w:themeTint="D8"/>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6DA5"/>
    <w:rPr>
      <w:rFonts w:ascii="Exo" w:hAnsi="Exo"/>
      <w:b/>
      <w:sz w:val="28"/>
      <w:szCs w:val="23"/>
      <w:lang w:val="es-ES"/>
    </w:rPr>
  </w:style>
  <w:style w:type="character" w:customStyle="1" w:styleId="Ttulo2Car">
    <w:name w:val="Título 2 Car"/>
    <w:basedOn w:val="Fuentedeprrafopredeter"/>
    <w:link w:val="Ttulo2"/>
    <w:uiPriority w:val="9"/>
    <w:rsid w:val="00E56DA5"/>
    <w:rPr>
      <w:rFonts w:ascii="Exo" w:hAnsi="Exo"/>
      <w:b/>
      <w:sz w:val="23"/>
      <w:szCs w:val="23"/>
      <w:lang w:val="es-ES"/>
    </w:rPr>
  </w:style>
  <w:style w:type="character" w:customStyle="1" w:styleId="Ttulo3Car">
    <w:name w:val="Título 3 Car"/>
    <w:basedOn w:val="Fuentedeprrafopredeter"/>
    <w:link w:val="Ttulo3"/>
    <w:uiPriority w:val="9"/>
    <w:semiHidden/>
    <w:rsid w:val="00E56DA5"/>
    <w:rPr>
      <w:rFonts w:asciiTheme="majorHAnsi" w:eastAsiaTheme="majorEastAsia" w:hAnsiTheme="majorHAnsi" w:cstheme="majorBidi"/>
      <w:color w:val="1F4D78" w:themeColor="accent1" w:themeShade="7F"/>
      <w:sz w:val="24"/>
      <w:szCs w:val="24"/>
      <w:lang w:val="es-ES"/>
    </w:rPr>
  </w:style>
  <w:style w:type="character" w:customStyle="1" w:styleId="Ttulo4Car">
    <w:name w:val="Título 4 Car"/>
    <w:basedOn w:val="Fuentedeprrafopredeter"/>
    <w:link w:val="Ttulo4"/>
    <w:uiPriority w:val="9"/>
    <w:semiHidden/>
    <w:rsid w:val="00E56DA5"/>
    <w:rPr>
      <w:rFonts w:asciiTheme="majorHAnsi" w:eastAsiaTheme="majorEastAsia" w:hAnsiTheme="majorHAnsi" w:cstheme="majorBidi"/>
      <w:i/>
      <w:iCs/>
      <w:color w:val="2E74B5" w:themeColor="accent1" w:themeShade="BF"/>
      <w:sz w:val="23"/>
      <w:szCs w:val="23"/>
      <w:lang w:val="es-ES"/>
    </w:rPr>
  </w:style>
  <w:style w:type="character" w:customStyle="1" w:styleId="Ttulo5Car">
    <w:name w:val="Título 5 Car"/>
    <w:basedOn w:val="Fuentedeprrafopredeter"/>
    <w:link w:val="Ttulo5"/>
    <w:uiPriority w:val="9"/>
    <w:semiHidden/>
    <w:rsid w:val="00E56DA5"/>
    <w:rPr>
      <w:rFonts w:asciiTheme="majorHAnsi" w:eastAsiaTheme="majorEastAsia" w:hAnsiTheme="majorHAnsi" w:cstheme="majorBidi"/>
      <w:color w:val="2E74B5" w:themeColor="accent1" w:themeShade="BF"/>
      <w:sz w:val="23"/>
      <w:szCs w:val="23"/>
      <w:lang w:val="es-ES"/>
    </w:rPr>
  </w:style>
  <w:style w:type="character" w:customStyle="1" w:styleId="Ttulo6Car">
    <w:name w:val="Título 6 Car"/>
    <w:basedOn w:val="Fuentedeprrafopredeter"/>
    <w:link w:val="Ttulo6"/>
    <w:uiPriority w:val="9"/>
    <w:semiHidden/>
    <w:rsid w:val="00E56DA5"/>
    <w:rPr>
      <w:rFonts w:asciiTheme="majorHAnsi" w:eastAsiaTheme="majorEastAsia" w:hAnsiTheme="majorHAnsi" w:cstheme="majorBidi"/>
      <w:color w:val="1F4D78" w:themeColor="accent1" w:themeShade="7F"/>
      <w:sz w:val="23"/>
      <w:szCs w:val="23"/>
      <w:lang w:val="es-ES"/>
    </w:rPr>
  </w:style>
  <w:style w:type="character" w:customStyle="1" w:styleId="Ttulo7Car">
    <w:name w:val="Título 7 Car"/>
    <w:basedOn w:val="Fuentedeprrafopredeter"/>
    <w:link w:val="Ttulo7"/>
    <w:uiPriority w:val="9"/>
    <w:semiHidden/>
    <w:rsid w:val="00E56DA5"/>
    <w:rPr>
      <w:rFonts w:asciiTheme="majorHAnsi" w:eastAsiaTheme="majorEastAsia" w:hAnsiTheme="majorHAnsi" w:cstheme="majorBidi"/>
      <w:i/>
      <w:iCs/>
      <w:color w:val="1F4D78" w:themeColor="accent1" w:themeShade="7F"/>
      <w:sz w:val="23"/>
      <w:szCs w:val="23"/>
      <w:lang w:val="es-ES"/>
    </w:rPr>
  </w:style>
  <w:style w:type="character" w:customStyle="1" w:styleId="Ttulo8Car">
    <w:name w:val="Título 8 Car"/>
    <w:basedOn w:val="Fuentedeprrafopredeter"/>
    <w:link w:val="Ttulo8"/>
    <w:uiPriority w:val="9"/>
    <w:semiHidden/>
    <w:rsid w:val="00E56DA5"/>
    <w:rPr>
      <w:rFonts w:asciiTheme="majorHAnsi" w:eastAsiaTheme="majorEastAsia" w:hAnsiTheme="majorHAnsi" w:cstheme="majorBidi"/>
      <w:color w:val="272727" w:themeColor="text1" w:themeTint="D8"/>
      <w:sz w:val="21"/>
      <w:szCs w:val="21"/>
      <w:lang w:val="es-ES"/>
    </w:rPr>
  </w:style>
  <w:style w:type="character" w:customStyle="1" w:styleId="Ttulo9Car">
    <w:name w:val="Título 9 Car"/>
    <w:basedOn w:val="Fuentedeprrafopredeter"/>
    <w:link w:val="Ttulo9"/>
    <w:uiPriority w:val="9"/>
    <w:semiHidden/>
    <w:rsid w:val="00E56DA5"/>
    <w:rPr>
      <w:rFonts w:asciiTheme="majorHAnsi" w:eastAsiaTheme="majorEastAsia" w:hAnsiTheme="majorHAnsi" w:cstheme="majorBidi"/>
      <w:i/>
      <w:iCs/>
      <w:color w:val="272727" w:themeColor="text1" w:themeTint="D8"/>
      <w:sz w:val="21"/>
      <w:szCs w:val="21"/>
      <w:lang w:val="es-ES"/>
    </w:rPr>
  </w:style>
  <w:style w:type="table" w:styleId="Tablaconcuadrcula">
    <w:name w:val="Table Grid"/>
    <w:basedOn w:val="Tablanormal"/>
    <w:uiPriority w:val="39"/>
    <w:rsid w:val="00E56D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67820"/>
    <w:pPr>
      <w:spacing w:line="281" w:lineRule="auto"/>
      <w:ind w:left="720"/>
      <w:contextualSpacing/>
    </w:pPr>
    <w:rPr>
      <w:lang w:val="es-ES"/>
    </w:rPr>
  </w:style>
  <w:style w:type="paragraph" w:styleId="Encabezado">
    <w:name w:val="header"/>
    <w:basedOn w:val="Normal"/>
    <w:link w:val="EncabezadoCar"/>
    <w:uiPriority w:val="99"/>
    <w:unhideWhenUsed/>
    <w:rsid w:val="002F293B"/>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2F293B"/>
    <w:rPr>
      <w:rFonts w:ascii="Exo" w:hAnsi="Exo"/>
      <w:sz w:val="23"/>
      <w:szCs w:val="23"/>
    </w:rPr>
  </w:style>
  <w:style w:type="paragraph" w:styleId="Piedepgina">
    <w:name w:val="footer"/>
    <w:basedOn w:val="Normal"/>
    <w:link w:val="PiedepginaCar"/>
    <w:uiPriority w:val="99"/>
    <w:unhideWhenUsed/>
    <w:rsid w:val="002F293B"/>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2F293B"/>
    <w:rPr>
      <w:rFonts w:ascii="Exo" w:hAnsi="Exo"/>
      <w:sz w:val="23"/>
      <w:szCs w:val="23"/>
    </w:rPr>
  </w:style>
  <w:style w:type="paragraph" w:styleId="Textodeglobo">
    <w:name w:val="Balloon Text"/>
    <w:basedOn w:val="Normal"/>
    <w:link w:val="TextodegloboCar"/>
    <w:uiPriority w:val="99"/>
    <w:semiHidden/>
    <w:unhideWhenUsed/>
    <w:rsid w:val="00BF3553"/>
    <w:pPr>
      <w:spacing w:before="0"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355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142</TotalTime>
  <Pages>8</Pages>
  <Words>2331</Words>
  <Characters>12825</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Lic Mayo</dc:creator>
  <cp:keywords/>
  <dc:description/>
  <cp:lastModifiedBy>Jaqueline del Carmen Carrillo Llergo</cp:lastModifiedBy>
  <cp:revision>7</cp:revision>
  <cp:lastPrinted>2024-08-15T21:37:00Z</cp:lastPrinted>
  <dcterms:created xsi:type="dcterms:W3CDTF">2024-08-12T15:40:00Z</dcterms:created>
  <dcterms:modified xsi:type="dcterms:W3CDTF">2024-08-15T21:39:00Z</dcterms:modified>
</cp:coreProperties>
</file>