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CF" w:rsidRPr="00B37707" w:rsidRDefault="00B37707" w:rsidP="00CC1BCF">
      <w:pPr>
        <w:rPr>
          <w:rFonts w:ascii="Arial" w:hAnsi="Arial" w:cs="Arial"/>
          <w:b/>
        </w:rPr>
      </w:pPr>
      <w:r w:rsidRPr="00B37707">
        <w:rPr>
          <w:rFonts w:ascii="Arial" w:hAnsi="Arial" w:cs="Arial"/>
          <w:b/>
        </w:rPr>
        <w:t>ACUERDO QUE, A PROPUESTA DE LA SECRETARÍA EJECUTIVA, EMITE LA JUNTA ESTATAL EJECUTIVA DEL INSTITUTO ELECTORAL Y DE PARTICIPACIÓN CIUDADANA DE TABASCO, MEDIANTE EL CUAL OTORGA LOS ESTÍMULOS, EXTRAORDINARIO DE FIN DE AÑO, DEL COMPLEMENTO AL SALARIO CORRESPONDIENTE AL EJERCICIO 2024 Y EL BONO POR ANTIGÜEDAD PARA EL PERSONAL DEL PROPIO INSTITUTO</w:t>
      </w:r>
    </w:p>
    <w:p w:rsidR="00CC1BCF" w:rsidRPr="00B37707" w:rsidRDefault="00CC1BCF" w:rsidP="00CC1BCF">
      <w:pPr>
        <w:rPr>
          <w:rFonts w:ascii="Arial" w:hAnsi="Arial" w:cs="Arial"/>
        </w:rPr>
      </w:pPr>
      <w:r w:rsidRPr="00B37707">
        <w:rPr>
          <w:rFonts w:ascii="Arial" w:hAnsi="Arial" w:cs="Arial"/>
          <w:sz w:val="23"/>
          <w:szCs w:val="23"/>
        </w:rPr>
        <w:t>Para efectos del presente acuerdo se usarán las abreviaturas y definiciones siguientes</w:t>
      </w:r>
      <w:r w:rsidRPr="00B37707">
        <w:rPr>
          <w:rFonts w:ascii="Arial" w:hAnsi="Arial" w:cs="Arial"/>
        </w:rPr>
        <w:t>:</w:t>
      </w:r>
    </w:p>
    <w:tbl>
      <w:tblPr>
        <w:tblStyle w:val="Tablaconcuadrcula"/>
        <w:tblW w:w="0" w:type="auto"/>
        <w:tblInd w:w="704" w:type="dxa"/>
        <w:tblLook w:val="04A0" w:firstRow="1" w:lastRow="0" w:firstColumn="1" w:lastColumn="0" w:noHBand="0" w:noVBand="1"/>
      </w:tblPr>
      <w:tblGrid>
        <w:gridCol w:w="2693"/>
        <w:gridCol w:w="4962"/>
      </w:tblGrid>
      <w:tr w:rsidR="00DE5640" w:rsidRPr="00B37707" w:rsidTr="007B2E97">
        <w:tc>
          <w:tcPr>
            <w:tcW w:w="2693" w:type="dxa"/>
            <w:vAlign w:val="center"/>
          </w:tcPr>
          <w:p w:rsidR="00DE5640" w:rsidRPr="00B37707" w:rsidRDefault="00DE5640" w:rsidP="007B2E97">
            <w:pPr>
              <w:spacing w:before="120" w:after="120"/>
              <w:jc w:val="right"/>
              <w:rPr>
                <w:rFonts w:ascii="Arial" w:hAnsi="Arial" w:cs="Arial"/>
                <w:b/>
                <w:sz w:val="20"/>
                <w:szCs w:val="20"/>
              </w:rPr>
            </w:pPr>
            <w:r w:rsidRPr="00B37707">
              <w:rPr>
                <w:rFonts w:ascii="Arial" w:hAnsi="Arial" w:cs="Arial"/>
                <w:b/>
                <w:sz w:val="20"/>
                <w:szCs w:val="20"/>
              </w:rPr>
              <w:t>Consejo Estatal:</w:t>
            </w:r>
          </w:p>
        </w:tc>
        <w:tc>
          <w:tcPr>
            <w:tcW w:w="4962" w:type="dxa"/>
            <w:vAlign w:val="center"/>
          </w:tcPr>
          <w:p w:rsidR="00DE5640" w:rsidRPr="00B37707" w:rsidRDefault="00DE5640" w:rsidP="007B2E97">
            <w:pPr>
              <w:spacing w:before="120" w:after="120"/>
              <w:rPr>
                <w:rFonts w:ascii="Arial" w:hAnsi="Arial" w:cs="Arial"/>
                <w:sz w:val="20"/>
                <w:szCs w:val="20"/>
              </w:rPr>
            </w:pPr>
            <w:r w:rsidRPr="00B37707">
              <w:rPr>
                <w:rFonts w:ascii="Arial" w:hAnsi="Arial" w:cs="Arial"/>
                <w:sz w:val="20"/>
                <w:szCs w:val="20"/>
              </w:rPr>
              <w:t>Consejo Estatal del Instituto Electoral y de Participación Ciudadana de Tabasco.</w:t>
            </w:r>
          </w:p>
        </w:tc>
      </w:tr>
      <w:tr w:rsidR="00DE5640" w:rsidRPr="00B37707" w:rsidTr="007B2E97">
        <w:tc>
          <w:tcPr>
            <w:tcW w:w="2693" w:type="dxa"/>
            <w:vAlign w:val="center"/>
          </w:tcPr>
          <w:p w:rsidR="00DE5640" w:rsidRPr="00B37707" w:rsidRDefault="00DE5640" w:rsidP="007B2E97">
            <w:pPr>
              <w:spacing w:before="120" w:after="120"/>
              <w:jc w:val="right"/>
              <w:rPr>
                <w:rFonts w:ascii="Arial" w:hAnsi="Arial" w:cs="Arial"/>
                <w:b/>
                <w:sz w:val="20"/>
                <w:szCs w:val="20"/>
              </w:rPr>
            </w:pPr>
            <w:r w:rsidRPr="00B37707">
              <w:rPr>
                <w:rFonts w:ascii="Arial" w:hAnsi="Arial" w:cs="Arial"/>
                <w:b/>
                <w:sz w:val="20"/>
                <w:szCs w:val="20"/>
              </w:rPr>
              <w:t>Constitución Federal:</w:t>
            </w:r>
          </w:p>
        </w:tc>
        <w:tc>
          <w:tcPr>
            <w:tcW w:w="4962" w:type="dxa"/>
            <w:vAlign w:val="center"/>
          </w:tcPr>
          <w:p w:rsidR="00DE5640" w:rsidRPr="00B37707" w:rsidRDefault="00DE5640" w:rsidP="007B2E97">
            <w:pPr>
              <w:spacing w:before="120" w:after="120"/>
              <w:rPr>
                <w:rFonts w:ascii="Arial" w:hAnsi="Arial" w:cs="Arial"/>
                <w:sz w:val="20"/>
                <w:szCs w:val="20"/>
              </w:rPr>
            </w:pPr>
            <w:r w:rsidRPr="00B37707">
              <w:rPr>
                <w:rFonts w:ascii="Arial" w:hAnsi="Arial" w:cs="Arial"/>
                <w:sz w:val="20"/>
                <w:szCs w:val="20"/>
              </w:rPr>
              <w:t>Constitución Política de los Estados Unidos Mexicanos.</w:t>
            </w:r>
          </w:p>
        </w:tc>
      </w:tr>
      <w:tr w:rsidR="00DE5640" w:rsidRPr="00B37707" w:rsidTr="007B2E97">
        <w:tc>
          <w:tcPr>
            <w:tcW w:w="2693" w:type="dxa"/>
            <w:vAlign w:val="center"/>
          </w:tcPr>
          <w:p w:rsidR="00DE5640" w:rsidRPr="00B37707" w:rsidRDefault="00DE5640" w:rsidP="007B2E97">
            <w:pPr>
              <w:spacing w:before="120" w:after="120"/>
              <w:jc w:val="right"/>
              <w:rPr>
                <w:rFonts w:ascii="Arial" w:hAnsi="Arial" w:cs="Arial"/>
                <w:b/>
                <w:sz w:val="20"/>
                <w:szCs w:val="20"/>
              </w:rPr>
            </w:pPr>
            <w:r w:rsidRPr="00B37707">
              <w:rPr>
                <w:rFonts w:ascii="Arial" w:hAnsi="Arial" w:cs="Arial"/>
                <w:b/>
                <w:sz w:val="20"/>
                <w:szCs w:val="20"/>
              </w:rPr>
              <w:t>Constitución Local:</w:t>
            </w:r>
          </w:p>
        </w:tc>
        <w:tc>
          <w:tcPr>
            <w:tcW w:w="4962" w:type="dxa"/>
            <w:vAlign w:val="center"/>
          </w:tcPr>
          <w:p w:rsidR="00DE5640" w:rsidRPr="00B37707" w:rsidRDefault="00DE5640" w:rsidP="007B2E97">
            <w:pPr>
              <w:spacing w:before="120" w:after="120"/>
              <w:rPr>
                <w:rFonts w:ascii="Arial" w:hAnsi="Arial" w:cs="Arial"/>
                <w:sz w:val="20"/>
                <w:szCs w:val="20"/>
              </w:rPr>
            </w:pPr>
            <w:r w:rsidRPr="00B37707">
              <w:rPr>
                <w:rFonts w:ascii="Arial" w:hAnsi="Arial" w:cs="Arial"/>
                <w:sz w:val="20"/>
                <w:szCs w:val="20"/>
              </w:rPr>
              <w:t>Constitución Política del Estado Libre y Soberano de Tabasco.</w:t>
            </w:r>
          </w:p>
        </w:tc>
      </w:tr>
      <w:tr w:rsidR="00DE5640" w:rsidRPr="00B37707" w:rsidTr="007B2E97">
        <w:tc>
          <w:tcPr>
            <w:tcW w:w="2693" w:type="dxa"/>
            <w:vAlign w:val="center"/>
          </w:tcPr>
          <w:p w:rsidR="00DE5640" w:rsidRPr="00B37707" w:rsidRDefault="00DE5640" w:rsidP="007B2E97">
            <w:pPr>
              <w:spacing w:before="120" w:after="120"/>
              <w:jc w:val="right"/>
              <w:rPr>
                <w:rFonts w:ascii="Arial" w:hAnsi="Arial" w:cs="Arial"/>
                <w:b/>
                <w:sz w:val="20"/>
                <w:szCs w:val="20"/>
              </w:rPr>
            </w:pPr>
            <w:r w:rsidRPr="00B37707">
              <w:rPr>
                <w:rFonts w:ascii="Arial" w:hAnsi="Arial" w:cs="Arial"/>
                <w:b/>
                <w:sz w:val="20"/>
                <w:szCs w:val="20"/>
              </w:rPr>
              <w:t>Instituto:</w:t>
            </w:r>
          </w:p>
        </w:tc>
        <w:tc>
          <w:tcPr>
            <w:tcW w:w="4962" w:type="dxa"/>
            <w:vAlign w:val="center"/>
          </w:tcPr>
          <w:p w:rsidR="00DE5640" w:rsidRPr="00B37707" w:rsidRDefault="00DE5640" w:rsidP="007B2E97">
            <w:pPr>
              <w:spacing w:before="120" w:after="120"/>
              <w:rPr>
                <w:rFonts w:ascii="Arial" w:hAnsi="Arial" w:cs="Arial"/>
                <w:sz w:val="20"/>
                <w:szCs w:val="20"/>
              </w:rPr>
            </w:pPr>
            <w:r w:rsidRPr="00B37707">
              <w:rPr>
                <w:rFonts w:ascii="Arial" w:hAnsi="Arial" w:cs="Arial"/>
                <w:sz w:val="20"/>
                <w:szCs w:val="20"/>
              </w:rPr>
              <w:t>Instituto Electoral y de Participación Ciudadana de Tabasco.</w:t>
            </w:r>
          </w:p>
        </w:tc>
      </w:tr>
      <w:tr w:rsidR="00DE5640" w:rsidRPr="00B37707" w:rsidTr="007B2E97">
        <w:tc>
          <w:tcPr>
            <w:tcW w:w="2693" w:type="dxa"/>
            <w:vAlign w:val="center"/>
          </w:tcPr>
          <w:p w:rsidR="00DE5640" w:rsidRPr="00B37707" w:rsidRDefault="00DE5640" w:rsidP="007B2E97">
            <w:pPr>
              <w:spacing w:before="120" w:after="120"/>
              <w:jc w:val="right"/>
              <w:rPr>
                <w:rFonts w:ascii="Arial" w:hAnsi="Arial" w:cs="Arial"/>
                <w:b/>
                <w:sz w:val="20"/>
                <w:szCs w:val="20"/>
              </w:rPr>
            </w:pPr>
            <w:r w:rsidRPr="00B37707">
              <w:rPr>
                <w:rFonts w:ascii="Arial" w:hAnsi="Arial" w:cs="Arial"/>
                <w:b/>
                <w:sz w:val="20"/>
                <w:szCs w:val="20"/>
              </w:rPr>
              <w:t>Junta Ejecutiva:</w:t>
            </w:r>
          </w:p>
        </w:tc>
        <w:tc>
          <w:tcPr>
            <w:tcW w:w="4962" w:type="dxa"/>
            <w:vAlign w:val="center"/>
          </w:tcPr>
          <w:p w:rsidR="00DE5640" w:rsidRPr="00B37707" w:rsidRDefault="00DE5640" w:rsidP="007B2E97">
            <w:pPr>
              <w:spacing w:before="120" w:after="120"/>
              <w:rPr>
                <w:rFonts w:ascii="Arial" w:hAnsi="Arial" w:cs="Arial"/>
                <w:sz w:val="20"/>
                <w:szCs w:val="20"/>
              </w:rPr>
            </w:pPr>
            <w:r w:rsidRPr="00B37707">
              <w:rPr>
                <w:rFonts w:ascii="Arial" w:hAnsi="Arial" w:cs="Arial"/>
                <w:sz w:val="20"/>
                <w:szCs w:val="20"/>
              </w:rPr>
              <w:t>Junta Estatal Ejecutiva del Instituto Electoral y de Participación Ciudadana de Tabasco.</w:t>
            </w:r>
          </w:p>
        </w:tc>
      </w:tr>
      <w:tr w:rsidR="00DE5640" w:rsidRPr="00B37707" w:rsidTr="007B2E97">
        <w:tc>
          <w:tcPr>
            <w:tcW w:w="2693" w:type="dxa"/>
            <w:vAlign w:val="center"/>
          </w:tcPr>
          <w:p w:rsidR="00DE5640" w:rsidRPr="00B37707" w:rsidRDefault="00DE5640" w:rsidP="007B2E97">
            <w:pPr>
              <w:spacing w:before="120" w:after="120"/>
              <w:jc w:val="right"/>
              <w:rPr>
                <w:rFonts w:ascii="Arial" w:hAnsi="Arial" w:cs="Arial"/>
                <w:b/>
                <w:sz w:val="20"/>
                <w:szCs w:val="20"/>
              </w:rPr>
            </w:pPr>
            <w:r w:rsidRPr="00B37707">
              <w:rPr>
                <w:rFonts w:ascii="Arial" w:hAnsi="Arial" w:cs="Arial"/>
                <w:b/>
                <w:sz w:val="20"/>
                <w:szCs w:val="20"/>
              </w:rPr>
              <w:t>Ley de Remuneraciones:</w:t>
            </w:r>
          </w:p>
        </w:tc>
        <w:tc>
          <w:tcPr>
            <w:tcW w:w="4962" w:type="dxa"/>
            <w:vAlign w:val="center"/>
          </w:tcPr>
          <w:p w:rsidR="00DE5640" w:rsidRPr="00B37707" w:rsidRDefault="00DE5640" w:rsidP="007B2E97">
            <w:pPr>
              <w:spacing w:before="120" w:after="120"/>
              <w:rPr>
                <w:rFonts w:ascii="Arial" w:hAnsi="Arial" w:cs="Arial"/>
                <w:sz w:val="20"/>
                <w:szCs w:val="20"/>
              </w:rPr>
            </w:pPr>
            <w:r w:rsidRPr="00B37707">
              <w:rPr>
                <w:rFonts w:ascii="Arial" w:hAnsi="Arial" w:cs="Arial"/>
                <w:sz w:val="20"/>
                <w:szCs w:val="20"/>
              </w:rPr>
              <w:t>Ley de Remuneraciones de los servidores públicos del Estado de Tabasco y sus Municipios.</w:t>
            </w:r>
          </w:p>
        </w:tc>
      </w:tr>
      <w:tr w:rsidR="00DE5640" w:rsidRPr="00B37707" w:rsidTr="007B2E97">
        <w:tc>
          <w:tcPr>
            <w:tcW w:w="2693" w:type="dxa"/>
            <w:vAlign w:val="center"/>
          </w:tcPr>
          <w:p w:rsidR="00DE5640" w:rsidRPr="00B37707" w:rsidRDefault="00DE5640" w:rsidP="007B2E97">
            <w:pPr>
              <w:spacing w:before="120" w:after="120"/>
              <w:jc w:val="right"/>
              <w:rPr>
                <w:rFonts w:ascii="Arial" w:hAnsi="Arial" w:cs="Arial"/>
                <w:b/>
                <w:sz w:val="20"/>
                <w:szCs w:val="20"/>
              </w:rPr>
            </w:pPr>
            <w:r w:rsidRPr="00B37707">
              <w:rPr>
                <w:rFonts w:ascii="Arial" w:hAnsi="Arial" w:cs="Arial"/>
                <w:b/>
                <w:sz w:val="20"/>
                <w:szCs w:val="20"/>
              </w:rPr>
              <w:t>Ley Electoral:</w:t>
            </w:r>
          </w:p>
        </w:tc>
        <w:tc>
          <w:tcPr>
            <w:tcW w:w="4962" w:type="dxa"/>
            <w:vAlign w:val="center"/>
          </w:tcPr>
          <w:p w:rsidR="00DE5640" w:rsidRPr="00B37707" w:rsidRDefault="00DE5640" w:rsidP="007B2E97">
            <w:pPr>
              <w:spacing w:before="120" w:after="120"/>
              <w:rPr>
                <w:rFonts w:ascii="Arial" w:hAnsi="Arial" w:cs="Arial"/>
                <w:sz w:val="20"/>
                <w:szCs w:val="20"/>
              </w:rPr>
            </w:pPr>
            <w:r w:rsidRPr="00B37707">
              <w:rPr>
                <w:rFonts w:ascii="Arial" w:hAnsi="Arial" w:cs="Arial"/>
                <w:sz w:val="20"/>
                <w:szCs w:val="20"/>
              </w:rPr>
              <w:t>Ley Electoral y de Partidos Políticos del Estado de Tabasco.</w:t>
            </w:r>
          </w:p>
        </w:tc>
      </w:tr>
      <w:tr w:rsidR="00DE5640" w:rsidRPr="00B37707" w:rsidTr="007B2E97">
        <w:tc>
          <w:tcPr>
            <w:tcW w:w="2693" w:type="dxa"/>
            <w:vAlign w:val="center"/>
          </w:tcPr>
          <w:p w:rsidR="00DE5640" w:rsidRPr="00B37707" w:rsidRDefault="00DE5640" w:rsidP="007B2E97">
            <w:pPr>
              <w:spacing w:before="120" w:after="120"/>
              <w:jc w:val="right"/>
              <w:rPr>
                <w:rFonts w:ascii="Arial" w:hAnsi="Arial" w:cs="Arial"/>
                <w:b/>
                <w:sz w:val="20"/>
                <w:szCs w:val="20"/>
              </w:rPr>
            </w:pPr>
            <w:r w:rsidRPr="00B37707">
              <w:rPr>
                <w:rFonts w:ascii="Arial" w:hAnsi="Arial" w:cs="Arial"/>
                <w:b/>
                <w:sz w:val="20"/>
                <w:szCs w:val="20"/>
              </w:rPr>
              <w:t>Manual de Remuneraciones:</w:t>
            </w:r>
          </w:p>
        </w:tc>
        <w:tc>
          <w:tcPr>
            <w:tcW w:w="4962" w:type="dxa"/>
            <w:vAlign w:val="center"/>
          </w:tcPr>
          <w:p w:rsidR="00DE5640" w:rsidRPr="00B37707" w:rsidRDefault="00DE5640" w:rsidP="007B2E97">
            <w:pPr>
              <w:spacing w:before="120" w:after="120"/>
              <w:rPr>
                <w:rFonts w:ascii="Arial" w:hAnsi="Arial" w:cs="Arial"/>
                <w:sz w:val="20"/>
                <w:szCs w:val="20"/>
              </w:rPr>
            </w:pPr>
            <w:r w:rsidRPr="00B37707">
              <w:rPr>
                <w:rFonts w:ascii="Arial" w:hAnsi="Arial" w:cs="Arial"/>
                <w:sz w:val="20"/>
                <w:szCs w:val="20"/>
              </w:rPr>
              <w:t>Manual de Remuneraciones de los servidores públicos del Instituto Electoral y de Participación Ciudadana de Tabasco.</w:t>
            </w:r>
          </w:p>
        </w:tc>
      </w:tr>
      <w:tr w:rsidR="00DE5640" w:rsidRPr="00B37707" w:rsidTr="007B2E97">
        <w:tc>
          <w:tcPr>
            <w:tcW w:w="2693" w:type="dxa"/>
            <w:vAlign w:val="center"/>
          </w:tcPr>
          <w:p w:rsidR="00DE5640" w:rsidRPr="00B37707" w:rsidRDefault="00DE5640" w:rsidP="007B2E97">
            <w:pPr>
              <w:spacing w:before="120" w:after="120"/>
              <w:jc w:val="right"/>
              <w:rPr>
                <w:rFonts w:ascii="Arial" w:hAnsi="Arial" w:cs="Arial"/>
                <w:b/>
                <w:sz w:val="20"/>
                <w:szCs w:val="20"/>
              </w:rPr>
            </w:pPr>
            <w:r w:rsidRPr="00B37707">
              <w:rPr>
                <w:rFonts w:ascii="Arial" w:hAnsi="Arial" w:cs="Arial"/>
                <w:b/>
                <w:sz w:val="20"/>
                <w:szCs w:val="20"/>
              </w:rPr>
              <w:t>Organismo electoral:</w:t>
            </w:r>
          </w:p>
        </w:tc>
        <w:tc>
          <w:tcPr>
            <w:tcW w:w="4962" w:type="dxa"/>
            <w:vAlign w:val="center"/>
          </w:tcPr>
          <w:p w:rsidR="00DE5640" w:rsidRPr="00B37707" w:rsidRDefault="00DE5640" w:rsidP="007B2E97">
            <w:pPr>
              <w:spacing w:before="120" w:after="120"/>
              <w:rPr>
                <w:rFonts w:ascii="Arial" w:hAnsi="Arial" w:cs="Arial"/>
                <w:sz w:val="20"/>
                <w:szCs w:val="20"/>
              </w:rPr>
            </w:pPr>
            <w:r w:rsidRPr="00B37707">
              <w:rPr>
                <w:rFonts w:ascii="Arial" w:hAnsi="Arial" w:cs="Arial"/>
                <w:sz w:val="20"/>
                <w:szCs w:val="20"/>
              </w:rPr>
              <w:t xml:space="preserve">Organismo(s) público(s) local(es) electoral(es). </w:t>
            </w:r>
          </w:p>
        </w:tc>
      </w:tr>
      <w:tr w:rsidR="00DE5640" w:rsidRPr="00B37707" w:rsidTr="007B2E97">
        <w:tc>
          <w:tcPr>
            <w:tcW w:w="2693" w:type="dxa"/>
            <w:vAlign w:val="center"/>
          </w:tcPr>
          <w:p w:rsidR="00DE5640" w:rsidRPr="00B37707" w:rsidRDefault="00DE5640" w:rsidP="007B2E97">
            <w:pPr>
              <w:spacing w:before="120" w:after="120"/>
              <w:jc w:val="right"/>
              <w:rPr>
                <w:rFonts w:ascii="Arial" w:hAnsi="Arial" w:cs="Arial"/>
                <w:b/>
                <w:sz w:val="20"/>
                <w:szCs w:val="20"/>
              </w:rPr>
            </w:pPr>
            <w:r w:rsidRPr="00B37707">
              <w:rPr>
                <w:rFonts w:ascii="Arial" w:hAnsi="Arial" w:cs="Arial"/>
                <w:b/>
                <w:sz w:val="20"/>
                <w:szCs w:val="20"/>
              </w:rPr>
              <w:t>Reglamento interior:</w:t>
            </w:r>
          </w:p>
        </w:tc>
        <w:tc>
          <w:tcPr>
            <w:tcW w:w="4962" w:type="dxa"/>
            <w:vAlign w:val="center"/>
          </w:tcPr>
          <w:p w:rsidR="00B37707" w:rsidRDefault="00DE5640" w:rsidP="007B2E97">
            <w:pPr>
              <w:spacing w:before="120" w:after="120"/>
              <w:rPr>
                <w:rFonts w:ascii="Arial" w:hAnsi="Arial" w:cs="Arial"/>
                <w:sz w:val="20"/>
                <w:szCs w:val="20"/>
              </w:rPr>
            </w:pPr>
            <w:r w:rsidRPr="00B37707">
              <w:rPr>
                <w:rFonts w:ascii="Arial" w:hAnsi="Arial" w:cs="Arial"/>
                <w:sz w:val="20"/>
                <w:szCs w:val="20"/>
              </w:rPr>
              <w:t>Reglamento interior del Instituto Electoral y de Participación Ciudadana de Tabasco.</w:t>
            </w:r>
          </w:p>
          <w:p w:rsidR="00B37707" w:rsidRPr="00B37707" w:rsidRDefault="00B37707" w:rsidP="00B37707">
            <w:pPr>
              <w:rPr>
                <w:rFonts w:ascii="Arial" w:hAnsi="Arial" w:cs="Arial"/>
                <w:sz w:val="20"/>
                <w:szCs w:val="20"/>
              </w:rPr>
            </w:pPr>
          </w:p>
          <w:p w:rsidR="00DE5640" w:rsidRPr="00B37707" w:rsidRDefault="00DE5640" w:rsidP="00B37707">
            <w:pPr>
              <w:rPr>
                <w:rFonts w:ascii="Arial" w:hAnsi="Arial" w:cs="Arial"/>
                <w:sz w:val="20"/>
                <w:szCs w:val="20"/>
              </w:rPr>
            </w:pPr>
          </w:p>
        </w:tc>
      </w:tr>
      <w:tr w:rsidR="00DE5640" w:rsidRPr="00B37707" w:rsidTr="007B2E97">
        <w:tc>
          <w:tcPr>
            <w:tcW w:w="2693" w:type="dxa"/>
            <w:vAlign w:val="center"/>
          </w:tcPr>
          <w:p w:rsidR="00DE5640" w:rsidRPr="00B37707" w:rsidRDefault="00DE5640" w:rsidP="007B2E97">
            <w:pPr>
              <w:spacing w:before="120" w:after="120"/>
              <w:jc w:val="right"/>
              <w:rPr>
                <w:rFonts w:ascii="Arial" w:hAnsi="Arial" w:cs="Arial"/>
                <w:b/>
                <w:sz w:val="20"/>
                <w:szCs w:val="20"/>
              </w:rPr>
            </w:pPr>
            <w:r w:rsidRPr="00B37707">
              <w:rPr>
                <w:rFonts w:ascii="Arial" w:hAnsi="Arial" w:cs="Arial"/>
                <w:b/>
                <w:sz w:val="20"/>
                <w:szCs w:val="20"/>
              </w:rPr>
              <w:lastRenderedPageBreak/>
              <w:t>Secretaría Ejecutiva:</w:t>
            </w:r>
          </w:p>
        </w:tc>
        <w:tc>
          <w:tcPr>
            <w:tcW w:w="4962" w:type="dxa"/>
            <w:vAlign w:val="center"/>
          </w:tcPr>
          <w:p w:rsidR="00DE5640" w:rsidRPr="00B37707" w:rsidRDefault="00DE5640" w:rsidP="007B2E97">
            <w:pPr>
              <w:spacing w:before="120" w:after="120"/>
              <w:rPr>
                <w:rFonts w:ascii="Arial" w:hAnsi="Arial" w:cs="Arial"/>
                <w:sz w:val="20"/>
                <w:szCs w:val="20"/>
              </w:rPr>
            </w:pPr>
            <w:r w:rsidRPr="00B37707">
              <w:rPr>
                <w:rFonts w:ascii="Arial" w:hAnsi="Arial" w:cs="Arial"/>
                <w:sz w:val="20"/>
                <w:szCs w:val="20"/>
              </w:rPr>
              <w:t>Secretaría Ejecutiva del Instituto Electoral y de Participación Ciudadana de Tabasco.</w:t>
            </w:r>
          </w:p>
        </w:tc>
      </w:tr>
    </w:tbl>
    <w:p w:rsidR="00CC1BCF" w:rsidRPr="00B37707" w:rsidRDefault="00CC1BCF" w:rsidP="0048458B">
      <w:pPr>
        <w:pStyle w:val="Ttulo1"/>
        <w:rPr>
          <w:rFonts w:ascii="Arial" w:hAnsi="Arial" w:cs="Arial"/>
          <w:sz w:val="24"/>
          <w:szCs w:val="24"/>
        </w:rPr>
      </w:pPr>
      <w:r w:rsidRPr="00B37707">
        <w:rPr>
          <w:rFonts w:ascii="Arial" w:hAnsi="Arial" w:cs="Arial"/>
          <w:sz w:val="24"/>
          <w:szCs w:val="24"/>
        </w:rPr>
        <w:t>Antecedentes</w:t>
      </w:r>
    </w:p>
    <w:p w:rsidR="00EE385D" w:rsidRPr="00B37707" w:rsidRDefault="00EE385D" w:rsidP="00EE385D">
      <w:pPr>
        <w:pStyle w:val="Ttulo2"/>
        <w:rPr>
          <w:rFonts w:ascii="Arial" w:hAnsi="Arial" w:cs="Arial"/>
          <w:sz w:val="23"/>
          <w:szCs w:val="23"/>
        </w:rPr>
      </w:pPr>
      <w:r w:rsidRPr="00B37707">
        <w:rPr>
          <w:rFonts w:ascii="Arial" w:hAnsi="Arial" w:cs="Arial"/>
          <w:sz w:val="23"/>
          <w:szCs w:val="23"/>
        </w:rPr>
        <w:t>Aprobación del Presupuesto Anual correspondiente al ejercicio 2024</w:t>
      </w:r>
    </w:p>
    <w:p w:rsidR="00EE385D" w:rsidRPr="00B37707" w:rsidRDefault="00EE385D" w:rsidP="00EE385D">
      <w:pPr>
        <w:rPr>
          <w:rFonts w:ascii="Arial" w:hAnsi="Arial" w:cs="Arial"/>
          <w:sz w:val="23"/>
          <w:szCs w:val="23"/>
        </w:rPr>
      </w:pPr>
      <w:r w:rsidRPr="00B37707">
        <w:rPr>
          <w:rFonts w:ascii="Arial" w:hAnsi="Arial" w:cs="Arial"/>
          <w:sz w:val="23"/>
          <w:szCs w:val="23"/>
        </w:rPr>
        <w:t>El 20 de diciembre de 2023, se publicó en el Suplemento “K”, Edición 8482 al Periódico Oficial del Estado número 10565, el decreto 182 relativo al Presupuesto Anual de Egresos aprobado por el H. Congreso del Estado de Tabasco, correspondiente al ejercicio 2024, el cual contiene entre otros aspectos, la política de gasto de los órganos autónomos.</w:t>
      </w:r>
    </w:p>
    <w:p w:rsidR="00EE385D" w:rsidRPr="00B37707" w:rsidRDefault="00EE385D" w:rsidP="00EE385D">
      <w:pPr>
        <w:pStyle w:val="Ttulo2"/>
        <w:rPr>
          <w:rFonts w:ascii="Arial" w:hAnsi="Arial" w:cs="Arial"/>
          <w:sz w:val="23"/>
          <w:szCs w:val="23"/>
        </w:rPr>
      </w:pPr>
      <w:r w:rsidRPr="00B37707">
        <w:rPr>
          <w:rFonts w:ascii="Arial" w:hAnsi="Arial" w:cs="Arial"/>
          <w:sz w:val="23"/>
          <w:szCs w:val="23"/>
        </w:rPr>
        <w:t>Presupuesto del Instituto correspondiente al ejercicio 2024</w:t>
      </w:r>
    </w:p>
    <w:p w:rsidR="00EE385D" w:rsidRPr="00B37707" w:rsidRDefault="00EE385D" w:rsidP="00EE385D">
      <w:pPr>
        <w:rPr>
          <w:rFonts w:ascii="Arial" w:hAnsi="Arial" w:cs="Arial"/>
          <w:sz w:val="23"/>
          <w:szCs w:val="23"/>
        </w:rPr>
      </w:pPr>
      <w:r w:rsidRPr="00B37707">
        <w:rPr>
          <w:rFonts w:ascii="Arial" w:hAnsi="Arial" w:cs="Arial"/>
          <w:sz w:val="23"/>
          <w:szCs w:val="23"/>
        </w:rPr>
        <w:t>De conformidad con el Presupuesto antes mencionado, el H. Congreso del Estado, para el ejercicio 2024 asignó al Instituto Electoral recursos por la cantidad de $433,400,000.00 (cuatrocientos treinta y tres millones cuatrocientos mil pesos 00/100), cantidad que incluye el gasto previsto para el financiamiento público de los partidos políticos con derecho a éste.</w:t>
      </w:r>
    </w:p>
    <w:p w:rsidR="00CC1BCF" w:rsidRPr="00B37707" w:rsidRDefault="00CC1BCF" w:rsidP="00CC1BCF">
      <w:pPr>
        <w:pStyle w:val="Ttulo1"/>
        <w:rPr>
          <w:rFonts w:ascii="Arial" w:hAnsi="Arial" w:cs="Arial"/>
          <w:sz w:val="24"/>
          <w:szCs w:val="24"/>
        </w:rPr>
      </w:pPr>
      <w:r w:rsidRPr="00B37707">
        <w:rPr>
          <w:rFonts w:ascii="Arial" w:hAnsi="Arial" w:cs="Arial"/>
          <w:sz w:val="24"/>
          <w:szCs w:val="24"/>
        </w:rPr>
        <w:t>Considerando</w:t>
      </w:r>
    </w:p>
    <w:p w:rsidR="00CC1BCF" w:rsidRPr="00B37707" w:rsidRDefault="00CC1BCF" w:rsidP="00CC1BCF">
      <w:pPr>
        <w:pStyle w:val="Ttulo2"/>
        <w:rPr>
          <w:rFonts w:ascii="Arial" w:hAnsi="Arial" w:cs="Arial"/>
          <w:sz w:val="23"/>
          <w:szCs w:val="23"/>
        </w:rPr>
      </w:pPr>
      <w:r w:rsidRPr="00B37707">
        <w:rPr>
          <w:rFonts w:ascii="Arial" w:hAnsi="Arial" w:cs="Arial"/>
        </w:rPr>
        <w:t xml:space="preserve">Fines </w:t>
      </w:r>
      <w:r w:rsidRPr="00B37707">
        <w:rPr>
          <w:rFonts w:ascii="Arial" w:hAnsi="Arial" w:cs="Arial"/>
          <w:sz w:val="23"/>
          <w:szCs w:val="23"/>
        </w:rPr>
        <w:t>del Instituto</w:t>
      </w:r>
    </w:p>
    <w:p w:rsidR="00CC1BCF" w:rsidRPr="00B37707" w:rsidRDefault="00CC1BCF" w:rsidP="00CC1BCF">
      <w:pPr>
        <w:rPr>
          <w:rFonts w:ascii="Arial" w:hAnsi="Arial" w:cs="Arial"/>
          <w:sz w:val="23"/>
          <w:szCs w:val="23"/>
        </w:rPr>
      </w:pPr>
      <w:r w:rsidRPr="00B37707">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CC1BCF" w:rsidRPr="00B37707" w:rsidRDefault="00CC1BCF" w:rsidP="00CC1BCF">
      <w:pPr>
        <w:rPr>
          <w:rFonts w:ascii="Arial" w:hAnsi="Arial" w:cs="Arial"/>
          <w:sz w:val="23"/>
          <w:szCs w:val="23"/>
        </w:rPr>
      </w:pPr>
      <w:r w:rsidRPr="00B37707">
        <w:rPr>
          <w:rFonts w:ascii="Arial" w:hAnsi="Arial" w:cs="Arial"/>
          <w:sz w:val="23"/>
          <w:szCs w:val="23"/>
        </w:rPr>
        <w:lastRenderedPageBreak/>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CC1BCF" w:rsidRPr="00B37707" w:rsidRDefault="00CC1BCF" w:rsidP="00CC1BCF">
      <w:pPr>
        <w:pStyle w:val="Ttulo2"/>
        <w:rPr>
          <w:rFonts w:ascii="Arial" w:hAnsi="Arial" w:cs="Arial"/>
          <w:sz w:val="23"/>
          <w:szCs w:val="23"/>
        </w:rPr>
      </w:pPr>
      <w:r w:rsidRPr="00B37707">
        <w:rPr>
          <w:rFonts w:ascii="Arial" w:hAnsi="Arial" w:cs="Arial"/>
          <w:sz w:val="23"/>
          <w:szCs w:val="23"/>
        </w:rPr>
        <w:t xml:space="preserve">Órgano Superior de Dirección del Instituto </w:t>
      </w:r>
    </w:p>
    <w:p w:rsidR="00CC1BCF" w:rsidRPr="00B37707" w:rsidRDefault="00CC1BCF" w:rsidP="00CC1BCF">
      <w:pPr>
        <w:rPr>
          <w:rFonts w:ascii="Arial" w:hAnsi="Arial" w:cs="Arial"/>
          <w:sz w:val="23"/>
          <w:szCs w:val="23"/>
        </w:rPr>
      </w:pPr>
      <w:r w:rsidRPr="00B37707">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CC1BCF" w:rsidRPr="00B37707" w:rsidRDefault="00CC1BCF" w:rsidP="00CC1BCF">
      <w:pPr>
        <w:pStyle w:val="Ttulo2"/>
        <w:rPr>
          <w:rFonts w:ascii="Arial" w:hAnsi="Arial" w:cs="Arial"/>
          <w:sz w:val="23"/>
          <w:szCs w:val="23"/>
        </w:rPr>
      </w:pPr>
      <w:r w:rsidRPr="00B37707">
        <w:rPr>
          <w:rFonts w:ascii="Arial" w:hAnsi="Arial" w:cs="Arial"/>
          <w:sz w:val="23"/>
          <w:szCs w:val="23"/>
        </w:rPr>
        <w:t>Integración de la Junta Ejecutiva</w:t>
      </w:r>
    </w:p>
    <w:p w:rsidR="00CC1BCF" w:rsidRPr="00B37707" w:rsidRDefault="00CC1BCF" w:rsidP="00CC1BCF">
      <w:pPr>
        <w:rPr>
          <w:rFonts w:ascii="Arial" w:hAnsi="Arial" w:cs="Arial"/>
          <w:sz w:val="23"/>
          <w:szCs w:val="23"/>
        </w:rPr>
      </w:pPr>
      <w:r w:rsidRPr="00B37707">
        <w:rPr>
          <w:rFonts w:ascii="Arial" w:hAnsi="Arial" w:cs="Arial"/>
          <w:sz w:val="23"/>
          <w:szCs w:val="23"/>
        </w:rPr>
        <w:t>Que, el artículo 118 de la Ley Electoral establece que la Junta, será presidida por la Consejera o el Consejero Presidente y se integrará con la Secretaría Ejecutiva y con las personas titulares de las Direcciones de Organización Electoral y Educación Cívica; y de Administración.</w:t>
      </w:r>
    </w:p>
    <w:p w:rsidR="00CC1BCF" w:rsidRPr="00B37707" w:rsidRDefault="00CC1BCF" w:rsidP="00CC1BCF">
      <w:pPr>
        <w:pStyle w:val="Ttulo2"/>
        <w:rPr>
          <w:rFonts w:ascii="Arial" w:hAnsi="Arial" w:cs="Arial"/>
          <w:sz w:val="23"/>
          <w:szCs w:val="23"/>
        </w:rPr>
      </w:pPr>
      <w:r w:rsidRPr="00B37707">
        <w:rPr>
          <w:rFonts w:ascii="Arial" w:hAnsi="Arial" w:cs="Arial"/>
          <w:sz w:val="23"/>
          <w:szCs w:val="23"/>
        </w:rPr>
        <w:t>Competencia de la Junta Ejecutiva</w:t>
      </w:r>
    </w:p>
    <w:p w:rsidR="00CC1BCF" w:rsidRPr="00B37707" w:rsidRDefault="00CC1BCF" w:rsidP="00CC1BCF">
      <w:pPr>
        <w:rPr>
          <w:rFonts w:ascii="Arial" w:hAnsi="Arial" w:cs="Arial"/>
          <w:sz w:val="23"/>
          <w:szCs w:val="23"/>
        </w:rPr>
      </w:pPr>
      <w:r w:rsidRPr="00B37707">
        <w:rPr>
          <w:rFonts w:ascii="Arial" w:hAnsi="Arial" w:cs="Arial"/>
          <w:sz w:val="23"/>
          <w:szCs w:val="23"/>
        </w:rPr>
        <w:t>Que, de conformidad con el artículo 119 de la Ley Electoral y 16 fracción VI del Reglamento Interior, corresponde a la Junta Ejecutiva la designación del personal del Instituto con excepción de aquellos previstos en el Reglamento de Elecciones y del SPEN, conforme a las disposiciones aplicables.</w:t>
      </w:r>
    </w:p>
    <w:p w:rsidR="00CC1BCF" w:rsidRPr="00B37707" w:rsidRDefault="00CC1BCF" w:rsidP="00CC1BCF">
      <w:pPr>
        <w:rPr>
          <w:rFonts w:ascii="Arial" w:hAnsi="Arial" w:cs="Arial"/>
          <w:sz w:val="23"/>
          <w:szCs w:val="23"/>
        </w:rPr>
      </w:pPr>
      <w:r w:rsidRPr="00B37707">
        <w:rPr>
          <w:rFonts w:ascii="Arial" w:hAnsi="Arial" w:cs="Arial"/>
          <w:sz w:val="23"/>
          <w:szCs w:val="23"/>
        </w:rPr>
        <w:lastRenderedPageBreak/>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CC1BCF" w:rsidRPr="00B37707" w:rsidRDefault="00CC1BCF" w:rsidP="00CC1BCF">
      <w:pPr>
        <w:pStyle w:val="Ttulo2"/>
        <w:rPr>
          <w:rFonts w:ascii="Arial" w:hAnsi="Arial" w:cs="Arial"/>
          <w:sz w:val="23"/>
          <w:szCs w:val="23"/>
        </w:rPr>
      </w:pPr>
      <w:r w:rsidRPr="00B37707">
        <w:rPr>
          <w:rFonts w:ascii="Arial" w:hAnsi="Arial" w:cs="Arial"/>
          <w:sz w:val="23"/>
          <w:szCs w:val="23"/>
        </w:rPr>
        <w:t>Sistema de remuneraciones</w:t>
      </w:r>
    </w:p>
    <w:p w:rsidR="00CC1BCF" w:rsidRPr="00B37707" w:rsidRDefault="00CC1BCF" w:rsidP="00CC1BCF">
      <w:pPr>
        <w:rPr>
          <w:rFonts w:ascii="Arial" w:hAnsi="Arial" w:cs="Arial"/>
          <w:sz w:val="23"/>
          <w:szCs w:val="23"/>
        </w:rPr>
      </w:pPr>
      <w:r w:rsidRPr="00B37707">
        <w:rPr>
          <w:rFonts w:ascii="Arial" w:hAnsi="Arial" w:cs="Arial"/>
          <w:sz w:val="23"/>
          <w:szCs w:val="23"/>
        </w:rPr>
        <w:t>Que, el artículo 4 fracción VI de la Ley de Remuneraciones define a la remuneración o retribución como toda percepción en efectivo o en especie, incluyendo salarios, dietas, aguinaldos, gratificaciones, premios, recompensas, bonos, estímulos, comisiones, y compensaciones que se entrega a una o un servidor público por su desempeño en una entidad pública.</w:t>
      </w:r>
    </w:p>
    <w:p w:rsidR="00CC1BCF" w:rsidRPr="00B37707" w:rsidRDefault="00CC1BCF" w:rsidP="00CC1BCF">
      <w:pPr>
        <w:rPr>
          <w:rFonts w:ascii="Arial" w:hAnsi="Arial" w:cs="Arial"/>
          <w:sz w:val="23"/>
          <w:szCs w:val="23"/>
        </w:rPr>
      </w:pPr>
      <w:r w:rsidRPr="00B37707">
        <w:rPr>
          <w:rFonts w:ascii="Arial" w:hAnsi="Arial" w:cs="Arial"/>
          <w:sz w:val="23"/>
          <w:szCs w:val="23"/>
        </w:rPr>
        <w:t>Acorde a lo anterior, el artículo 7 de la Ley en cita establece que, las y los servidores públicos recibirán una remuneración adecuada e irrenunciable por el desempeño de su función, empleo, cargo o comisión, que deberá ser proporcional a sus responsabilidades, y que será determinada anual y equitativamente, de acuerdo con los tabuladores de remuneraciones desglosados que se incluyan en los presupuestos de egresos que correspondan.</w:t>
      </w:r>
    </w:p>
    <w:p w:rsidR="00EE385D" w:rsidRPr="00B37707" w:rsidRDefault="00EE385D" w:rsidP="00EE385D">
      <w:pPr>
        <w:rPr>
          <w:rFonts w:ascii="Arial" w:hAnsi="Arial" w:cs="Arial"/>
          <w:sz w:val="23"/>
          <w:szCs w:val="23"/>
        </w:rPr>
      </w:pPr>
      <w:r w:rsidRPr="00B37707">
        <w:rPr>
          <w:rFonts w:ascii="Arial" w:hAnsi="Arial" w:cs="Arial"/>
          <w:sz w:val="23"/>
          <w:szCs w:val="23"/>
        </w:rPr>
        <w:t>Asimismo, en términos del artículo 8 de la Ley de Remuneraciones, las entidades públicas deberán cubrir a sus servidores públicos las remuneraciones previstas en los tabuladores correspondientes elaborados conforme a lo establecido en dicha Ley y el Manual de Administración de Remuneraciones respectivo.</w:t>
      </w:r>
    </w:p>
    <w:p w:rsidR="009F2DB6" w:rsidRPr="00B37707" w:rsidRDefault="009F2DB6" w:rsidP="009F2DB6">
      <w:pPr>
        <w:pStyle w:val="Ttulo2"/>
        <w:rPr>
          <w:rFonts w:ascii="Arial" w:hAnsi="Arial" w:cs="Arial"/>
          <w:sz w:val="23"/>
          <w:szCs w:val="23"/>
        </w:rPr>
      </w:pPr>
      <w:r w:rsidRPr="00B37707">
        <w:rPr>
          <w:rFonts w:ascii="Arial" w:hAnsi="Arial" w:cs="Arial"/>
          <w:sz w:val="23"/>
          <w:szCs w:val="23"/>
        </w:rPr>
        <w:t>Restricciones a las remuneraciones</w:t>
      </w:r>
    </w:p>
    <w:p w:rsidR="009F2DB6" w:rsidRPr="00B37707" w:rsidRDefault="009F2DB6" w:rsidP="009F2DB6">
      <w:pPr>
        <w:rPr>
          <w:rFonts w:ascii="Arial" w:hAnsi="Arial" w:cs="Arial"/>
          <w:sz w:val="23"/>
          <w:szCs w:val="23"/>
        </w:rPr>
      </w:pPr>
      <w:r w:rsidRPr="00B37707">
        <w:rPr>
          <w:rFonts w:ascii="Arial" w:hAnsi="Arial" w:cs="Arial"/>
          <w:sz w:val="23"/>
          <w:szCs w:val="23"/>
        </w:rPr>
        <w:t>Que, el artículo 13 de la Ley de Remuneraciones establece que ningún servidor o servidora pública, podrá tener una remuneración igual o mayor que su superior jerárquico; salvo que:</w:t>
      </w:r>
    </w:p>
    <w:p w:rsidR="009F2DB6" w:rsidRPr="00B37707" w:rsidRDefault="009F2DB6" w:rsidP="009F2DB6">
      <w:pPr>
        <w:pStyle w:val="Prrafodelista"/>
        <w:numPr>
          <w:ilvl w:val="0"/>
          <w:numId w:val="1"/>
        </w:numPr>
        <w:ind w:left="510" w:hanging="510"/>
        <w:contextualSpacing w:val="0"/>
        <w:rPr>
          <w:rFonts w:ascii="Arial" w:hAnsi="Arial" w:cs="Arial"/>
          <w:sz w:val="23"/>
          <w:szCs w:val="23"/>
        </w:rPr>
      </w:pPr>
      <w:r w:rsidRPr="00B37707">
        <w:rPr>
          <w:rFonts w:ascii="Arial" w:hAnsi="Arial" w:cs="Arial"/>
          <w:sz w:val="23"/>
          <w:szCs w:val="23"/>
        </w:rPr>
        <w:t xml:space="preserve">El excedente sea consecuencia del desempeño de varios empleos públicos, que su remuneración sea producto de las condiciones generales o contratos colectivos de trabajo, derivados de un trabajo técnico calificado o por especialización en su función, acuerdos o convenios con la Federación o que </w:t>
      </w:r>
      <w:r w:rsidRPr="00B37707">
        <w:rPr>
          <w:rFonts w:ascii="Arial" w:hAnsi="Arial" w:cs="Arial"/>
          <w:sz w:val="23"/>
          <w:szCs w:val="23"/>
        </w:rPr>
        <w:lastRenderedPageBreak/>
        <w:t>deriven de autorizaciones expresas de Ley, la suma de estas retribuciones excedentes, no deberá superar la mitad de la remuneración establecida para el titular del Poder Ejecutivo del Estado en el presupuesto correspondiente;</w:t>
      </w:r>
    </w:p>
    <w:p w:rsidR="009F2DB6" w:rsidRPr="00B37707" w:rsidRDefault="009F2DB6" w:rsidP="009F2DB6">
      <w:pPr>
        <w:pStyle w:val="Prrafodelista"/>
        <w:numPr>
          <w:ilvl w:val="0"/>
          <w:numId w:val="1"/>
        </w:numPr>
        <w:ind w:left="510" w:hanging="510"/>
        <w:contextualSpacing w:val="0"/>
        <w:rPr>
          <w:rFonts w:ascii="Arial" w:hAnsi="Arial" w:cs="Arial"/>
          <w:sz w:val="23"/>
          <w:szCs w:val="23"/>
        </w:rPr>
      </w:pPr>
      <w:r w:rsidRPr="00B37707">
        <w:rPr>
          <w:rFonts w:ascii="Arial" w:hAnsi="Arial" w:cs="Arial"/>
          <w:sz w:val="23"/>
          <w:szCs w:val="23"/>
        </w:rPr>
        <w:t>Las remuneraciones que tengan los servidores públicos que provengan del ejercicio de la docencia, la investigación, actividades científicas, de la salud y culturales en entidades públicas dedicadas a tales fines, siempre y cuando dichas actividades sean compatibles con los horarios establecidos para el desarrollo de las funciones que se le otorgan con motivo del cargo o comisión dentro de las entidades públicas; y,</w:t>
      </w:r>
    </w:p>
    <w:p w:rsidR="009F2DB6" w:rsidRPr="00B37707" w:rsidRDefault="009F2DB6" w:rsidP="009F2DB6">
      <w:pPr>
        <w:pStyle w:val="Prrafodelista"/>
        <w:numPr>
          <w:ilvl w:val="0"/>
          <w:numId w:val="1"/>
        </w:numPr>
        <w:ind w:left="510" w:hanging="510"/>
        <w:contextualSpacing w:val="0"/>
        <w:rPr>
          <w:rFonts w:ascii="Arial" w:hAnsi="Arial" w:cs="Arial"/>
          <w:sz w:val="23"/>
          <w:szCs w:val="23"/>
        </w:rPr>
      </w:pPr>
      <w:r w:rsidRPr="00B37707">
        <w:rPr>
          <w:rFonts w:ascii="Arial" w:hAnsi="Arial" w:cs="Arial"/>
          <w:sz w:val="23"/>
          <w:szCs w:val="23"/>
        </w:rPr>
        <w:t>Cualquier otra que no provenga de ingresos fiscales estatales ordinarios.</w:t>
      </w:r>
    </w:p>
    <w:p w:rsidR="009F2DB6" w:rsidRPr="00B37707" w:rsidRDefault="009F2DB6" w:rsidP="009F2DB6">
      <w:pPr>
        <w:pStyle w:val="Ttulo2"/>
        <w:rPr>
          <w:rFonts w:ascii="Arial" w:hAnsi="Arial" w:cs="Arial"/>
          <w:sz w:val="23"/>
          <w:szCs w:val="23"/>
        </w:rPr>
      </w:pPr>
      <w:r w:rsidRPr="00B37707">
        <w:rPr>
          <w:rFonts w:ascii="Arial" w:hAnsi="Arial" w:cs="Arial"/>
          <w:sz w:val="23"/>
          <w:szCs w:val="23"/>
        </w:rPr>
        <w:t>Determinación de las remuneraciones en el presupuesto de egresos</w:t>
      </w:r>
    </w:p>
    <w:p w:rsidR="00EE385D" w:rsidRPr="00B37707" w:rsidRDefault="009F2DB6" w:rsidP="009F2DB6">
      <w:pPr>
        <w:rPr>
          <w:rFonts w:ascii="Arial" w:hAnsi="Arial" w:cs="Arial"/>
          <w:sz w:val="23"/>
          <w:szCs w:val="23"/>
        </w:rPr>
      </w:pPr>
      <w:r w:rsidRPr="00B37707">
        <w:rPr>
          <w:rFonts w:ascii="Arial" w:hAnsi="Arial" w:cs="Arial"/>
          <w:sz w:val="23"/>
          <w:szCs w:val="23"/>
        </w:rPr>
        <w:t>Que, de acuerdo con el artículo 14 de la Ley de Remuneraciones, dentro de los presupuestos de egresos que correspondan a cada entidad pública, deberán elaborarse y presentarse las remuneraciones, así como los tabuladores que correspondan a cada empleo, cargo o comisión, debiendo especificar y diferenciar sus elementos fijos y variables tanto en efectivo como en especie.</w:t>
      </w:r>
    </w:p>
    <w:p w:rsidR="009F2DB6" w:rsidRPr="00B37707" w:rsidRDefault="009F2DB6" w:rsidP="009F2DB6">
      <w:pPr>
        <w:pStyle w:val="Ttulo2"/>
        <w:rPr>
          <w:rFonts w:ascii="Arial" w:hAnsi="Arial" w:cs="Arial"/>
          <w:sz w:val="23"/>
          <w:szCs w:val="23"/>
        </w:rPr>
      </w:pPr>
      <w:r w:rsidRPr="00B37707">
        <w:rPr>
          <w:rFonts w:ascii="Arial" w:hAnsi="Arial" w:cs="Arial"/>
          <w:sz w:val="23"/>
          <w:szCs w:val="23"/>
        </w:rPr>
        <w:t>Requisitos del tabulador de remuneraciones</w:t>
      </w:r>
    </w:p>
    <w:p w:rsidR="009F2DB6" w:rsidRPr="00B37707" w:rsidRDefault="009F2DB6" w:rsidP="009F2DB6">
      <w:pPr>
        <w:rPr>
          <w:rFonts w:ascii="Arial" w:hAnsi="Arial" w:cs="Arial"/>
          <w:sz w:val="23"/>
          <w:szCs w:val="23"/>
        </w:rPr>
      </w:pPr>
      <w:r w:rsidRPr="00B37707">
        <w:rPr>
          <w:rFonts w:ascii="Arial" w:hAnsi="Arial" w:cs="Arial"/>
          <w:sz w:val="23"/>
          <w:szCs w:val="23"/>
        </w:rPr>
        <w:t>Que, el artículo 16 de la Ley de Remuneraciones establece que, el tabulador deberá contener como mínimo, lo siguiente:</w:t>
      </w:r>
    </w:p>
    <w:p w:rsidR="009F2DB6" w:rsidRPr="00B37707" w:rsidRDefault="009F2DB6" w:rsidP="009F2DB6">
      <w:pPr>
        <w:pStyle w:val="Prrafodelista"/>
        <w:numPr>
          <w:ilvl w:val="0"/>
          <w:numId w:val="3"/>
        </w:numPr>
        <w:ind w:left="510" w:hanging="510"/>
        <w:contextualSpacing w:val="0"/>
        <w:rPr>
          <w:rFonts w:ascii="Arial" w:hAnsi="Arial" w:cs="Arial"/>
          <w:sz w:val="23"/>
          <w:szCs w:val="23"/>
        </w:rPr>
      </w:pPr>
      <w:r w:rsidRPr="00B37707">
        <w:rPr>
          <w:rFonts w:ascii="Arial" w:hAnsi="Arial" w:cs="Arial"/>
          <w:sz w:val="23"/>
          <w:szCs w:val="23"/>
        </w:rPr>
        <w:t>Los niveles mínimos y máximos de las remuneraciones, deberán estar apegados a las bases establecidas por dicha Ley. Los montos establecidos en el tabulador respectivo, serán netos;</w:t>
      </w:r>
    </w:p>
    <w:p w:rsidR="009F2DB6" w:rsidRPr="00B37707" w:rsidRDefault="009F2DB6" w:rsidP="009F2DB6">
      <w:pPr>
        <w:pStyle w:val="Prrafodelista"/>
        <w:numPr>
          <w:ilvl w:val="0"/>
          <w:numId w:val="3"/>
        </w:numPr>
        <w:ind w:left="510" w:hanging="510"/>
        <w:contextualSpacing w:val="0"/>
        <w:rPr>
          <w:rFonts w:ascii="Arial" w:hAnsi="Arial" w:cs="Arial"/>
          <w:sz w:val="23"/>
          <w:szCs w:val="23"/>
        </w:rPr>
      </w:pPr>
      <w:r w:rsidRPr="00B37707">
        <w:rPr>
          <w:rFonts w:ascii="Arial" w:hAnsi="Arial" w:cs="Arial"/>
          <w:sz w:val="23"/>
          <w:szCs w:val="23"/>
        </w:rPr>
        <w:t>Los niveles mínimos y máximos de las remuneraciones para los empleos, cargos o comisiones públicas deberán ser conformes a la actividad y responsabilidad que desempeñan;</w:t>
      </w:r>
    </w:p>
    <w:p w:rsidR="009F2DB6" w:rsidRPr="00B37707" w:rsidRDefault="009F2DB6" w:rsidP="009F2DB6">
      <w:pPr>
        <w:pStyle w:val="Prrafodelista"/>
        <w:numPr>
          <w:ilvl w:val="0"/>
          <w:numId w:val="3"/>
        </w:numPr>
        <w:ind w:left="510" w:hanging="510"/>
        <w:contextualSpacing w:val="0"/>
        <w:rPr>
          <w:rFonts w:ascii="Arial" w:hAnsi="Arial" w:cs="Arial"/>
          <w:sz w:val="23"/>
          <w:szCs w:val="23"/>
        </w:rPr>
      </w:pPr>
      <w:r w:rsidRPr="00B37707">
        <w:rPr>
          <w:rFonts w:ascii="Arial" w:hAnsi="Arial" w:cs="Arial"/>
          <w:sz w:val="23"/>
          <w:szCs w:val="23"/>
        </w:rPr>
        <w:t>Respetar las medidas de protección al salario estipuladas por la Ley;</w:t>
      </w:r>
    </w:p>
    <w:p w:rsidR="009F2DB6" w:rsidRPr="00B37707" w:rsidRDefault="009F2DB6" w:rsidP="009F2DB6">
      <w:pPr>
        <w:pStyle w:val="Prrafodelista"/>
        <w:numPr>
          <w:ilvl w:val="0"/>
          <w:numId w:val="3"/>
        </w:numPr>
        <w:ind w:left="510" w:hanging="510"/>
        <w:contextualSpacing w:val="0"/>
        <w:rPr>
          <w:rFonts w:ascii="Arial" w:hAnsi="Arial" w:cs="Arial"/>
          <w:sz w:val="23"/>
          <w:szCs w:val="23"/>
        </w:rPr>
      </w:pPr>
      <w:r w:rsidRPr="00B37707">
        <w:rPr>
          <w:rFonts w:ascii="Arial" w:hAnsi="Arial" w:cs="Arial"/>
          <w:sz w:val="23"/>
          <w:szCs w:val="23"/>
        </w:rPr>
        <w:t>Los conceptos de remuneraciones por cargo, empleo o comisión, sin omisión alguna en su percepción neta;</w:t>
      </w:r>
    </w:p>
    <w:p w:rsidR="009F2DB6" w:rsidRPr="00B37707" w:rsidRDefault="009F2DB6" w:rsidP="009F2DB6">
      <w:pPr>
        <w:pStyle w:val="Prrafodelista"/>
        <w:numPr>
          <w:ilvl w:val="0"/>
          <w:numId w:val="3"/>
        </w:numPr>
        <w:ind w:left="510" w:hanging="510"/>
        <w:contextualSpacing w:val="0"/>
        <w:rPr>
          <w:rFonts w:ascii="Arial" w:hAnsi="Arial" w:cs="Arial"/>
          <w:sz w:val="23"/>
          <w:szCs w:val="23"/>
        </w:rPr>
      </w:pPr>
      <w:r w:rsidRPr="00B37707">
        <w:rPr>
          <w:rFonts w:ascii="Arial" w:hAnsi="Arial" w:cs="Arial"/>
          <w:sz w:val="23"/>
          <w:szCs w:val="23"/>
        </w:rPr>
        <w:lastRenderedPageBreak/>
        <w:t>Las remuneraciones, deberán promover y estimular el mejor desempeño y el desarrollo profesional de los servidores públicos, siempre y cuando se privilegie el total cumplimiento de las atribuciones de entidades públicas definidas en el artículo primero de la Ley de Remuneraciones;</w:t>
      </w:r>
    </w:p>
    <w:p w:rsidR="009F2DB6" w:rsidRPr="00B37707" w:rsidRDefault="009F2DB6" w:rsidP="009F2DB6">
      <w:pPr>
        <w:pStyle w:val="Prrafodelista"/>
        <w:numPr>
          <w:ilvl w:val="0"/>
          <w:numId w:val="3"/>
        </w:numPr>
        <w:ind w:left="510" w:hanging="510"/>
        <w:contextualSpacing w:val="0"/>
        <w:rPr>
          <w:rFonts w:ascii="Arial" w:hAnsi="Arial" w:cs="Arial"/>
          <w:sz w:val="23"/>
          <w:szCs w:val="23"/>
        </w:rPr>
      </w:pPr>
      <w:r w:rsidRPr="00B37707">
        <w:rPr>
          <w:rFonts w:ascii="Arial" w:hAnsi="Arial" w:cs="Arial"/>
          <w:sz w:val="23"/>
          <w:szCs w:val="23"/>
        </w:rPr>
        <w:t>Los señalamientos de los acuerdos celebrados con los representantes de los servidores públicos legalmente constituidos, en los que se acuerden los incrementos salariales conforme a las leyes y condiciones generales de trabajo; y,</w:t>
      </w:r>
    </w:p>
    <w:p w:rsidR="009F2DB6" w:rsidRPr="00B37707" w:rsidRDefault="009F2DB6" w:rsidP="009F2DB6">
      <w:pPr>
        <w:pStyle w:val="Prrafodelista"/>
        <w:numPr>
          <w:ilvl w:val="0"/>
          <w:numId w:val="3"/>
        </w:numPr>
        <w:ind w:left="510" w:hanging="510"/>
        <w:contextualSpacing w:val="0"/>
        <w:rPr>
          <w:rFonts w:ascii="Arial" w:hAnsi="Arial" w:cs="Arial"/>
          <w:sz w:val="23"/>
          <w:szCs w:val="23"/>
        </w:rPr>
      </w:pPr>
      <w:r w:rsidRPr="00B37707">
        <w:rPr>
          <w:rFonts w:ascii="Arial" w:hAnsi="Arial" w:cs="Arial"/>
          <w:sz w:val="23"/>
          <w:szCs w:val="23"/>
        </w:rPr>
        <w:t>Igualmente deberán contener los incrementos salariales que correspondan a los servidores públicos de confianza.</w:t>
      </w:r>
    </w:p>
    <w:p w:rsidR="009F2DB6" w:rsidRPr="00B37707" w:rsidRDefault="009F2DB6" w:rsidP="009F2DB6">
      <w:pPr>
        <w:rPr>
          <w:rFonts w:ascii="Arial" w:hAnsi="Arial" w:cs="Arial"/>
          <w:sz w:val="23"/>
          <w:szCs w:val="23"/>
        </w:rPr>
      </w:pPr>
      <w:r w:rsidRPr="00B37707">
        <w:rPr>
          <w:rFonts w:ascii="Arial" w:hAnsi="Arial" w:cs="Arial"/>
          <w:sz w:val="23"/>
          <w:szCs w:val="23"/>
        </w:rPr>
        <w:t>Los tabuladores, a que se refiere el presente artículo, deberán presentarse por el tipo de nivel, categoría, puesto o plaza que corresponda.</w:t>
      </w:r>
    </w:p>
    <w:p w:rsidR="009F2DB6" w:rsidRPr="00B37707" w:rsidRDefault="00DE5640" w:rsidP="00DE5640">
      <w:pPr>
        <w:pStyle w:val="Ttulo2"/>
        <w:rPr>
          <w:rFonts w:ascii="Arial" w:hAnsi="Arial" w:cs="Arial"/>
          <w:sz w:val="23"/>
          <w:szCs w:val="23"/>
        </w:rPr>
      </w:pPr>
      <w:r w:rsidRPr="00B37707">
        <w:rPr>
          <w:rFonts w:ascii="Arial" w:hAnsi="Arial" w:cs="Arial"/>
          <w:sz w:val="23"/>
          <w:szCs w:val="23"/>
        </w:rPr>
        <w:t>Personal permanente o por tiempo indeterminado</w:t>
      </w:r>
    </w:p>
    <w:p w:rsidR="00DE5640" w:rsidRPr="00B37707" w:rsidRDefault="00DE5640" w:rsidP="009F2DB6">
      <w:pPr>
        <w:rPr>
          <w:rFonts w:ascii="Arial" w:hAnsi="Arial" w:cs="Arial"/>
          <w:sz w:val="23"/>
          <w:szCs w:val="23"/>
        </w:rPr>
      </w:pPr>
      <w:r w:rsidRPr="00B37707">
        <w:rPr>
          <w:rFonts w:ascii="Arial" w:hAnsi="Arial" w:cs="Arial"/>
          <w:sz w:val="23"/>
          <w:szCs w:val="23"/>
        </w:rPr>
        <w:t>Que, el artículo 2 del Manual de Remuneraciones define al personal permanente como aquellas personas servidoras públicas del Instituto que fueron contratadas para prestar sus servicios de forma indefinida y ocupan una plaza de las que conforman la plantilla de personal permanente.</w:t>
      </w:r>
    </w:p>
    <w:p w:rsidR="00DE5640" w:rsidRPr="00B37707" w:rsidRDefault="00DE5640" w:rsidP="00F7667C">
      <w:pPr>
        <w:pStyle w:val="Ttulo2"/>
        <w:rPr>
          <w:rFonts w:ascii="Arial" w:hAnsi="Arial" w:cs="Arial"/>
          <w:sz w:val="23"/>
          <w:szCs w:val="23"/>
        </w:rPr>
      </w:pPr>
      <w:r w:rsidRPr="00B37707">
        <w:rPr>
          <w:rFonts w:ascii="Arial" w:hAnsi="Arial" w:cs="Arial"/>
          <w:sz w:val="23"/>
          <w:szCs w:val="23"/>
        </w:rPr>
        <w:t>Percepciones extraordinarias</w:t>
      </w:r>
    </w:p>
    <w:p w:rsidR="00DE5640" w:rsidRPr="00B37707" w:rsidRDefault="00DE5640" w:rsidP="009F2DB6">
      <w:pPr>
        <w:rPr>
          <w:rFonts w:ascii="Arial" w:hAnsi="Arial" w:cs="Arial"/>
          <w:sz w:val="23"/>
          <w:szCs w:val="23"/>
        </w:rPr>
      </w:pPr>
      <w:r w:rsidRPr="00B37707">
        <w:rPr>
          <w:rFonts w:ascii="Arial" w:hAnsi="Arial" w:cs="Arial"/>
          <w:sz w:val="23"/>
          <w:szCs w:val="23"/>
        </w:rPr>
        <w:t>Que, el artículo 10 del Manual de Remuneraciones</w:t>
      </w:r>
      <w:r w:rsidR="00F7667C" w:rsidRPr="00B37707">
        <w:rPr>
          <w:rFonts w:ascii="Arial" w:hAnsi="Arial" w:cs="Arial"/>
          <w:sz w:val="23"/>
          <w:szCs w:val="23"/>
        </w:rPr>
        <w:t xml:space="preserve"> Los servidores públicos del Instituto podrán recibir estímulos, reconocimientos, incentivos, compensaciones, compensaciones extraordinarias y pagos equivalentes a los mismos, cuya asignación se encuentra sujeto a requisitos de realización futura e incierta y que no forman parte integrante de la percepción ordinaria, de conformidad con la disponibilidad presupuestal.</w:t>
      </w:r>
    </w:p>
    <w:p w:rsidR="00F7667C" w:rsidRPr="00B37707" w:rsidRDefault="00F7667C" w:rsidP="00F7667C">
      <w:pPr>
        <w:rPr>
          <w:rFonts w:ascii="Arial" w:hAnsi="Arial" w:cs="Arial"/>
          <w:sz w:val="23"/>
          <w:szCs w:val="23"/>
        </w:rPr>
      </w:pPr>
      <w:r w:rsidRPr="00B37707">
        <w:rPr>
          <w:rFonts w:ascii="Arial" w:hAnsi="Arial" w:cs="Arial"/>
          <w:sz w:val="23"/>
          <w:szCs w:val="23"/>
        </w:rPr>
        <w:t>Además, en términos del artículo 11 del Manual de Remuneraciones, las prestaciones serán los beneficios adicionales que reciben las y los servidores públicos en razón de su sueldo. Dichas prestaciones podrán ser modificadas de conformidad con el marco jurídico aplicable y se sujetarán en todo momento a la disponibilidad presupuestal y a las disposiciones normativas que establezcan las autoridades competentes en la materia.</w:t>
      </w:r>
    </w:p>
    <w:p w:rsidR="00F7667C" w:rsidRPr="00B37707" w:rsidRDefault="00504A00" w:rsidP="00504A00">
      <w:pPr>
        <w:pStyle w:val="Ttulo2"/>
        <w:rPr>
          <w:rFonts w:ascii="Arial" w:hAnsi="Arial" w:cs="Arial"/>
          <w:sz w:val="23"/>
          <w:szCs w:val="23"/>
        </w:rPr>
      </w:pPr>
      <w:r w:rsidRPr="00B37707">
        <w:rPr>
          <w:rFonts w:ascii="Arial" w:hAnsi="Arial" w:cs="Arial"/>
          <w:sz w:val="23"/>
          <w:szCs w:val="23"/>
        </w:rPr>
        <w:lastRenderedPageBreak/>
        <w:t>Determinación de los estímulos</w:t>
      </w:r>
    </w:p>
    <w:p w:rsidR="008A7C9B" w:rsidRPr="00B37707" w:rsidRDefault="00504A00" w:rsidP="00504A00">
      <w:pPr>
        <w:rPr>
          <w:rFonts w:ascii="Arial" w:hAnsi="Arial" w:cs="Arial"/>
          <w:sz w:val="23"/>
          <w:szCs w:val="23"/>
        </w:rPr>
      </w:pPr>
      <w:r w:rsidRPr="00B37707">
        <w:rPr>
          <w:rFonts w:ascii="Arial" w:hAnsi="Arial" w:cs="Arial"/>
          <w:sz w:val="23"/>
          <w:szCs w:val="23"/>
        </w:rPr>
        <w:t xml:space="preserve">Que, de acuerdo con las disposiciones señaladas y de acuerdo con la Ley de Remuneraciones, es obligación de este Instituto, promover y estimular el mejor desempeño y el desarrollo profesional de las y los servidores públicos, </w:t>
      </w:r>
      <w:r w:rsidR="008A7C9B" w:rsidRPr="00B37707">
        <w:rPr>
          <w:rFonts w:ascii="Arial" w:hAnsi="Arial" w:cs="Arial"/>
          <w:sz w:val="23"/>
          <w:szCs w:val="23"/>
        </w:rPr>
        <w:t xml:space="preserve">ello previendo el </w:t>
      </w:r>
      <w:r w:rsidRPr="00B37707">
        <w:rPr>
          <w:rFonts w:ascii="Arial" w:hAnsi="Arial" w:cs="Arial"/>
          <w:sz w:val="23"/>
          <w:szCs w:val="23"/>
        </w:rPr>
        <w:t xml:space="preserve">total cumplimiento de las </w:t>
      </w:r>
      <w:r w:rsidR="008A7C9B" w:rsidRPr="00B37707">
        <w:rPr>
          <w:rFonts w:ascii="Arial" w:hAnsi="Arial" w:cs="Arial"/>
          <w:sz w:val="23"/>
          <w:szCs w:val="23"/>
        </w:rPr>
        <w:t>funciones propias de este órgano electoral.</w:t>
      </w:r>
    </w:p>
    <w:p w:rsidR="008A7C9B" w:rsidRPr="00B37707" w:rsidRDefault="008A7C9B" w:rsidP="008A7C9B">
      <w:pPr>
        <w:rPr>
          <w:rFonts w:ascii="Arial" w:hAnsi="Arial" w:cs="Arial"/>
          <w:sz w:val="23"/>
          <w:szCs w:val="23"/>
        </w:rPr>
      </w:pPr>
      <w:r w:rsidRPr="00B37707">
        <w:rPr>
          <w:rFonts w:ascii="Arial" w:hAnsi="Arial" w:cs="Arial"/>
          <w:sz w:val="23"/>
          <w:szCs w:val="23"/>
        </w:rPr>
        <w:t xml:space="preserve">En ese sentido, </w:t>
      </w:r>
      <w:r w:rsidR="00504A00" w:rsidRPr="00B37707">
        <w:rPr>
          <w:rFonts w:ascii="Arial" w:hAnsi="Arial" w:cs="Arial"/>
          <w:sz w:val="23"/>
          <w:szCs w:val="23"/>
        </w:rPr>
        <w:t>derivado de la conciliación presupuestal y financiera del capítulo 1000</w:t>
      </w:r>
      <w:r w:rsidRPr="00B37707">
        <w:rPr>
          <w:rFonts w:ascii="Arial" w:hAnsi="Arial" w:cs="Arial"/>
          <w:sz w:val="23"/>
          <w:szCs w:val="23"/>
        </w:rPr>
        <w:t xml:space="preserve"> relativo a los</w:t>
      </w:r>
      <w:r w:rsidR="00504A00" w:rsidRPr="00B37707">
        <w:rPr>
          <w:rFonts w:ascii="Arial" w:hAnsi="Arial" w:cs="Arial"/>
          <w:sz w:val="23"/>
          <w:szCs w:val="23"/>
        </w:rPr>
        <w:t xml:space="preserve"> servicios personales</w:t>
      </w:r>
      <w:r w:rsidRPr="00B37707">
        <w:rPr>
          <w:rFonts w:ascii="Arial" w:hAnsi="Arial" w:cs="Arial"/>
          <w:sz w:val="23"/>
          <w:szCs w:val="23"/>
        </w:rPr>
        <w:t>,</w:t>
      </w:r>
      <w:r w:rsidR="00504A00" w:rsidRPr="00B37707">
        <w:rPr>
          <w:rFonts w:ascii="Arial" w:hAnsi="Arial" w:cs="Arial"/>
          <w:sz w:val="23"/>
          <w:szCs w:val="23"/>
        </w:rPr>
        <w:t xml:space="preserve"> </w:t>
      </w:r>
      <w:r w:rsidRPr="00B37707">
        <w:rPr>
          <w:rFonts w:ascii="Arial" w:hAnsi="Arial" w:cs="Arial"/>
          <w:sz w:val="23"/>
          <w:szCs w:val="23"/>
        </w:rPr>
        <w:t>la Dirección de Administración y la Unidad de Planeación y Evaluación</w:t>
      </w:r>
      <w:r w:rsidR="005E4E8A" w:rsidRPr="00B37707">
        <w:rPr>
          <w:rFonts w:ascii="Arial" w:hAnsi="Arial" w:cs="Arial"/>
          <w:sz w:val="23"/>
          <w:szCs w:val="23"/>
        </w:rPr>
        <w:t xml:space="preserve">, mediante oficio </w:t>
      </w:r>
      <w:r w:rsidR="0078292C" w:rsidRPr="00B37707">
        <w:rPr>
          <w:rFonts w:ascii="Arial" w:hAnsi="Arial" w:cs="Arial"/>
          <w:sz w:val="23"/>
          <w:szCs w:val="23"/>
        </w:rPr>
        <w:t>SE/</w:t>
      </w:r>
      <w:proofErr w:type="spellStart"/>
      <w:r w:rsidR="0078292C" w:rsidRPr="00B37707">
        <w:rPr>
          <w:rFonts w:ascii="Arial" w:hAnsi="Arial" w:cs="Arial"/>
          <w:sz w:val="23"/>
          <w:szCs w:val="23"/>
        </w:rPr>
        <w:t>UPyE</w:t>
      </w:r>
      <w:proofErr w:type="spellEnd"/>
      <w:r w:rsidR="0078292C" w:rsidRPr="00B37707">
        <w:rPr>
          <w:rFonts w:ascii="Arial" w:hAnsi="Arial" w:cs="Arial"/>
          <w:sz w:val="23"/>
          <w:szCs w:val="23"/>
        </w:rPr>
        <w:t xml:space="preserve">/434/2024 </w:t>
      </w:r>
      <w:r w:rsidRPr="00B37707">
        <w:rPr>
          <w:rFonts w:ascii="Arial" w:hAnsi="Arial" w:cs="Arial"/>
          <w:sz w:val="23"/>
          <w:szCs w:val="23"/>
        </w:rPr>
        <w:t>hicieron del conocimiento de la Secretaría Ejecutiva que, una vez atendidas las obligaciones presupuestales, existe la suficiencia para otorgar</w:t>
      </w:r>
      <w:r w:rsidR="005E4E8A" w:rsidRPr="00B37707">
        <w:rPr>
          <w:rFonts w:ascii="Arial" w:hAnsi="Arial" w:cs="Arial"/>
          <w:sz w:val="23"/>
          <w:szCs w:val="23"/>
        </w:rPr>
        <w:t xml:space="preserve"> a todo e</w:t>
      </w:r>
      <w:r w:rsidRPr="00B37707">
        <w:rPr>
          <w:rFonts w:ascii="Arial" w:hAnsi="Arial" w:cs="Arial"/>
          <w:sz w:val="23"/>
          <w:szCs w:val="23"/>
        </w:rPr>
        <w:t xml:space="preserve">l personal de este Instituto, </w:t>
      </w:r>
      <w:r w:rsidR="00504A00" w:rsidRPr="00B37707">
        <w:rPr>
          <w:rFonts w:ascii="Arial" w:hAnsi="Arial" w:cs="Arial"/>
          <w:sz w:val="23"/>
          <w:szCs w:val="23"/>
        </w:rPr>
        <w:t xml:space="preserve">un estímulo extraordinario </w:t>
      </w:r>
      <w:r w:rsidRPr="00B37707">
        <w:rPr>
          <w:rFonts w:ascii="Arial" w:hAnsi="Arial" w:cs="Arial"/>
          <w:sz w:val="23"/>
          <w:szCs w:val="23"/>
        </w:rPr>
        <w:t xml:space="preserve">compuesto </w:t>
      </w:r>
      <w:r w:rsidR="00504A00" w:rsidRPr="00B37707">
        <w:rPr>
          <w:rFonts w:ascii="Arial" w:hAnsi="Arial" w:cs="Arial"/>
          <w:sz w:val="23"/>
          <w:szCs w:val="23"/>
        </w:rPr>
        <w:t xml:space="preserve">por los conceptos </w:t>
      </w:r>
      <w:r w:rsidRPr="00B37707">
        <w:rPr>
          <w:rFonts w:ascii="Arial" w:hAnsi="Arial" w:cs="Arial"/>
          <w:sz w:val="23"/>
          <w:szCs w:val="23"/>
        </w:rPr>
        <w:t xml:space="preserve">relativos al </w:t>
      </w:r>
      <w:r w:rsidR="00504A00" w:rsidRPr="00B37707">
        <w:rPr>
          <w:rFonts w:ascii="Arial" w:hAnsi="Arial" w:cs="Arial"/>
          <w:sz w:val="23"/>
          <w:szCs w:val="23"/>
        </w:rPr>
        <w:t>estímulo de fin de año y de complemento al salario</w:t>
      </w:r>
      <w:r w:rsidRPr="00B37707">
        <w:rPr>
          <w:rFonts w:ascii="Arial" w:hAnsi="Arial" w:cs="Arial"/>
          <w:sz w:val="23"/>
          <w:szCs w:val="23"/>
        </w:rPr>
        <w:t xml:space="preserve">, cada uno integrado por </w:t>
      </w:r>
      <w:r w:rsidR="00504A00" w:rsidRPr="00B37707">
        <w:rPr>
          <w:rFonts w:ascii="Arial" w:hAnsi="Arial" w:cs="Arial"/>
          <w:sz w:val="23"/>
          <w:szCs w:val="23"/>
        </w:rPr>
        <w:t>quince días de salario</w:t>
      </w:r>
      <w:r w:rsidR="00E46D61" w:rsidRPr="00B37707">
        <w:rPr>
          <w:rFonts w:ascii="Arial" w:hAnsi="Arial" w:cs="Arial"/>
          <w:sz w:val="23"/>
          <w:szCs w:val="23"/>
        </w:rPr>
        <w:t>, los cuales se cubrirán a más tardar el 31 de diciembre del año en curso.</w:t>
      </w:r>
    </w:p>
    <w:p w:rsidR="00A14A81" w:rsidRPr="00B37707" w:rsidRDefault="00A14A81" w:rsidP="008A7C9B">
      <w:pPr>
        <w:rPr>
          <w:rFonts w:ascii="Arial" w:hAnsi="Arial" w:cs="Arial"/>
          <w:sz w:val="23"/>
          <w:szCs w:val="23"/>
        </w:rPr>
      </w:pPr>
      <w:r w:rsidRPr="00B37707">
        <w:rPr>
          <w:rFonts w:ascii="Arial" w:hAnsi="Arial" w:cs="Arial"/>
          <w:sz w:val="23"/>
          <w:szCs w:val="23"/>
        </w:rPr>
        <w:t xml:space="preserve">En el caso del personal eventual o por tiempo determinado contratado hasta el 31 de diciembre de la presente anualidad, se le otorga un estímulo extraordinario de fin de año </w:t>
      </w:r>
      <w:r w:rsidR="006B29CB" w:rsidRPr="00B37707">
        <w:rPr>
          <w:rFonts w:ascii="Arial" w:hAnsi="Arial" w:cs="Arial"/>
          <w:sz w:val="23"/>
          <w:szCs w:val="23"/>
        </w:rPr>
        <w:t xml:space="preserve">hasta </w:t>
      </w:r>
      <w:r w:rsidRPr="00B37707">
        <w:rPr>
          <w:rFonts w:ascii="Arial" w:hAnsi="Arial" w:cs="Arial"/>
          <w:sz w:val="23"/>
          <w:szCs w:val="23"/>
        </w:rPr>
        <w:t>por un equivalente a quince días de salario.</w:t>
      </w:r>
    </w:p>
    <w:p w:rsidR="002359D3" w:rsidRPr="00B37707" w:rsidRDefault="00C92686" w:rsidP="00542759">
      <w:pPr>
        <w:rPr>
          <w:rFonts w:ascii="Arial" w:hAnsi="Arial" w:cs="Arial"/>
          <w:sz w:val="23"/>
          <w:szCs w:val="23"/>
        </w:rPr>
      </w:pPr>
      <w:r w:rsidRPr="00B37707">
        <w:rPr>
          <w:rFonts w:ascii="Arial" w:hAnsi="Arial" w:cs="Arial"/>
          <w:sz w:val="23"/>
          <w:szCs w:val="23"/>
        </w:rPr>
        <w:t xml:space="preserve">Cabe mencionar que, esta prestación se otorgará únicamente al personal que esté activo o en funciones </w:t>
      </w:r>
      <w:r w:rsidR="002359D3" w:rsidRPr="00B37707">
        <w:rPr>
          <w:rFonts w:ascii="Arial" w:hAnsi="Arial" w:cs="Arial"/>
          <w:sz w:val="23"/>
          <w:szCs w:val="23"/>
        </w:rPr>
        <w:t xml:space="preserve">pues su propósito es, precisamente contribuir al desarrollo profesional y reconocer el </w:t>
      </w:r>
      <w:r w:rsidR="00542759" w:rsidRPr="00B37707">
        <w:rPr>
          <w:rFonts w:ascii="Arial" w:hAnsi="Arial" w:cs="Arial"/>
          <w:sz w:val="23"/>
          <w:szCs w:val="23"/>
        </w:rPr>
        <w:t xml:space="preserve">esfuerzo y apoyo incondicional en la realización de las funciones y actividades que se han llevado a cabo y que </w:t>
      </w:r>
      <w:r w:rsidR="00406144" w:rsidRPr="00B37707">
        <w:rPr>
          <w:rFonts w:ascii="Arial" w:hAnsi="Arial" w:cs="Arial"/>
          <w:sz w:val="23"/>
          <w:szCs w:val="23"/>
        </w:rPr>
        <w:t xml:space="preserve">en lo subsecuente se seguirán realizando, siendo </w:t>
      </w:r>
      <w:r w:rsidR="00542759" w:rsidRPr="00B37707">
        <w:rPr>
          <w:rFonts w:ascii="Arial" w:hAnsi="Arial" w:cs="Arial"/>
          <w:sz w:val="23"/>
          <w:szCs w:val="23"/>
        </w:rPr>
        <w:t xml:space="preserve">determinantes para alcanzar las metas y objetivos de los programas </w:t>
      </w:r>
      <w:r w:rsidR="00F8538E" w:rsidRPr="00B37707">
        <w:rPr>
          <w:rFonts w:ascii="Arial" w:hAnsi="Arial" w:cs="Arial"/>
          <w:sz w:val="23"/>
          <w:szCs w:val="23"/>
        </w:rPr>
        <w:t>de esta Institución</w:t>
      </w:r>
      <w:r w:rsidR="002F28BE" w:rsidRPr="00B37707">
        <w:rPr>
          <w:rFonts w:ascii="Arial" w:hAnsi="Arial" w:cs="Arial"/>
          <w:sz w:val="23"/>
          <w:szCs w:val="23"/>
        </w:rPr>
        <w:t xml:space="preserve"> de manera eficiente y eficaz,</w:t>
      </w:r>
    </w:p>
    <w:p w:rsidR="00767665" w:rsidRPr="00B37707" w:rsidRDefault="00767665" w:rsidP="00E06764">
      <w:pPr>
        <w:pStyle w:val="Ttulo2"/>
        <w:rPr>
          <w:rFonts w:ascii="Arial" w:hAnsi="Arial" w:cs="Arial"/>
          <w:sz w:val="23"/>
          <w:szCs w:val="23"/>
        </w:rPr>
      </w:pPr>
      <w:r w:rsidRPr="00B37707">
        <w:rPr>
          <w:rFonts w:ascii="Arial" w:hAnsi="Arial" w:cs="Arial"/>
          <w:sz w:val="23"/>
          <w:szCs w:val="23"/>
        </w:rPr>
        <w:t>Determinación del bono de antigüedad</w:t>
      </w:r>
    </w:p>
    <w:p w:rsidR="00E30AF0" w:rsidRDefault="00767665" w:rsidP="008A7C9B">
      <w:pPr>
        <w:rPr>
          <w:rFonts w:ascii="Arial" w:hAnsi="Arial" w:cs="Arial"/>
          <w:sz w:val="23"/>
          <w:szCs w:val="23"/>
        </w:rPr>
      </w:pPr>
      <w:r w:rsidRPr="00B37707">
        <w:rPr>
          <w:rFonts w:ascii="Arial" w:hAnsi="Arial" w:cs="Arial"/>
          <w:sz w:val="23"/>
          <w:szCs w:val="23"/>
        </w:rPr>
        <w:t xml:space="preserve">Que, del mismo modo, como un reconocimiento por su dedicación y contribución al servicio en este Instituto, este órgano electoral considera viable otorgar al personal cuya relación laboral esté vigente, es decir, se trate de una servidora o servidor público activo o en funciones y que </w:t>
      </w:r>
      <w:r w:rsidR="00925FB0" w:rsidRPr="00B37707">
        <w:rPr>
          <w:rFonts w:ascii="Arial" w:hAnsi="Arial" w:cs="Arial"/>
          <w:sz w:val="23"/>
          <w:szCs w:val="23"/>
        </w:rPr>
        <w:t xml:space="preserve">acrediten </w:t>
      </w:r>
      <w:r w:rsidRPr="00B37707">
        <w:rPr>
          <w:rFonts w:ascii="Arial" w:hAnsi="Arial" w:cs="Arial"/>
          <w:sz w:val="23"/>
          <w:szCs w:val="23"/>
        </w:rPr>
        <w:t xml:space="preserve">una antigüedad </w:t>
      </w:r>
      <w:r w:rsidR="00925FB0" w:rsidRPr="00B37707">
        <w:rPr>
          <w:rFonts w:ascii="Arial" w:hAnsi="Arial" w:cs="Arial"/>
          <w:sz w:val="23"/>
          <w:szCs w:val="23"/>
        </w:rPr>
        <w:t xml:space="preserve">por </w:t>
      </w:r>
      <w:r w:rsidR="00E06764" w:rsidRPr="00B37707">
        <w:rPr>
          <w:rFonts w:ascii="Arial" w:hAnsi="Arial" w:cs="Arial"/>
          <w:sz w:val="23"/>
          <w:szCs w:val="23"/>
        </w:rPr>
        <w:t xml:space="preserve">15, 20, 25 </w:t>
      </w:r>
      <w:r w:rsidR="00925FB0" w:rsidRPr="00B37707">
        <w:rPr>
          <w:rFonts w:ascii="Arial" w:hAnsi="Arial" w:cs="Arial"/>
          <w:sz w:val="23"/>
          <w:szCs w:val="23"/>
        </w:rPr>
        <w:t xml:space="preserve">o 30 </w:t>
      </w:r>
      <w:r w:rsidRPr="00B37707">
        <w:rPr>
          <w:rFonts w:ascii="Arial" w:hAnsi="Arial" w:cs="Arial"/>
          <w:sz w:val="23"/>
          <w:szCs w:val="23"/>
        </w:rPr>
        <w:t>años de labores ininterrumpidas</w:t>
      </w:r>
      <w:r w:rsidR="00E30AF0" w:rsidRPr="00B37707">
        <w:rPr>
          <w:rFonts w:ascii="Arial" w:hAnsi="Arial" w:cs="Arial"/>
          <w:sz w:val="23"/>
          <w:szCs w:val="23"/>
        </w:rPr>
        <w:t xml:space="preserve"> exclusivamente en este Instituto, dentro de los rangos siguientes:</w:t>
      </w:r>
    </w:p>
    <w:p w:rsidR="00B37707" w:rsidRDefault="00B37707" w:rsidP="008A7C9B">
      <w:pPr>
        <w:rPr>
          <w:rFonts w:ascii="Arial" w:hAnsi="Arial" w:cs="Arial"/>
          <w:sz w:val="23"/>
          <w:szCs w:val="23"/>
        </w:rPr>
      </w:pPr>
    </w:p>
    <w:p w:rsidR="00B37707" w:rsidRPr="00B37707" w:rsidRDefault="00B37707" w:rsidP="008A7C9B">
      <w:pPr>
        <w:rPr>
          <w:rFonts w:ascii="Arial" w:hAnsi="Arial" w:cs="Arial"/>
          <w:sz w:val="23"/>
          <w:szCs w:val="23"/>
        </w:rPr>
      </w:pPr>
    </w:p>
    <w:tbl>
      <w:tblPr>
        <w:tblStyle w:val="Tablaconcuadrcula"/>
        <w:tblW w:w="0" w:type="auto"/>
        <w:tblLook w:val="04A0" w:firstRow="1" w:lastRow="0" w:firstColumn="1" w:lastColumn="0" w:noHBand="0" w:noVBand="1"/>
      </w:tblPr>
      <w:tblGrid>
        <w:gridCol w:w="4319"/>
        <w:gridCol w:w="4318"/>
      </w:tblGrid>
      <w:tr w:rsidR="00E30AF0" w:rsidRPr="00B37707" w:rsidTr="00B37707">
        <w:tc>
          <w:tcPr>
            <w:tcW w:w="4414" w:type="dxa"/>
            <w:shd w:val="clear" w:color="auto" w:fill="990033"/>
          </w:tcPr>
          <w:p w:rsidR="00E30AF0" w:rsidRPr="00B37707" w:rsidRDefault="00E30AF0" w:rsidP="00E30AF0">
            <w:pPr>
              <w:spacing w:before="40" w:after="40"/>
              <w:jc w:val="center"/>
              <w:rPr>
                <w:rFonts w:ascii="Arial" w:hAnsi="Arial" w:cs="Arial"/>
                <w:b/>
                <w:sz w:val="20"/>
                <w:szCs w:val="20"/>
              </w:rPr>
            </w:pPr>
            <w:r w:rsidRPr="00B37707">
              <w:rPr>
                <w:rFonts w:ascii="Arial" w:hAnsi="Arial" w:cs="Arial"/>
                <w:b/>
                <w:sz w:val="20"/>
                <w:szCs w:val="20"/>
              </w:rPr>
              <w:lastRenderedPageBreak/>
              <w:t>Estímulos</w:t>
            </w:r>
          </w:p>
        </w:tc>
        <w:tc>
          <w:tcPr>
            <w:tcW w:w="4414" w:type="dxa"/>
            <w:shd w:val="clear" w:color="auto" w:fill="990033"/>
          </w:tcPr>
          <w:p w:rsidR="00E30AF0" w:rsidRPr="00B37707" w:rsidRDefault="00E30AF0" w:rsidP="00E30AF0">
            <w:pPr>
              <w:spacing w:before="40" w:after="40"/>
              <w:jc w:val="center"/>
              <w:rPr>
                <w:rFonts w:ascii="Arial" w:hAnsi="Arial" w:cs="Arial"/>
                <w:b/>
                <w:sz w:val="20"/>
                <w:szCs w:val="20"/>
              </w:rPr>
            </w:pPr>
            <w:r w:rsidRPr="00B37707">
              <w:rPr>
                <w:rFonts w:ascii="Arial" w:hAnsi="Arial" w:cs="Arial"/>
                <w:b/>
                <w:sz w:val="20"/>
                <w:szCs w:val="20"/>
              </w:rPr>
              <w:t>Años de servicios efectivos</w:t>
            </w:r>
          </w:p>
        </w:tc>
      </w:tr>
      <w:tr w:rsidR="00E06764" w:rsidRPr="00B37707" w:rsidTr="00330A87">
        <w:tc>
          <w:tcPr>
            <w:tcW w:w="4414" w:type="dxa"/>
          </w:tcPr>
          <w:p w:rsidR="00E06764" w:rsidRPr="00B37707" w:rsidRDefault="00E06764" w:rsidP="00E30AF0">
            <w:pPr>
              <w:spacing w:before="40" w:after="40"/>
              <w:jc w:val="center"/>
              <w:rPr>
                <w:rFonts w:ascii="Arial" w:hAnsi="Arial" w:cs="Arial"/>
                <w:sz w:val="20"/>
                <w:szCs w:val="20"/>
              </w:rPr>
            </w:pPr>
            <w:r w:rsidRPr="00B37707">
              <w:rPr>
                <w:rFonts w:ascii="Arial" w:hAnsi="Arial" w:cs="Arial"/>
                <w:sz w:val="20"/>
                <w:szCs w:val="20"/>
              </w:rPr>
              <w:t>15 años</w:t>
            </w:r>
          </w:p>
        </w:tc>
        <w:tc>
          <w:tcPr>
            <w:tcW w:w="4414" w:type="dxa"/>
          </w:tcPr>
          <w:p w:rsidR="00E06764" w:rsidRPr="00B37707" w:rsidRDefault="00AC05A3" w:rsidP="00AC05A3">
            <w:pPr>
              <w:spacing w:before="40" w:after="40"/>
              <w:jc w:val="center"/>
              <w:rPr>
                <w:rFonts w:ascii="Arial" w:hAnsi="Arial" w:cs="Arial"/>
                <w:sz w:val="20"/>
                <w:szCs w:val="20"/>
              </w:rPr>
            </w:pPr>
            <w:r w:rsidRPr="00B37707">
              <w:rPr>
                <w:rFonts w:ascii="Arial" w:hAnsi="Arial" w:cs="Arial"/>
                <w:sz w:val="20"/>
                <w:szCs w:val="20"/>
              </w:rPr>
              <w:t>15 años cumplidos en el ejercicio.</w:t>
            </w:r>
          </w:p>
        </w:tc>
      </w:tr>
      <w:tr w:rsidR="00E06764" w:rsidRPr="00B37707" w:rsidTr="00330A87">
        <w:tc>
          <w:tcPr>
            <w:tcW w:w="4414" w:type="dxa"/>
          </w:tcPr>
          <w:p w:rsidR="00E06764" w:rsidRPr="00B37707" w:rsidRDefault="00E06764" w:rsidP="00E06764">
            <w:pPr>
              <w:spacing w:before="40" w:after="40"/>
              <w:jc w:val="center"/>
              <w:rPr>
                <w:rFonts w:ascii="Arial" w:hAnsi="Arial" w:cs="Arial"/>
                <w:sz w:val="20"/>
                <w:szCs w:val="20"/>
              </w:rPr>
            </w:pPr>
            <w:r w:rsidRPr="00B37707">
              <w:rPr>
                <w:rFonts w:ascii="Arial" w:hAnsi="Arial" w:cs="Arial"/>
                <w:sz w:val="20"/>
                <w:szCs w:val="20"/>
              </w:rPr>
              <w:t>20 años</w:t>
            </w:r>
          </w:p>
        </w:tc>
        <w:tc>
          <w:tcPr>
            <w:tcW w:w="4414" w:type="dxa"/>
          </w:tcPr>
          <w:p w:rsidR="00E06764" w:rsidRPr="00B37707" w:rsidRDefault="00AC05A3" w:rsidP="00AC05A3">
            <w:pPr>
              <w:spacing w:before="40" w:after="40"/>
              <w:jc w:val="center"/>
              <w:rPr>
                <w:rFonts w:ascii="Arial" w:hAnsi="Arial" w:cs="Arial"/>
                <w:sz w:val="20"/>
                <w:szCs w:val="20"/>
              </w:rPr>
            </w:pPr>
            <w:r w:rsidRPr="00B37707">
              <w:rPr>
                <w:rFonts w:ascii="Arial" w:hAnsi="Arial" w:cs="Arial"/>
                <w:sz w:val="20"/>
                <w:szCs w:val="20"/>
              </w:rPr>
              <w:t>20 años cumplidos en el ejercicio.</w:t>
            </w:r>
          </w:p>
        </w:tc>
      </w:tr>
      <w:tr w:rsidR="00E06764" w:rsidRPr="00B37707" w:rsidTr="00330A87">
        <w:tc>
          <w:tcPr>
            <w:tcW w:w="4414" w:type="dxa"/>
          </w:tcPr>
          <w:p w:rsidR="00E06764" w:rsidRPr="00B37707" w:rsidRDefault="00E06764" w:rsidP="00E06764">
            <w:pPr>
              <w:spacing w:before="40" w:after="40"/>
              <w:jc w:val="center"/>
              <w:rPr>
                <w:rFonts w:ascii="Arial" w:hAnsi="Arial" w:cs="Arial"/>
                <w:sz w:val="20"/>
                <w:szCs w:val="20"/>
              </w:rPr>
            </w:pPr>
            <w:r w:rsidRPr="00B37707">
              <w:rPr>
                <w:rFonts w:ascii="Arial" w:hAnsi="Arial" w:cs="Arial"/>
                <w:sz w:val="20"/>
                <w:szCs w:val="20"/>
              </w:rPr>
              <w:t>25 años</w:t>
            </w:r>
          </w:p>
        </w:tc>
        <w:tc>
          <w:tcPr>
            <w:tcW w:w="4414" w:type="dxa"/>
          </w:tcPr>
          <w:p w:rsidR="00E06764" w:rsidRPr="00B37707" w:rsidRDefault="00AC05A3" w:rsidP="00AC05A3">
            <w:pPr>
              <w:spacing w:before="40" w:after="40"/>
              <w:jc w:val="center"/>
              <w:rPr>
                <w:rFonts w:ascii="Arial" w:hAnsi="Arial" w:cs="Arial"/>
                <w:sz w:val="20"/>
                <w:szCs w:val="20"/>
              </w:rPr>
            </w:pPr>
            <w:r w:rsidRPr="00B37707">
              <w:rPr>
                <w:rFonts w:ascii="Arial" w:hAnsi="Arial" w:cs="Arial"/>
                <w:sz w:val="20"/>
                <w:szCs w:val="20"/>
              </w:rPr>
              <w:t>25 años cumplidos en el ejercicio.</w:t>
            </w:r>
          </w:p>
        </w:tc>
      </w:tr>
      <w:tr w:rsidR="00E06764" w:rsidRPr="00B37707" w:rsidTr="00330A87">
        <w:tc>
          <w:tcPr>
            <w:tcW w:w="4414" w:type="dxa"/>
          </w:tcPr>
          <w:p w:rsidR="00E06764" w:rsidRPr="00B37707" w:rsidRDefault="00E06764" w:rsidP="00E06764">
            <w:pPr>
              <w:spacing w:before="40" w:after="40"/>
              <w:jc w:val="center"/>
              <w:rPr>
                <w:rFonts w:ascii="Arial" w:hAnsi="Arial" w:cs="Arial"/>
                <w:sz w:val="20"/>
                <w:szCs w:val="20"/>
              </w:rPr>
            </w:pPr>
            <w:r w:rsidRPr="00B37707">
              <w:rPr>
                <w:rFonts w:ascii="Arial" w:hAnsi="Arial" w:cs="Arial"/>
                <w:sz w:val="20"/>
                <w:szCs w:val="20"/>
              </w:rPr>
              <w:t>30 años</w:t>
            </w:r>
          </w:p>
        </w:tc>
        <w:tc>
          <w:tcPr>
            <w:tcW w:w="4414" w:type="dxa"/>
          </w:tcPr>
          <w:p w:rsidR="00E06764" w:rsidRPr="00B37707" w:rsidRDefault="00AC05A3" w:rsidP="00AC05A3">
            <w:pPr>
              <w:spacing w:before="40" w:after="40"/>
              <w:jc w:val="center"/>
              <w:rPr>
                <w:rFonts w:ascii="Arial" w:hAnsi="Arial" w:cs="Arial"/>
                <w:sz w:val="20"/>
                <w:szCs w:val="20"/>
              </w:rPr>
            </w:pPr>
            <w:r w:rsidRPr="00B37707">
              <w:rPr>
                <w:rFonts w:ascii="Arial" w:hAnsi="Arial" w:cs="Arial"/>
                <w:sz w:val="20"/>
                <w:szCs w:val="20"/>
              </w:rPr>
              <w:t>30 años cumplidos en el ejercicio.</w:t>
            </w:r>
          </w:p>
        </w:tc>
      </w:tr>
    </w:tbl>
    <w:p w:rsidR="00767665" w:rsidRPr="00B37707" w:rsidRDefault="00E30AF0" w:rsidP="008A7C9B">
      <w:pPr>
        <w:rPr>
          <w:rFonts w:ascii="Arial" w:hAnsi="Arial" w:cs="Arial"/>
          <w:sz w:val="23"/>
          <w:szCs w:val="23"/>
        </w:rPr>
      </w:pPr>
      <w:r w:rsidRPr="00B37707">
        <w:rPr>
          <w:rFonts w:ascii="Arial" w:hAnsi="Arial" w:cs="Arial"/>
        </w:rPr>
        <w:t>El estímulo por antigüedad consiste en el otorgamiento de una cantidad</w:t>
      </w:r>
      <w:r w:rsidR="006D6769" w:rsidRPr="00B37707">
        <w:rPr>
          <w:rFonts w:ascii="Arial" w:hAnsi="Arial" w:cs="Arial"/>
        </w:rPr>
        <w:t xml:space="preserve"> determinada tomando de referencia el Manual de Normas Administrativas en </w:t>
      </w:r>
      <w:r w:rsidR="006D6769" w:rsidRPr="00B37707">
        <w:rPr>
          <w:rFonts w:ascii="Arial" w:hAnsi="Arial" w:cs="Arial"/>
          <w:sz w:val="23"/>
          <w:szCs w:val="23"/>
        </w:rPr>
        <w:t>materia de Recursos Humanos del Servicio Profesional Electoral y de la Rama Administrativa del INE,</w:t>
      </w:r>
      <w:r w:rsidRPr="00B37707">
        <w:rPr>
          <w:rFonts w:ascii="Arial" w:hAnsi="Arial" w:cs="Arial"/>
          <w:sz w:val="23"/>
          <w:szCs w:val="23"/>
        </w:rPr>
        <w:t xml:space="preserve"> de acuerdo con lo siguiente:</w:t>
      </w:r>
    </w:p>
    <w:tbl>
      <w:tblPr>
        <w:tblStyle w:val="Tablaconcuadrcula"/>
        <w:tblW w:w="0" w:type="auto"/>
        <w:tblLook w:val="04A0" w:firstRow="1" w:lastRow="0" w:firstColumn="1" w:lastColumn="0" w:noHBand="0" w:noVBand="1"/>
      </w:tblPr>
      <w:tblGrid>
        <w:gridCol w:w="2209"/>
        <w:gridCol w:w="1953"/>
        <w:gridCol w:w="2001"/>
        <w:gridCol w:w="2474"/>
      </w:tblGrid>
      <w:tr w:rsidR="00330A87" w:rsidRPr="00B37707" w:rsidTr="00B37707">
        <w:tc>
          <w:tcPr>
            <w:tcW w:w="2267" w:type="dxa"/>
            <w:shd w:val="clear" w:color="auto" w:fill="990033"/>
          </w:tcPr>
          <w:p w:rsidR="00330A87" w:rsidRPr="00B37707" w:rsidRDefault="00330A87" w:rsidP="00E30AF0">
            <w:pPr>
              <w:spacing w:before="40" w:after="40"/>
              <w:jc w:val="center"/>
              <w:rPr>
                <w:rFonts w:ascii="Arial" w:hAnsi="Arial" w:cs="Arial"/>
                <w:b/>
                <w:sz w:val="20"/>
                <w:szCs w:val="20"/>
              </w:rPr>
            </w:pPr>
            <w:r w:rsidRPr="00B37707">
              <w:rPr>
                <w:rFonts w:ascii="Arial" w:hAnsi="Arial" w:cs="Arial"/>
                <w:b/>
                <w:sz w:val="20"/>
                <w:szCs w:val="20"/>
              </w:rPr>
              <w:t>Años de servicio</w:t>
            </w:r>
          </w:p>
        </w:tc>
        <w:tc>
          <w:tcPr>
            <w:tcW w:w="1987" w:type="dxa"/>
            <w:shd w:val="clear" w:color="auto" w:fill="990033"/>
          </w:tcPr>
          <w:p w:rsidR="00330A87" w:rsidRPr="00B37707" w:rsidRDefault="00330A87" w:rsidP="00E30AF0">
            <w:pPr>
              <w:spacing w:before="40" w:after="40"/>
              <w:jc w:val="center"/>
              <w:rPr>
                <w:rFonts w:ascii="Arial" w:hAnsi="Arial" w:cs="Arial"/>
                <w:b/>
                <w:sz w:val="20"/>
                <w:szCs w:val="20"/>
              </w:rPr>
            </w:pPr>
            <w:r w:rsidRPr="00B37707">
              <w:rPr>
                <w:rFonts w:ascii="Arial" w:hAnsi="Arial" w:cs="Arial"/>
                <w:b/>
                <w:sz w:val="20"/>
                <w:szCs w:val="20"/>
              </w:rPr>
              <w:t>Monto bruto</w:t>
            </w:r>
          </w:p>
        </w:tc>
        <w:tc>
          <w:tcPr>
            <w:tcW w:w="2042" w:type="dxa"/>
            <w:shd w:val="clear" w:color="auto" w:fill="990033"/>
          </w:tcPr>
          <w:p w:rsidR="00330A87" w:rsidRPr="00B37707" w:rsidRDefault="00330A87" w:rsidP="00E30AF0">
            <w:pPr>
              <w:spacing w:before="40" w:after="40"/>
              <w:jc w:val="center"/>
              <w:rPr>
                <w:rFonts w:ascii="Arial" w:hAnsi="Arial" w:cs="Arial"/>
                <w:b/>
                <w:sz w:val="20"/>
                <w:szCs w:val="20"/>
              </w:rPr>
            </w:pPr>
            <w:r w:rsidRPr="00B37707">
              <w:rPr>
                <w:rFonts w:ascii="Arial" w:hAnsi="Arial" w:cs="Arial"/>
                <w:b/>
                <w:sz w:val="20"/>
                <w:szCs w:val="20"/>
              </w:rPr>
              <w:t>ISR</w:t>
            </w:r>
          </w:p>
        </w:tc>
        <w:tc>
          <w:tcPr>
            <w:tcW w:w="2532" w:type="dxa"/>
            <w:shd w:val="clear" w:color="auto" w:fill="990033"/>
          </w:tcPr>
          <w:p w:rsidR="00330A87" w:rsidRPr="00B37707" w:rsidRDefault="00330A87" w:rsidP="00E30AF0">
            <w:pPr>
              <w:spacing w:before="40" w:after="40"/>
              <w:jc w:val="center"/>
              <w:rPr>
                <w:rFonts w:ascii="Arial" w:hAnsi="Arial" w:cs="Arial"/>
                <w:b/>
                <w:sz w:val="20"/>
                <w:szCs w:val="20"/>
              </w:rPr>
            </w:pPr>
            <w:r w:rsidRPr="00B37707">
              <w:rPr>
                <w:rFonts w:ascii="Arial" w:hAnsi="Arial" w:cs="Arial"/>
                <w:b/>
                <w:sz w:val="20"/>
                <w:szCs w:val="20"/>
              </w:rPr>
              <w:t>Monto neto</w:t>
            </w:r>
          </w:p>
        </w:tc>
      </w:tr>
      <w:tr w:rsidR="00330A87" w:rsidRPr="00B37707" w:rsidTr="00B37707">
        <w:tc>
          <w:tcPr>
            <w:tcW w:w="2267" w:type="dxa"/>
          </w:tcPr>
          <w:p w:rsidR="00330A87" w:rsidRPr="00B37707" w:rsidRDefault="00330A87" w:rsidP="00E30AF0">
            <w:pPr>
              <w:spacing w:before="40" w:after="40"/>
              <w:jc w:val="center"/>
              <w:rPr>
                <w:rFonts w:ascii="Arial" w:hAnsi="Arial" w:cs="Arial"/>
                <w:b/>
                <w:sz w:val="20"/>
                <w:szCs w:val="20"/>
              </w:rPr>
            </w:pPr>
            <w:r w:rsidRPr="00B37707">
              <w:rPr>
                <w:rFonts w:ascii="Arial" w:hAnsi="Arial" w:cs="Arial"/>
                <w:b/>
                <w:sz w:val="20"/>
                <w:szCs w:val="20"/>
              </w:rPr>
              <w:t>15</w:t>
            </w:r>
          </w:p>
        </w:tc>
        <w:tc>
          <w:tcPr>
            <w:tcW w:w="1987" w:type="dxa"/>
          </w:tcPr>
          <w:p w:rsidR="00330A87" w:rsidRPr="00B37707" w:rsidRDefault="00330A87" w:rsidP="00E30AF0">
            <w:pPr>
              <w:spacing w:before="40" w:after="40"/>
              <w:jc w:val="center"/>
              <w:rPr>
                <w:rFonts w:ascii="Arial" w:hAnsi="Arial" w:cs="Arial"/>
                <w:b/>
                <w:sz w:val="20"/>
                <w:szCs w:val="20"/>
              </w:rPr>
            </w:pPr>
            <w:r w:rsidRPr="00B37707">
              <w:rPr>
                <w:rFonts w:ascii="Arial" w:hAnsi="Arial" w:cs="Arial"/>
                <w:b/>
                <w:sz w:val="20"/>
                <w:szCs w:val="20"/>
              </w:rPr>
              <w:t>$5,306.17</w:t>
            </w:r>
          </w:p>
        </w:tc>
        <w:tc>
          <w:tcPr>
            <w:tcW w:w="2042" w:type="dxa"/>
          </w:tcPr>
          <w:p w:rsidR="00330A87" w:rsidRPr="00B37707" w:rsidRDefault="00BC3BCD" w:rsidP="00E30AF0">
            <w:pPr>
              <w:spacing w:before="40" w:after="40"/>
              <w:jc w:val="center"/>
              <w:rPr>
                <w:rFonts w:ascii="Arial" w:hAnsi="Arial" w:cs="Arial"/>
                <w:b/>
                <w:sz w:val="20"/>
                <w:szCs w:val="20"/>
              </w:rPr>
            </w:pPr>
            <w:r w:rsidRPr="00B37707">
              <w:rPr>
                <w:rFonts w:ascii="Arial" w:hAnsi="Arial" w:cs="Arial"/>
                <w:b/>
                <w:sz w:val="20"/>
                <w:szCs w:val="20"/>
              </w:rPr>
              <w:t>$306.17</w:t>
            </w:r>
          </w:p>
        </w:tc>
        <w:tc>
          <w:tcPr>
            <w:tcW w:w="2532" w:type="dxa"/>
          </w:tcPr>
          <w:p w:rsidR="00330A87" w:rsidRPr="00B37707" w:rsidRDefault="00330A87" w:rsidP="00E30AF0">
            <w:pPr>
              <w:spacing w:before="40" w:after="40"/>
              <w:jc w:val="center"/>
              <w:rPr>
                <w:rFonts w:ascii="Arial" w:hAnsi="Arial" w:cs="Arial"/>
                <w:b/>
                <w:sz w:val="20"/>
                <w:szCs w:val="20"/>
              </w:rPr>
            </w:pPr>
            <w:r w:rsidRPr="00B37707">
              <w:rPr>
                <w:rFonts w:ascii="Arial" w:hAnsi="Arial" w:cs="Arial"/>
                <w:b/>
                <w:sz w:val="20"/>
                <w:szCs w:val="20"/>
              </w:rPr>
              <w:t>$5,000.00</w:t>
            </w:r>
          </w:p>
        </w:tc>
      </w:tr>
      <w:tr w:rsidR="00330A87" w:rsidRPr="00B37707" w:rsidTr="00B37707">
        <w:tc>
          <w:tcPr>
            <w:tcW w:w="2267" w:type="dxa"/>
          </w:tcPr>
          <w:p w:rsidR="00330A87" w:rsidRPr="00B37707" w:rsidRDefault="00330A87" w:rsidP="00E30AF0">
            <w:pPr>
              <w:spacing w:before="40" w:after="40"/>
              <w:jc w:val="center"/>
              <w:rPr>
                <w:rFonts w:ascii="Arial" w:hAnsi="Arial" w:cs="Arial"/>
                <w:b/>
                <w:sz w:val="20"/>
                <w:szCs w:val="20"/>
              </w:rPr>
            </w:pPr>
            <w:r w:rsidRPr="00B37707">
              <w:rPr>
                <w:rFonts w:ascii="Arial" w:hAnsi="Arial" w:cs="Arial"/>
                <w:b/>
                <w:sz w:val="20"/>
                <w:szCs w:val="20"/>
              </w:rPr>
              <w:t>20</w:t>
            </w:r>
          </w:p>
        </w:tc>
        <w:tc>
          <w:tcPr>
            <w:tcW w:w="1987" w:type="dxa"/>
          </w:tcPr>
          <w:p w:rsidR="00330A87" w:rsidRPr="00B37707" w:rsidRDefault="00330A87" w:rsidP="00310887">
            <w:pPr>
              <w:spacing w:before="40" w:after="40"/>
              <w:jc w:val="center"/>
              <w:rPr>
                <w:rFonts w:ascii="Arial" w:hAnsi="Arial" w:cs="Arial"/>
                <w:b/>
                <w:sz w:val="20"/>
                <w:szCs w:val="20"/>
              </w:rPr>
            </w:pPr>
            <w:r w:rsidRPr="00B37707">
              <w:rPr>
                <w:rFonts w:ascii="Arial" w:hAnsi="Arial" w:cs="Arial"/>
                <w:b/>
                <w:sz w:val="20"/>
                <w:szCs w:val="20"/>
              </w:rPr>
              <w:t>$8,059.81</w:t>
            </w:r>
          </w:p>
        </w:tc>
        <w:tc>
          <w:tcPr>
            <w:tcW w:w="2042" w:type="dxa"/>
          </w:tcPr>
          <w:p w:rsidR="00330A87" w:rsidRPr="00B37707" w:rsidRDefault="00BC3BCD" w:rsidP="00310887">
            <w:pPr>
              <w:spacing w:before="40" w:after="40"/>
              <w:jc w:val="center"/>
              <w:rPr>
                <w:rFonts w:ascii="Arial" w:hAnsi="Arial" w:cs="Arial"/>
                <w:b/>
                <w:sz w:val="20"/>
                <w:szCs w:val="20"/>
              </w:rPr>
            </w:pPr>
            <w:r w:rsidRPr="00B37707">
              <w:rPr>
                <w:rFonts w:ascii="Arial" w:hAnsi="Arial" w:cs="Arial"/>
                <w:b/>
                <w:sz w:val="20"/>
                <w:szCs w:val="20"/>
              </w:rPr>
              <w:t>$559.81</w:t>
            </w:r>
          </w:p>
        </w:tc>
        <w:tc>
          <w:tcPr>
            <w:tcW w:w="2532" w:type="dxa"/>
          </w:tcPr>
          <w:p w:rsidR="00330A87" w:rsidRPr="00B37707" w:rsidRDefault="00330A87" w:rsidP="00310887">
            <w:pPr>
              <w:spacing w:before="40" w:after="40"/>
              <w:jc w:val="center"/>
              <w:rPr>
                <w:rFonts w:ascii="Arial" w:hAnsi="Arial" w:cs="Arial"/>
                <w:b/>
                <w:sz w:val="20"/>
                <w:szCs w:val="20"/>
              </w:rPr>
            </w:pPr>
            <w:r w:rsidRPr="00B37707">
              <w:rPr>
                <w:rFonts w:ascii="Arial" w:hAnsi="Arial" w:cs="Arial"/>
                <w:b/>
                <w:sz w:val="20"/>
                <w:szCs w:val="20"/>
              </w:rPr>
              <w:t>$7,500.00</w:t>
            </w:r>
          </w:p>
        </w:tc>
      </w:tr>
      <w:tr w:rsidR="00330A87" w:rsidRPr="00B37707" w:rsidTr="00B37707">
        <w:tc>
          <w:tcPr>
            <w:tcW w:w="2267" w:type="dxa"/>
          </w:tcPr>
          <w:p w:rsidR="00330A87" w:rsidRPr="00B37707" w:rsidRDefault="00330A87" w:rsidP="00310887">
            <w:pPr>
              <w:spacing w:before="40" w:after="40"/>
              <w:jc w:val="center"/>
              <w:rPr>
                <w:rFonts w:ascii="Arial" w:hAnsi="Arial" w:cs="Arial"/>
                <w:b/>
                <w:sz w:val="20"/>
                <w:szCs w:val="20"/>
              </w:rPr>
            </w:pPr>
            <w:r w:rsidRPr="00B37707">
              <w:rPr>
                <w:rFonts w:ascii="Arial" w:hAnsi="Arial" w:cs="Arial"/>
                <w:b/>
                <w:sz w:val="20"/>
                <w:szCs w:val="20"/>
              </w:rPr>
              <w:t>25</w:t>
            </w:r>
          </w:p>
        </w:tc>
        <w:tc>
          <w:tcPr>
            <w:tcW w:w="1987" w:type="dxa"/>
          </w:tcPr>
          <w:p w:rsidR="00330A87" w:rsidRPr="00B37707" w:rsidRDefault="00330A87" w:rsidP="00310887">
            <w:pPr>
              <w:spacing w:before="40" w:after="40"/>
              <w:jc w:val="center"/>
              <w:rPr>
                <w:rFonts w:ascii="Arial" w:hAnsi="Arial" w:cs="Arial"/>
                <w:b/>
                <w:sz w:val="20"/>
                <w:szCs w:val="20"/>
              </w:rPr>
            </w:pPr>
            <w:r w:rsidRPr="00B37707">
              <w:rPr>
                <w:rFonts w:ascii="Arial" w:hAnsi="Arial" w:cs="Arial"/>
                <w:b/>
                <w:sz w:val="20"/>
                <w:szCs w:val="20"/>
              </w:rPr>
              <w:t>$10,865.02</w:t>
            </w:r>
          </w:p>
        </w:tc>
        <w:tc>
          <w:tcPr>
            <w:tcW w:w="2042" w:type="dxa"/>
          </w:tcPr>
          <w:p w:rsidR="00330A87" w:rsidRPr="00B37707" w:rsidRDefault="00BC3BCD" w:rsidP="00310887">
            <w:pPr>
              <w:spacing w:before="40" w:after="40"/>
              <w:jc w:val="center"/>
              <w:rPr>
                <w:rFonts w:ascii="Arial" w:hAnsi="Arial" w:cs="Arial"/>
                <w:b/>
                <w:sz w:val="20"/>
                <w:szCs w:val="20"/>
              </w:rPr>
            </w:pPr>
            <w:r w:rsidRPr="00B37707">
              <w:rPr>
                <w:rFonts w:ascii="Arial" w:hAnsi="Arial" w:cs="Arial"/>
                <w:b/>
                <w:sz w:val="20"/>
                <w:szCs w:val="20"/>
              </w:rPr>
              <w:t>$865.02</w:t>
            </w:r>
          </w:p>
        </w:tc>
        <w:tc>
          <w:tcPr>
            <w:tcW w:w="2532" w:type="dxa"/>
          </w:tcPr>
          <w:p w:rsidR="00330A87" w:rsidRPr="00B37707" w:rsidRDefault="00330A87" w:rsidP="00310887">
            <w:pPr>
              <w:spacing w:before="40" w:after="40"/>
              <w:jc w:val="center"/>
              <w:rPr>
                <w:rFonts w:ascii="Arial" w:hAnsi="Arial" w:cs="Arial"/>
                <w:b/>
                <w:sz w:val="20"/>
                <w:szCs w:val="20"/>
              </w:rPr>
            </w:pPr>
            <w:r w:rsidRPr="00B37707">
              <w:rPr>
                <w:rFonts w:ascii="Arial" w:hAnsi="Arial" w:cs="Arial"/>
                <w:b/>
                <w:sz w:val="20"/>
                <w:szCs w:val="20"/>
              </w:rPr>
              <w:t>$10,000.00</w:t>
            </w:r>
          </w:p>
        </w:tc>
      </w:tr>
      <w:tr w:rsidR="00330A87" w:rsidRPr="00B37707" w:rsidTr="00B37707">
        <w:tc>
          <w:tcPr>
            <w:tcW w:w="2267" w:type="dxa"/>
          </w:tcPr>
          <w:p w:rsidR="00330A87" w:rsidRPr="00B37707" w:rsidRDefault="00330A87" w:rsidP="00310887">
            <w:pPr>
              <w:spacing w:before="40" w:after="40"/>
              <w:jc w:val="center"/>
              <w:rPr>
                <w:rFonts w:ascii="Arial" w:hAnsi="Arial" w:cs="Arial"/>
                <w:b/>
                <w:sz w:val="20"/>
                <w:szCs w:val="20"/>
              </w:rPr>
            </w:pPr>
            <w:r w:rsidRPr="00B37707">
              <w:rPr>
                <w:rFonts w:ascii="Arial" w:hAnsi="Arial" w:cs="Arial"/>
                <w:b/>
                <w:sz w:val="20"/>
                <w:szCs w:val="20"/>
              </w:rPr>
              <w:t>30</w:t>
            </w:r>
          </w:p>
        </w:tc>
        <w:tc>
          <w:tcPr>
            <w:tcW w:w="1987" w:type="dxa"/>
          </w:tcPr>
          <w:p w:rsidR="00330A87" w:rsidRPr="00B37707" w:rsidRDefault="00330A87" w:rsidP="00310887">
            <w:pPr>
              <w:spacing w:before="40" w:after="40"/>
              <w:jc w:val="center"/>
              <w:rPr>
                <w:rFonts w:ascii="Arial" w:hAnsi="Arial" w:cs="Arial"/>
                <w:b/>
                <w:sz w:val="20"/>
                <w:szCs w:val="20"/>
              </w:rPr>
            </w:pPr>
            <w:r w:rsidRPr="00B37707">
              <w:rPr>
                <w:rFonts w:ascii="Arial" w:hAnsi="Arial" w:cs="Arial"/>
                <w:b/>
                <w:sz w:val="20"/>
                <w:szCs w:val="20"/>
              </w:rPr>
              <w:t>$</w:t>
            </w:r>
            <w:r w:rsidR="00BC3BCD" w:rsidRPr="00B37707">
              <w:rPr>
                <w:rFonts w:ascii="Arial" w:hAnsi="Arial" w:cs="Arial"/>
                <w:b/>
                <w:sz w:val="20"/>
                <w:szCs w:val="20"/>
              </w:rPr>
              <w:t>13,845.98</w:t>
            </w:r>
          </w:p>
        </w:tc>
        <w:tc>
          <w:tcPr>
            <w:tcW w:w="2042" w:type="dxa"/>
          </w:tcPr>
          <w:p w:rsidR="00330A87" w:rsidRPr="00B37707" w:rsidRDefault="00BC3BCD" w:rsidP="00310887">
            <w:pPr>
              <w:spacing w:before="40" w:after="40"/>
              <w:jc w:val="center"/>
              <w:rPr>
                <w:rFonts w:ascii="Arial" w:hAnsi="Arial" w:cs="Arial"/>
                <w:b/>
                <w:sz w:val="20"/>
                <w:szCs w:val="20"/>
              </w:rPr>
            </w:pPr>
            <w:r w:rsidRPr="00B37707">
              <w:rPr>
                <w:rFonts w:ascii="Arial" w:hAnsi="Arial" w:cs="Arial"/>
                <w:b/>
                <w:sz w:val="20"/>
                <w:szCs w:val="20"/>
              </w:rPr>
              <w:t>$1,345.98</w:t>
            </w:r>
          </w:p>
        </w:tc>
        <w:tc>
          <w:tcPr>
            <w:tcW w:w="2532" w:type="dxa"/>
          </w:tcPr>
          <w:p w:rsidR="00330A87" w:rsidRPr="00B37707" w:rsidRDefault="00330A87" w:rsidP="00310887">
            <w:pPr>
              <w:spacing w:before="40" w:after="40"/>
              <w:jc w:val="center"/>
              <w:rPr>
                <w:rFonts w:ascii="Arial" w:hAnsi="Arial" w:cs="Arial"/>
                <w:b/>
                <w:sz w:val="20"/>
                <w:szCs w:val="20"/>
              </w:rPr>
            </w:pPr>
            <w:r w:rsidRPr="00B37707">
              <w:rPr>
                <w:rFonts w:ascii="Arial" w:hAnsi="Arial" w:cs="Arial"/>
                <w:b/>
                <w:sz w:val="20"/>
                <w:szCs w:val="20"/>
              </w:rPr>
              <w:t>$12,500.00</w:t>
            </w:r>
          </w:p>
        </w:tc>
      </w:tr>
    </w:tbl>
    <w:p w:rsidR="00767665" w:rsidRPr="00B37707" w:rsidRDefault="006036F6" w:rsidP="008A7C9B">
      <w:pPr>
        <w:rPr>
          <w:rFonts w:ascii="Arial" w:hAnsi="Arial" w:cs="Arial"/>
          <w:sz w:val="23"/>
          <w:szCs w:val="23"/>
        </w:rPr>
      </w:pPr>
      <w:r w:rsidRPr="00B37707">
        <w:rPr>
          <w:rFonts w:ascii="Arial" w:hAnsi="Arial" w:cs="Arial"/>
          <w:sz w:val="23"/>
          <w:szCs w:val="23"/>
        </w:rPr>
        <w:t xml:space="preserve">El </w:t>
      </w:r>
      <w:r w:rsidR="00767665" w:rsidRPr="00B37707">
        <w:rPr>
          <w:rFonts w:ascii="Arial" w:hAnsi="Arial" w:cs="Arial"/>
          <w:sz w:val="23"/>
          <w:szCs w:val="23"/>
        </w:rPr>
        <w:t xml:space="preserve">estímulo </w:t>
      </w:r>
      <w:r w:rsidRPr="00B37707">
        <w:rPr>
          <w:rFonts w:ascii="Arial" w:hAnsi="Arial" w:cs="Arial"/>
          <w:sz w:val="23"/>
          <w:szCs w:val="23"/>
        </w:rPr>
        <w:t xml:space="preserve">señalado </w:t>
      </w:r>
      <w:r w:rsidR="00767665" w:rsidRPr="00B37707">
        <w:rPr>
          <w:rFonts w:ascii="Arial" w:hAnsi="Arial" w:cs="Arial"/>
          <w:sz w:val="23"/>
          <w:szCs w:val="23"/>
        </w:rPr>
        <w:t xml:space="preserve">se otorgará por única ocasión al personal </w:t>
      </w:r>
      <w:r w:rsidR="00902396" w:rsidRPr="00B37707">
        <w:rPr>
          <w:rFonts w:ascii="Arial" w:hAnsi="Arial" w:cs="Arial"/>
          <w:sz w:val="23"/>
          <w:szCs w:val="23"/>
        </w:rPr>
        <w:t xml:space="preserve">de mando medio con categoría inferior a </w:t>
      </w:r>
      <w:r w:rsidRPr="00B37707">
        <w:rPr>
          <w:rFonts w:ascii="Arial" w:hAnsi="Arial" w:cs="Arial"/>
          <w:sz w:val="23"/>
          <w:szCs w:val="23"/>
        </w:rPr>
        <w:t xml:space="preserve">Director o Directora </w:t>
      </w:r>
      <w:r w:rsidR="00F36C2D" w:rsidRPr="00B37707">
        <w:rPr>
          <w:rFonts w:ascii="Arial" w:hAnsi="Arial" w:cs="Arial"/>
          <w:sz w:val="23"/>
          <w:szCs w:val="23"/>
        </w:rPr>
        <w:t xml:space="preserve">y al </w:t>
      </w:r>
      <w:r w:rsidR="00902396" w:rsidRPr="00B37707">
        <w:rPr>
          <w:rFonts w:ascii="Arial" w:hAnsi="Arial" w:cs="Arial"/>
          <w:sz w:val="23"/>
          <w:szCs w:val="23"/>
        </w:rPr>
        <w:t>q</w:t>
      </w:r>
      <w:r w:rsidR="00767665" w:rsidRPr="00B37707">
        <w:rPr>
          <w:rFonts w:ascii="Arial" w:hAnsi="Arial" w:cs="Arial"/>
          <w:sz w:val="23"/>
          <w:szCs w:val="23"/>
        </w:rPr>
        <w:t xml:space="preserve">ue previamente no se le haya otorgado una prestación similar. Además, la antigüedad estará sujeta a la verificación previa, o en su caso, </w:t>
      </w:r>
      <w:r w:rsidR="00E52557" w:rsidRPr="00B37707">
        <w:rPr>
          <w:rFonts w:ascii="Arial" w:hAnsi="Arial" w:cs="Arial"/>
          <w:sz w:val="23"/>
          <w:szCs w:val="23"/>
        </w:rPr>
        <w:t xml:space="preserve">se acreditará con </w:t>
      </w:r>
      <w:r w:rsidR="00767665" w:rsidRPr="00B37707">
        <w:rPr>
          <w:rFonts w:ascii="Arial" w:hAnsi="Arial" w:cs="Arial"/>
          <w:sz w:val="23"/>
          <w:szCs w:val="23"/>
        </w:rPr>
        <w:t>la constancia que presente el propio servidor o servidora pública.</w:t>
      </w:r>
    </w:p>
    <w:p w:rsidR="00902396" w:rsidRPr="00B37707" w:rsidRDefault="00902396" w:rsidP="00174D9C">
      <w:pPr>
        <w:rPr>
          <w:rFonts w:ascii="Arial" w:hAnsi="Arial" w:cs="Arial"/>
          <w:sz w:val="23"/>
          <w:szCs w:val="23"/>
        </w:rPr>
      </w:pPr>
      <w:r w:rsidRPr="00B37707">
        <w:rPr>
          <w:rFonts w:ascii="Arial" w:hAnsi="Arial" w:cs="Arial"/>
          <w:sz w:val="23"/>
          <w:szCs w:val="23"/>
        </w:rPr>
        <w:t xml:space="preserve">En consideración de este órgano electoral, los estímulos otorgados al personal, </w:t>
      </w:r>
      <w:r w:rsidR="00174D9C" w:rsidRPr="00B37707">
        <w:rPr>
          <w:rFonts w:ascii="Arial" w:hAnsi="Arial" w:cs="Arial"/>
          <w:sz w:val="23"/>
          <w:szCs w:val="23"/>
        </w:rPr>
        <w:t>constituyen un reconocimiento que estimula el mejor desempeño y el desarrollo profesional de las y los servidores públicos del propio Instituto, con el propósito de fortalecer, a su vez, las funciones que corresponden al órgano electoral.</w:t>
      </w:r>
    </w:p>
    <w:p w:rsidR="00174D9C" w:rsidRDefault="003B68ED" w:rsidP="00B37707">
      <w:pPr>
        <w:spacing w:before="0" w:after="0"/>
        <w:rPr>
          <w:rFonts w:ascii="Arial" w:hAnsi="Arial" w:cs="Arial"/>
          <w:sz w:val="23"/>
          <w:szCs w:val="23"/>
        </w:rPr>
      </w:pPr>
      <w:r w:rsidRPr="00B37707">
        <w:rPr>
          <w:rFonts w:ascii="Arial" w:hAnsi="Arial" w:cs="Arial"/>
          <w:sz w:val="23"/>
          <w:szCs w:val="23"/>
        </w:rPr>
        <w:t>Sobre la base de las consideraciones señaladas, esta Junta Ejecutiva emite el siguiente:</w:t>
      </w:r>
    </w:p>
    <w:p w:rsidR="00B37707" w:rsidRDefault="00B37707" w:rsidP="00B37707">
      <w:pPr>
        <w:spacing w:before="0" w:after="0"/>
        <w:rPr>
          <w:rFonts w:ascii="Arial" w:hAnsi="Arial" w:cs="Arial"/>
          <w:sz w:val="23"/>
          <w:szCs w:val="23"/>
        </w:rPr>
      </w:pPr>
    </w:p>
    <w:p w:rsidR="00B37707" w:rsidRDefault="00B37707" w:rsidP="00B37707">
      <w:pPr>
        <w:spacing w:before="0" w:after="0"/>
        <w:rPr>
          <w:rFonts w:ascii="Arial" w:hAnsi="Arial" w:cs="Arial"/>
          <w:sz w:val="23"/>
          <w:szCs w:val="23"/>
        </w:rPr>
      </w:pPr>
    </w:p>
    <w:p w:rsidR="00B37707" w:rsidRDefault="00B37707" w:rsidP="00B37707">
      <w:pPr>
        <w:spacing w:before="0" w:after="0"/>
        <w:rPr>
          <w:rFonts w:ascii="Arial" w:hAnsi="Arial" w:cs="Arial"/>
          <w:sz w:val="23"/>
          <w:szCs w:val="23"/>
        </w:rPr>
      </w:pPr>
    </w:p>
    <w:p w:rsidR="00B37707" w:rsidRDefault="00B37707" w:rsidP="00B37707">
      <w:pPr>
        <w:spacing w:before="0" w:after="0"/>
        <w:rPr>
          <w:rFonts w:ascii="Arial" w:hAnsi="Arial" w:cs="Arial"/>
          <w:sz w:val="23"/>
          <w:szCs w:val="23"/>
        </w:rPr>
      </w:pPr>
    </w:p>
    <w:p w:rsidR="00B37707" w:rsidRDefault="00B37707" w:rsidP="00B37707">
      <w:pPr>
        <w:spacing w:before="0" w:after="0"/>
        <w:rPr>
          <w:rFonts w:ascii="Arial" w:hAnsi="Arial" w:cs="Arial"/>
          <w:sz w:val="23"/>
          <w:szCs w:val="23"/>
        </w:rPr>
      </w:pPr>
    </w:p>
    <w:p w:rsidR="00B37707" w:rsidRDefault="00B37707" w:rsidP="00B37707">
      <w:pPr>
        <w:spacing w:before="0" w:after="0"/>
        <w:rPr>
          <w:rFonts w:ascii="Arial" w:hAnsi="Arial" w:cs="Arial"/>
          <w:sz w:val="23"/>
          <w:szCs w:val="23"/>
        </w:rPr>
      </w:pPr>
    </w:p>
    <w:p w:rsidR="00B37707" w:rsidRPr="00B37707" w:rsidRDefault="00B37707" w:rsidP="00B37707">
      <w:pPr>
        <w:spacing w:before="0" w:after="0"/>
        <w:rPr>
          <w:rFonts w:ascii="Arial" w:hAnsi="Arial" w:cs="Arial"/>
          <w:sz w:val="23"/>
          <w:szCs w:val="23"/>
        </w:rPr>
      </w:pPr>
    </w:p>
    <w:p w:rsidR="003B68ED" w:rsidRDefault="003B68ED" w:rsidP="00B37707">
      <w:pPr>
        <w:pStyle w:val="Ttulo1"/>
        <w:spacing w:before="0" w:after="0"/>
        <w:rPr>
          <w:rFonts w:ascii="Arial" w:hAnsi="Arial" w:cs="Arial"/>
          <w:sz w:val="24"/>
          <w:szCs w:val="24"/>
        </w:rPr>
      </w:pPr>
      <w:r w:rsidRPr="00B37707">
        <w:rPr>
          <w:rFonts w:ascii="Arial" w:hAnsi="Arial" w:cs="Arial"/>
          <w:sz w:val="24"/>
          <w:szCs w:val="24"/>
        </w:rPr>
        <w:lastRenderedPageBreak/>
        <w:t>Acuerdo</w:t>
      </w:r>
    </w:p>
    <w:p w:rsidR="00B37707" w:rsidRPr="00B37707" w:rsidRDefault="00B37707" w:rsidP="00B37707">
      <w:pPr>
        <w:spacing w:before="0" w:after="0"/>
      </w:pPr>
    </w:p>
    <w:p w:rsidR="00B37707" w:rsidRPr="00B37707" w:rsidRDefault="00B37707" w:rsidP="00B37707">
      <w:pPr>
        <w:spacing w:before="0" w:after="0"/>
      </w:pPr>
      <w:bookmarkStart w:id="0" w:name="_GoBack"/>
      <w:bookmarkEnd w:id="0"/>
    </w:p>
    <w:p w:rsidR="003B68ED" w:rsidRPr="00B37707" w:rsidRDefault="003B68ED" w:rsidP="00B37707">
      <w:pPr>
        <w:spacing w:before="0" w:after="0"/>
        <w:rPr>
          <w:rFonts w:ascii="Arial" w:hAnsi="Arial" w:cs="Arial"/>
          <w:sz w:val="23"/>
          <w:szCs w:val="23"/>
        </w:rPr>
      </w:pPr>
      <w:r w:rsidRPr="00B37707">
        <w:rPr>
          <w:rFonts w:ascii="Arial" w:hAnsi="Arial" w:cs="Arial"/>
          <w:b/>
          <w:sz w:val="23"/>
          <w:szCs w:val="23"/>
        </w:rPr>
        <w:t>Primero.</w:t>
      </w:r>
      <w:r w:rsidRPr="00B37707">
        <w:rPr>
          <w:rFonts w:ascii="Arial" w:hAnsi="Arial" w:cs="Arial"/>
          <w:sz w:val="23"/>
          <w:szCs w:val="23"/>
        </w:rPr>
        <w:t xml:space="preserve"> Se aprueba el otorgamiento de los estímulos</w:t>
      </w:r>
      <w:r w:rsidR="002C2C36" w:rsidRPr="00B37707">
        <w:rPr>
          <w:rFonts w:ascii="Arial" w:hAnsi="Arial" w:cs="Arial"/>
          <w:sz w:val="23"/>
          <w:szCs w:val="23"/>
        </w:rPr>
        <w:t>:</w:t>
      </w:r>
      <w:r w:rsidRPr="00B37707">
        <w:rPr>
          <w:rFonts w:ascii="Arial" w:hAnsi="Arial" w:cs="Arial"/>
          <w:sz w:val="23"/>
          <w:szCs w:val="23"/>
        </w:rPr>
        <w:t xml:space="preserve"> extraordinario de fin de año, el correspondiente al complemento al salario del ejercicio 2024 y el bono por antigüedad para el personal del propio Instituto, en los términos señalados en el presente acuerdo.</w:t>
      </w:r>
    </w:p>
    <w:p w:rsidR="003B68ED" w:rsidRPr="00B37707" w:rsidRDefault="003B68ED" w:rsidP="003B68ED">
      <w:pPr>
        <w:spacing w:line="281" w:lineRule="auto"/>
        <w:rPr>
          <w:rFonts w:ascii="Arial" w:hAnsi="Arial" w:cs="Arial"/>
          <w:sz w:val="23"/>
          <w:szCs w:val="23"/>
        </w:rPr>
      </w:pPr>
      <w:r w:rsidRPr="00B37707">
        <w:rPr>
          <w:rFonts w:ascii="Arial" w:hAnsi="Arial" w:cs="Arial"/>
          <w:b/>
          <w:sz w:val="23"/>
          <w:szCs w:val="23"/>
        </w:rPr>
        <w:t>Segundo.</w:t>
      </w:r>
      <w:r w:rsidRPr="00B37707">
        <w:rPr>
          <w:rFonts w:ascii="Arial" w:hAnsi="Arial" w:cs="Arial"/>
          <w:sz w:val="23"/>
          <w:szCs w:val="23"/>
        </w:rPr>
        <w:t xml:space="preserve"> Se instruye a la Dirección de Administración realice los trámites administrativos correspondientes para dar cumplimiento al presente acuerdo.</w:t>
      </w:r>
    </w:p>
    <w:p w:rsidR="003B68ED" w:rsidRPr="00B37707" w:rsidRDefault="003B68ED" w:rsidP="003B68ED">
      <w:pPr>
        <w:spacing w:line="281" w:lineRule="auto"/>
        <w:rPr>
          <w:rFonts w:ascii="Arial" w:hAnsi="Arial" w:cs="Arial"/>
          <w:sz w:val="23"/>
          <w:szCs w:val="23"/>
        </w:rPr>
      </w:pPr>
      <w:r w:rsidRPr="00B37707">
        <w:rPr>
          <w:rFonts w:ascii="Arial" w:hAnsi="Arial" w:cs="Arial"/>
          <w:sz w:val="23"/>
          <w:szCs w:val="23"/>
        </w:rPr>
        <w:t xml:space="preserve">El presente acuerdo fue aprobado en sesión ordinaria efectuada el </w:t>
      </w:r>
      <w:r w:rsidR="00B37707">
        <w:rPr>
          <w:rFonts w:ascii="Arial" w:hAnsi="Arial" w:cs="Arial"/>
          <w:sz w:val="23"/>
          <w:szCs w:val="23"/>
        </w:rPr>
        <w:t>día trece</w:t>
      </w:r>
      <w:r w:rsidRPr="00B37707">
        <w:rPr>
          <w:rFonts w:ascii="Arial" w:hAnsi="Arial" w:cs="Arial"/>
          <w:sz w:val="23"/>
          <w:szCs w:val="23"/>
        </w:rPr>
        <w:t xml:space="preserve"> de</w:t>
      </w:r>
      <w:r w:rsidR="00B37707">
        <w:rPr>
          <w:rFonts w:ascii="Arial" w:hAnsi="Arial" w:cs="Arial"/>
          <w:sz w:val="23"/>
          <w:szCs w:val="23"/>
        </w:rPr>
        <w:t xml:space="preserve"> diciembre</w:t>
      </w:r>
      <w:r w:rsidRPr="00B37707">
        <w:rPr>
          <w:rFonts w:ascii="Arial" w:hAnsi="Arial" w:cs="Arial"/>
          <w:sz w:val="23"/>
          <w:szCs w:val="23"/>
        </w:rPr>
        <w:t xml:space="preserve">  del año dos mil veinticuatro, por votación </w:t>
      </w:r>
      <w:r w:rsidR="00B37707">
        <w:rPr>
          <w:rFonts w:ascii="Arial" w:hAnsi="Arial" w:cs="Arial"/>
          <w:sz w:val="23"/>
          <w:szCs w:val="23"/>
        </w:rPr>
        <w:t>unánime</w:t>
      </w:r>
      <w:r w:rsidRPr="00B37707">
        <w:rPr>
          <w:rFonts w:ascii="Arial" w:hAnsi="Arial" w:cs="Arial"/>
          <w:sz w:val="23"/>
          <w:szCs w:val="23"/>
        </w:rPr>
        <w:t xml:space="preserve"> de la y los integrantes de la Junta Estatal Ejecutiva del Instituto Electoral y de Participación Ciudadana de Tabasco: Lic. Javier García Rodríguez, Director de Administración; Lic. Rigoberto de la O Gallegos, </w:t>
      </w:r>
      <w:r w:rsidR="00431C60" w:rsidRPr="00B37707">
        <w:rPr>
          <w:rFonts w:ascii="Arial" w:hAnsi="Arial" w:cs="Arial"/>
          <w:sz w:val="23"/>
          <w:szCs w:val="23"/>
        </w:rPr>
        <w:t>Director</w:t>
      </w:r>
      <w:r w:rsidRPr="00B37707">
        <w:rPr>
          <w:rFonts w:ascii="Arial" w:hAnsi="Arial" w:cs="Arial"/>
          <w:sz w:val="23"/>
          <w:szCs w:val="23"/>
        </w:rPr>
        <w:t xml:space="preserve"> de Organización Electoral y Educación Cívica, Lic. Jorge Alberto Zavala Frías, Secretario Ejecutivo y Mtra. Elizabeth Nava Gutiérrez, Presidenta de la Junta Estatal Ejecutiva.</w:t>
      </w:r>
    </w:p>
    <w:p w:rsidR="003B68ED" w:rsidRDefault="003B68ED" w:rsidP="003B68ED">
      <w:pPr>
        <w:spacing w:line="281" w:lineRule="auto"/>
        <w:rPr>
          <w:rFonts w:ascii="Arial" w:hAnsi="Arial" w:cs="Arial"/>
          <w:sz w:val="23"/>
          <w:szCs w:val="23"/>
        </w:rPr>
      </w:pPr>
    </w:p>
    <w:p w:rsidR="003B68ED" w:rsidRDefault="003B68ED" w:rsidP="003B68ED">
      <w:pPr>
        <w:spacing w:line="281" w:lineRule="auto"/>
        <w:rPr>
          <w:rFonts w:ascii="Arial" w:hAnsi="Arial" w:cs="Arial"/>
          <w:sz w:val="23"/>
          <w:szCs w:val="23"/>
        </w:rPr>
      </w:pPr>
    </w:p>
    <w:p w:rsidR="00B37707" w:rsidRPr="00B37707" w:rsidRDefault="00B37707" w:rsidP="003B68ED">
      <w:pPr>
        <w:spacing w:line="281" w:lineRule="auto"/>
        <w:rPr>
          <w:rFonts w:ascii="Arial" w:hAnsi="Arial" w:cs="Arial"/>
          <w:sz w:val="23"/>
          <w:szCs w:val="23"/>
        </w:rPr>
      </w:pPr>
    </w:p>
    <w:tbl>
      <w:tblPr>
        <w:tblStyle w:val="Tablaconcuadrcula"/>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786"/>
        <w:gridCol w:w="4472"/>
      </w:tblGrid>
      <w:tr w:rsidR="003B68ED" w:rsidRPr="00B37707" w:rsidTr="00B37707">
        <w:trPr>
          <w:trHeight w:val="686"/>
        </w:trPr>
        <w:tc>
          <w:tcPr>
            <w:tcW w:w="4573" w:type="dxa"/>
          </w:tcPr>
          <w:p w:rsidR="003B68ED" w:rsidRPr="00B37707" w:rsidRDefault="003B68ED" w:rsidP="00154AB9">
            <w:pPr>
              <w:spacing w:before="0" w:after="0" w:line="281" w:lineRule="auto"/>
              <w:jc w:val="center"/>
              <w:rPr>
                <w:rFonts w:ascii="Arial" w:hAnsi="Arial" w:cs="Arial"/>
                <w:b/>
                <w:sz w:val="23"/>
                <w:szCs w:val="23"/>
              </w:rPr>
            </w:pPr>
            <w:r w:rsidRPr="00B37707">
              <w:rPr>
                <w:rFonts w:ascii="Arial" w:hAnsi="Arial" w:cs="Arial"/>
                <w:b/>
                <w:sz w:val="23"/>
                <w:szCs w:val="23"/>
              </w:rPr>
              <w:t>MTRA. ELIZABETH NAVA GUTIÉRREZ</w:t>
            </w:r>
          </w:p>
          <w:p w:rsidR="003B68ED" w:rsidRPr="00B37707" w:rsidRDefault="003B68ED" w:rsidP="00154AB9">
            <w:pPr>
              <w:spacing w:before="0" w:after="0" w:line="281" w:lineRule="auto"/>
              <w:jc w:val="center"/>
              <w:rPr>
                <w:rFonts w:ascii="Arial" w:hAnsi="Arial" w:cs="Arial"/>
                <w:b/>
                <w:sz w:val="23"/>
                <w:szCs w:val="23"/>
              </w:rPr>
            </w:pPr>
            <w:r w:rsidRPr="00B37707">
              <w:rPr>
                <w:rFonts w:ascii="Arial" w:hAnsi="Arial" w:cs="Arial"/>
                <w:b/>
                <w:sz w:val="23"/>
                <w:szCs w:val="23"/>
              </w:rPr>
              <w:t>CONSEJERA PRESIDENTA</w:t>
            </w:r>
          </w:p>
        </w:tc>
        <w:tc>
          <w:tcPr>
            <w:tcW w:w="786" w:type="dxa"/>
          </w:tcPr>
          <w:p w:rsidR="003B68ED" w:rsidRPr="00B37707" w:rsidRDefault="003B68ED" w:rsidP="00154AB9">
            <w:pPr>
              <w:spacing w:before="0" w:after="0" w:line="281" w:lineRule="auto"/>
              <w:jc w:val="center"/>
              <w:rPr>
                <w:rFonts w:ascii="Arial" w:hAnsi="Arial" w:cs="Arial"/>
                <w:b/>
                <w:sz w:val="23"/>
                <w:szCs w:val="23"/>
              </w:rPr>
            </w:pPr>
          </w:p>
        </w:tc>
        <w:tc>
          <w:tcPr>
            <w:tcW w:w="4472" w:type="dxa"/>
          </w:tcPr>
          <w:p w:rsidR="003B68ED" w:rsidRPr="00B37707" w:rsidRDefault="003B68ED" w:rsidP="00154AB9">
            <w:pPr>
              <w:spacing w:before="0" w:after="0" w:line="281" w:lineRule="auto"/>
              <w:jc w:val="center"/>
              <w:rPr>
                <w:rFonts w:ascii="Arial" w:hAnsi="Arial" w:cs="Arial"/>
                <w:b/>
                <w:sz w:val="23"/>
                <w:szCs w:val="23"/>
              </w:rPr>
            </w:pPr>
            <w:r w:rsidRPr="00B37707">
              <w:rPr>
                <w:rFonts w:ascii="Arial" w:hAnsi="Arial" w:cs="Arial"/>
                <w:b/>
                <w:sz w:val="23"/>
                <w:szCs w:val="23"/>
              </w:rPr>
              <w:t>LIC. JORGE ALBERTO ZAVALA FRÍAS</w:t>
            </w:r>
          </w:p>
          <w:p w:rsidR="003B68ED" w:rsidRPr="00B37707" w:rsidRDefault="003B68ED" w:rsidP="00154AB9">
            <w:pPr>
              <w:spacing w:before="0" w:after="0" w:line="281" w:lineRule="auto"/>
              <w:jc w:val="center"/>
              <w:rPr>
                <w:rFonts w:ascii="Arial" w:hAnsi="Arial" w:cs="Arial"/>
                <w:b/>
                <w:sz w:val="23"/>
                <w:szCs w:val="23"/>
              </w:rPr>
            </w:pPr>
            <w:r w:rsidRPr="00B37707">
              <w:rPr>
                <w:rFonts w:ascii="Arial" w:hAnsi="Arial" w:cs="Arial"/>
                <w:b/>
                <w:sz w:val="23"/>
                <w:szCs w:val="23"/>
              </w:rPr>
              <w:t>SECRETARIO EJECUTIVO</w:t>
            </w:r>
          </w:p>
        </w:tc>
      </w:tr>
    </w:tbl>
    <w:p w:rsidR="003B68ED" w:rsidRPr="00B37707" w:rsidRDefault="003B68ED" w:rsidP="003B68ED">
      <w:pPr>
        <w:spacing w:line="281" w:lineRule="auto"/>
        <w:rPr>
          <w:rFonts w:ascii="Arial" w:hAnsi="Arial" w:cs="Arial"/>
          <w:sz w:val="23"/>
          <w:szCs w:val="23"/>
        </w:rPr>
      </w:pPr>
    </w:p>
    <w:p w:rsidR="003B68ED" w:rsidRPr="00B37707" w:rsidRDefault="003B68ED" w:rsidP="00174D9C">
      <w:pPr>
        <w:rPr>
          <w:rFonts w:ascii="Arial" w:hAnsi="Arial" w:cs="Arial"/>
        </w:rPr>
      </w:pPr>
    </w:p>
    <w:p w:rsidR="00767665" w:rsidRPr="00B37707" w:rsidRDefault="00767665" w:rsidP="008A7C9B">
      <w:pPr>
        <w:rPr>
          <w:rFonts w:ascii="Arial" w:hAnsi="Arial" w:cs="Arial"/>
        </w:rPr>
      </w:pPr>
    </w:p>
    <w:sectPr w:rsidR="00767665" w:rsidRPr="00B37707" w:rsidSect="00B37707">
      <w:headerReference w:type="default" r:id="rId7"/>
      <w:footerReference w:type="default" r:id="rId8"/>
      <w:pgSz w:w="12240" w:h="15840" w:code="1"/>
      <w:pgMar w:top="1418" w:right="1892"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842" w:rsidRDefault="00227842" w:rsidP="00D90113">
      <w:pPr>
        <w:spacing w:before="0" w:after="0" w:line="240" w:lineRule="auto"/>
      </w:pPr>
      <w:r>
        <w:separator/>
      </w:r>
    </w:p>
  </w:endnote>
  <w:endnote w:type="continuationSeparator" w:id="0">
    <w:p w:rsidR="00227842" w:rsidRDefault="00227842" w:rsidP="00D901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660033"/>
        <w:lang w:val="es-ES"/>
      </w:rPr>
      <w:id w:val="-1911608057"/>
      <w:docPartObj>
        <w:docPartGallery w:val="Page Numbers (Bottom of Page)"/>
        <w:docPartUnique/>
      </w:docPartObj>
    </w:sdtPr>
    <w:sdtEndPr>
      <w:rPr>
        <w:szCs w:val="20"/>
      </w:rPr>
    </w:sdtEndPr>
    <w:sdtContent>
      <w:p w:rsidR="00382AE7" w:rsidRPr="00B37707" w:rsidRDefault="00382AE7" w:rsidP="00382AE7">
        <w:pPr>
          <w:pStyle w:val="Piedepgina"/>
          <w:jc w:val="right"/>
          <w:rPr>
            <w:rFonts w:ascii="Arial" w:hAnsi="Arial" w:cs="Arial"/>
            <w:b/>
            <w:bCs/>
            <w:color w:val="660033"/>
            <w:szCs w:val="20"/>
            <w:lang w:val="es-ES"/>
          </w:rPr>
        </w:pPr>
        <w:r w:rsidRPr="00B37707">
          <w:rPr>
            <w:rFonts w:ascii="Arial" w:hAnsi="Arial" w:cs="Arial"/>
            <w:b/>
            <w:bCs/>
            <w:color w:val="660033"/>
            <w:szCs w:val="20"/>
            <w:lang w:val="es-ES"/>
          </w:rPr>
          <w:t xml:space="preserve">Página  </w:t>
        </w:r>
        <w:r w:rsidRPr="00B37707">
          <w:rPr>
            <w:rFonts w:ascii="Arial" w:hAnsi="Arial" w:cs="Arial"/>
            <w:b/>
            <w:bCs/>
            <w:color w:val="660033"/>
            <w:szCs w:val="20"/>
          </w:rPr>
          <w:fldChar w:fldCharType="begin"/>
        </w:r>
        <w:r w:rsidRPr="00B37707">
          <w:rPr>
            <w:rFonts w:ascii="Arial" w:hAnsi="Arial" w:cs="Arial"/>
            <w:b/>
            <w:bCs/>
            <w:color w:val="660033"/>
            <w:szCs w:val="20"/>
          </w:rPr>
          <w:instrText>PAGE   \* MERGEFORMAT</w:instrText>
        </w:r>
        <w:r w:rsidRPr="00B37707">
          <w:rPr>
            <w:rFonts w:ascii="Arial" w:hAnsi="Arial" w:cs="Arial"/>
            <w:b/>
            <w:bCs/>
            <w:color w:val="660033"/>
            <w:szCs w:val="20"/>
          </w:rPr>
          <w:fldChar w:fldCharType="separate"/>
        </w:r>
        <w:r w:rsidR="00B37707">
          <w:rPr>
            <w:rFonts w:ascii="Arial" w:hAnsi="Arial" w:cs="Arial"/>
            <w:b/>
            <w:bCs/>
            <w:noProof/>
            <w:color w:val="660033"/>
            <w:szCs w:val="20"/>
          </w:rPr>
          <w:t>6</w:t>
        </w:r>
        <w:r w:rsidRPr="00B37707">
          <w:rPr>
            <w:rFonts w:ascii="Arial" w:hAnsi="Arial" w:cs="Arial"/>
            <w:b/>
            <w:bCs/>
            <w:color w:val="660033"/>
            <w:szCs w:val="20"/>
          </w:rPr>
          <w:fldChar w:fldCharType="end"/>
        </w:r>
        <w:r w:rsidRPr="00B37707">
          <w:rPr>
            <w:rFonts w:ascii="Arial" w:hAnsi="Arial" w:cs="Arial"/>
            <w:b/>
            <w:bCs/>
            <w:color w:val="660033"/>
            <w:szCs w:val="20"/>
            <w:lang w:val="es-ES"/>
          </w:rPr>
          <w:t xml:space="preserve"> | </w:t>
        </w:r>
        <w:r w:rsidRPr="00B37707">
          <w:rPr>
            <w:rFonts w:ascii="Arial" w:hAnsi="Arial" w:cs="Arial"/>
            <w:b/>
            <w:bCs/>
            <w:color w:val="660033"/>
            <w:szCs w:val="20"/>
            <w:lang w:val="es-ES"/>
          </w:rPr>
          <w:fldChar w:fldCharType="begin"/>
        </w:r>
        <w:r w:rsidRPr="00B37707">
          <w:rPr>
            <w:rFonts w:ascii="Arial" w:hAnsi="Arial" w:cs="Arial"/>
            <w:b/>
            <w:bCs/>
            <w:color w:val="660033"/>
            <w:szCs w:val="20"/>
            <w:lang w:val="es-ES"/>
          </w:rPr>
          <w:instrText xml:space="preserve"> NUMPAGES   \* MERGEFORMAT </w:instrText>
        </w:r>
        <w:r w:rsidRPr="00B37707">
          <w:rPr>
            <w:rFonts w:ascii="Arial" w:hAnsi="Arial" w:cs="Arial"/>
            <w:b/>
            <w:bCs/>
            <w:color w:val="660033"/>
            <w:szCs w:val="20"/>
            <w:lang w:val="es-ES"/>
          </w:rPr>
          <w:fldChar w:fldCharType="separate"/>
        </w:r>
        <w:r w:rsidR="00B37707">
          <w:rPr>
            <w:rFonts w:ascii="Arial" w:hAnsi="Arial" w:cs="Arial"/>
            <w:b/>
            <w:bCs/>
            <w:noProof/>
            <w:color w:val="660033"/>
            <w:szCs w:val="20"/>
            <w:lang w:val="es-ES"/>
          </w:rPr>
          <w:t>9</w:t>
        </w:r>
        <w:r w:rsidRPr="00B37707">
          <w:rPr>
            <w:rFonts w:ascii="Arial" w:hAnsi="Arial" w:cs="Arial"/>
            <w:b/>
            <w:bCs/>
            <w:color w:val="660033"/>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842" w:rsidRDefault="00227842" w:rsidP="00D90113">
      <w:pPr>
        <w:spacing w:before="0" w:after="0" w:line="240" w:lineRule="auto"/>
      </w:pPr>
      <w:r>
        <w:separator/>
      </w:r>
    </w:p>
  </w:footnote>
  <w:footnote w:type="continuationSeparator" w:id="0">
    <w:p w:rsidR="00227842" w:rsidRDefault="00227842" w:rsidP="00D901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D90113" w:rsidRPr="00CD4F78" w:rsidTr="007B2E97">
      <w:tc>
        <w:tcPr>
          <w:tcW w:w="1418" w:type="dxa"/>
        </w:tcPr>
        <w:p w:rsidR="00D90113" w:rsidRPr="00CD4F78" w:rsidRDefault="00D90113" w:rsidP="00D90113">
          <w:pPr>
            <w:pStyle w:val="Encabezado"/>
            <w:ind w:left="-170"/>
            <w:rPr>
              <w:rFonts w:ascii="Arial" w:hAnsi="Arial"/>
            </w:rPr>
          </w:pPr>
          <w:r w:rsidRPr="00CD4F78">
            <w:rPr>
              <w:rFonts w:ascii="Arial" w:hAnsi="Arial"/>
              <w:b/>
              <w:noProof/>
              <w:sz w:val="32"/>
              <w:lang w:eastAsia="es-MX"/>
            </w:rPr>
            <w:drawing>
              <wp:inline distT="0" distB="0" distL="0" distR="0" wp14:anchorId="3722EC78" wp14:editId="51D6940E">
                <wp:extent cx="1014331" cy="1199403"/>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D90113" w:rsidRPr="00B37707" w:rsidRDefault="00D90113" w:rsidP="00D90113">
          <w:pPr>
            <w:pStyle w:val="Encabezado"/>
            <w:spacing w:before="720"/>
            <w:jc w:val="center"/>
            <w:rPr>
              <w:rFonts w:ascii="Arial" w:hAnsi="Arial" w:cs="Arial"/>
              <w:b/>
              <w:bCs/>
              <w:szCs w:val="24"/>
            </w:rPr>
          </w:pPr>
          <w:r w:rsidRPr="00B37707">
            <w:rPr>
              <w:rFonts w:ascii="Arial" w:hAnsi="Arial" w:cs="Arial"/>
              <w:b/>
              <w:bCs/>
              <w:szCs w:val="24"/>
            </w:rPr>
            <w:t>INSTITUTO ELECTORAL Y DE PARTICIPACIÓN CIUDADANA DE TABASCO</w:t>
          </w:r>
        </w:p>
        <w:p w:rsidR="00D90113" w:rsidRPr="00CD4F78" w:rsidRDefault="00D90113" w:rsidP="00D90113">
          <w:pPr>
            <w:pStyle w:val="Encabezado"/>
            <w:jc w:val="center"/>
            <w:rPr>
              <w:rFonts w:ascii="Arial" w:hAnsi="Arial"/>
              <w:sz w:val="25"/>
              <w:szCs w:val="25"/>
            </w:rPr>
          </w:pPr>
          <w:r w:rsidRPr="00B37707">
            <w:rPr>
              <w:rFonts w:ascii="Arial" w:hAnsi="Arial" w:cs="Arial"/>
              <w:szCs w:val="24"/>
            </w:rPr>
            <w:t>JUNTA ESTATAL EJECUTIVA</w:t>
          </w:r>
        </w:p>
      </w:tc>
      <w:tc>
        <w:tcPr>
          <w:tcW w:w="1701" w:type="dxa"/>
        </w:tcPr>
        <w:p w:rsidR="00D90113" w:rsidRPr="00CD4F78" w:rsidRDefault="00D90113" w:rsidP="00D90113">
          <w:pPr>
            <w:pStyle w:val="Encabezado"/>
            <w:spacing w:before="480"/>
            <w:rPr>
              <w:rFonts w:ascii="Arial" w:hAnsi="Arial"/>
            </w:rPr>
          </w:pPr>
          <w:r>
            <w:rPr>
              <w:rFonts w:ascii="Arial" w:hAnsi="Arial"/>
              <w:noProof/>
              <w:lang w:eastAsia="es-MX"/>
            </w:rPr>
            <w:drawing>
              <wp:inline distT="0" distB="0" distL="0" distR="0" wp14:anchorId="2FFABC79" wp14:editId="411D2A33">
                <wp:extent cx="942975" cy="774065"/>
                <wp:effectExtent l="0" t="0" r="9525"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rsidR="00D90113" w:rsidRDefault="00B37707" w:rsidP="00B37707">
    <w:pPr>
      <w:pStyle w:val="Encabezado"/>
      <w:jc w:val="right"/>
      <w:rPr>
        <w:rFonts w:ascii="Arial" w:hAnsi="Arial" w:cs="Arial"/>
        <w:b/>
      </w:rPr>
    </w:pPr>
    <w:r w:rsidRPr="00B37707">
      <w:rPr>
        <w:rFonts w:ascii="Arial" w:hAnsi="Arial" w:cs="Arial"/>
        <w:b/>
      </w:rPr>
      <w:t>JEE/2024/029</w:t>
    </w:r>
  </w:p>
  <w:p w:rsidR="00B37707" w:rsidRPr="00B37707" w:rsidRDefault="00B37707" w:rsidP="00B37707">
    <w:pPr>
      <w:pStyle w:val="Encabezado"/>
      <w:jc w:val="right"/>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5D40"/>
    <w:multiLevelType w:val="hybridMultilevel"/>
    <w:tmpl w:val="4B4614EE"/>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2248B4"/>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38B52421"/>
    <w:multiLevelType w:val="hybridMultilevel"/>
    <w:tmpl w:val="AA04C850"/>
    <w:lvl w:ilvl="0" w:tplc="1026EB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A03EBE"/>
    <w:multiLevelType w:val="hybridMultilevel"/>
    <w:tmpl w:val="7F429A1E"/>
    <w:lvl w:ilvl="0" w:tplc="4D6A6A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CA031E"/>
    <w:multiLevelType w:val="hybridMultilevel"/>
    <w:tmpl w:val="7BAA99CC"/>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CF"/>
    <w:rsid w:val="00062233"/>
    <w:rsid w:val="000F5DFC"/>
    <w:rsid w:val="00102CCA"/>
    <w:rsid w:val="00113D4E"/>
    <w:rsid w:val="00154AB9"/>
    <w:rsid w:val="00174D9C"/>
    <w:rsid w:val="00227842"/>
    <w:rsid w:val="002359D3"/>
    <w:rsid w:val="002C2C36"/>
    <w:rsid w:val="002F28BE"/>
    <w:rsid w:val="00310887"/>
    <w:rsid w:val="00317630"/>
    <w:rsid w:val="00330A87"/>
    <w:rsid w:val="00382AE7"/>
    <w:rsid w:val="003B0BF4"/>
    <w:rsid w:val="003B68ED"/>
    <w:rsid w:val="00406144"/>
    <w:rsid w:val="00431C60"/>
    <w:rsid w:val="0045596F"/>
    <w:rsid w:val="0048458B"/>
    <w:rsid w:val="004F0CCD"/>
    <w:rsid w:val="00504A00"/>
    <w:rsid w:val="00542759"/>
    <w:rsid w:val="005E4E8A"/>
    <w:rsid w:val="006036F6"/>
    <w:rsid w:val="00643668"/>
    <w:rsid w:val="006B29CB"/>
    <w:rsid w:val="006B701E"/>
    <w:rsid w:val="006D6769"/>
    <w:rsid w:val="00767665"/>
    <w:rsid w:val="007702EA"/>
    <w:rsid w:val="00776D46"/>
    <w:rsid w:val="0078292C"/>
    <w:rsid w:val="00891C49"/>
    <w:rsid w:val="008A23E7"/>
    <w:rsid w:val="008A7C9B"/>
    <w:rsid w:val="00902396"/>
    <w:rsid w:val="00925FB0"/>
    <w:rsid w:val="009F2DB6"/>
    <w:rsid w:val="00A14A81"/>
    <w:rsid w:val="00AC05A3"/>
    <w:rsid w:val="00AC2249"/>
    <w:rsid w:val="00B21655"/>
    <w:rsid w:val="00B37707"/>
    <w:rsid w:val="00B73D20"/>
    <w:rsid w:val="00BA48EA"/>
    <w:rsid w:val="00BC3118"/>
    <w:rsid w:val="00BC3BCD"/>
    <w:rsid w:val="00C6053D"/>
    <w:rsid w:val="00C7372B"/>
    <w:rsid w:val="00C92686"/>
    <w:rsid w:val="00CC1BCF"/>
    <w:rsid w:val="00CF5345"/>
    <w:rsid w:val="00D23EFD"/>
    <w:rsid w:val="00D90113"/>
    <w:rsid w:val="00DE5640"/>
    <w:rsid w:val="00E06764"/>
    <w:rsid w:val="00E2152D"/>
    <w:rsid w:val="00E30AF0"/>
    <w:rsid w:val="00E46D61"/>
    <w:rsid w:val="00E52557"/>
    <w:rsid w:val="00E96D2A"/>
    <w:rsid w:val="00EE385D"/>
    <w:rsid w:val="00F30743"/>
    <w:rsid w:val="00F36C2D"/>
    <w:rsid w:val="00F73981"/>
    <w:rsid w:val="00F7667C"/>
    <w:rsid w:val="00F8538E"/>
    <w:rsid w:val="00FA46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2758"/>
  <w15:chartTrackingRefBased/>
  <w15:docId w15:val="{AC58EAA0-E944-463B-A97F-88A3431D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CF"/>
    <w:pPr>
      <w:spacing w:before="240" w:after="240" w:line="276" w:lineRule="auto"/>
      <w:jc w:val="both"/>
    </w:pPr>
    <w:rPr>
      <w:rFonts w:ascii="Exo" w:hAnsi="Exo"/>
      <w:sz w:val="24"/>
    </w:rPr>
  </w:style>
  <w:style w:type="paragraph" w:styleId="Ttulo1">
    <w:name w:val="heading 1"/>
    <w:basedOn w:val="Normal"/>
    <w:next w:val="Normal"/>
    <w:link w:val="Ttulo1Car"/>
    <w:uiPriority w:val="9"/>
    <w:qFormat/>
    <w:rsid w:val="00CC1BCF"/>
    <w:pPr>
      <w:numPr>
        <w:numId w:val="5"/>
      </w:numPr>
      <w:spacing w:before="600"/>
      <w:jc w:val="center"/>
      <w:outlineLvl w:val="0"/>
    </w:pPr>
    <w:rPr>
      <w:b/>
      <w:sz w:val="28"/>
    </w:rPr>
  </w:style>
  <w:style w:type="paragraph" w:styleId="Ttulo2">
    <w:name w:val="heading 2"/>
    <w:basedOn w:val="Normal"/>
    <w:next w:val="Normal"/>
    <w:link w:val="Ttulo2Car"/>
    <w:uiPriority w:val="9"/>
    <w:unhideWhenUsed/>
    <w:qFormat/>
    <w:rsid w:val="00CC1BCF"/>
    <w:pPr>
      <w:numPr>
        <w:ilvl w:val="1"/>
        <w:numId w:val="5"/>
      </w:numPr>
      <w:spacing w:before="480"/>
      <w:outlineLvl w:val="1"/>
    </w:pPr>
    <w:rPr>
      <w:b/>
    </w:rPr>
  </w:style>
  <w:style w:type="paragraph" w:styleId="Ttulo3">
    <w:name w:val="heading 3"/>
    <w:basedOn w:val="Normal"/>
    <w:next w:val="Normal"/>
    <w:link w:val="Ttulo3Car"/>
    <w:uiPriority w:val="9"/>
    <w:semiHidden/>
    <w:unhideWhenUsed/>
    <w:qFormat/>
    <w:rsid w:val="0048458B"/>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48458B"/>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8458B"/>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8458B"/>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8458B"/>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8458B"/>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8458B"/>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C1BCF"/>
    <w:rPr>
      <w:rFonts w:ascii="Exo" w:hAnsi="Exo"/>
      <w:b/>
      <w:sz w:val="24"/>
    </w:rPr>
  </w:style>
  <w:style w:type="character" w:customStyle="1" w:styleId="Ttulo1Car">
    <w:name w:val="Título 1 Car"/>
    <w:basedOn w:val="Fuentedeprrafopredeter"/>
    <w:link w:val="Ttulo1"/>
    <w:uiPriority w:val="9"/>
    <w:rsid w:val="00CC1BCF"/>
    <w:rPr>
      <w:rFonts w:ascii="Exo" w:hAnsi="Exo"/>
      <w:b/>
      <w:sz w:val="28"/>
    </w:rPr>
  </w:style>
  <w:style w:type="paragraph" w:styleId="Prrafodelista">
    <w:name w:val="List Paragraph"/>
    <w:basedOn w:val="Normal"/>
    <w:uiPriority w:val="34"/>
    <w:qFormat/>
    <w:rsid w:val="009F2DB6"/>
    <w:pPr>
      <w:ind w:left="720"/>
      <w:contextualSpacing/>
    </w:pPr>
  </w:style>
  <w:style w:type="paragraph" w:styleId="Encabezado">
    <w:name w:val="header"/>
    <w:basedOn w:val="Normal"/>
    <w:link w:val="EncabezadoCar"/>
    <w:uiPriority w:val="99"/>
    <w:unhideWhenUsed/>
    <w:rsid w:val="00D90113"/>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D90113"/>
    <w:rPr>
      <w:rFonts w:ascii="Exo" w:hAnsi="Exo"/>
      <w:sz w:val="24"/>
    </w:rPr>
  </w:style>
  <w:style w:type="paragraph" w:styleId="Piedepgina">
    <w:name w:val="footer"/>
    <w:basedOn w:val="Normal"/>
    <w:link w:val="PiedepginaCar"/>
    <w:uiPriority w:val="99"/>
    <w:unhideWhenUsed/>
    <w:rsid w:val="00D9011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D90113"/>
    <w:rPr>
      <w:rFonts w:ascii="Exo" w:hAnsi="Exo"/>
      <w:sz w:val="24"/>
    </w:rPr>
  </w:style>
  <w:style w:type="character" w:customStyle="1" w:styleId="Ttulo3Car">
    <w:name w:val="Título 3 Car"/>
    <w:basedOn w:val="Fuentedeprrafopredeter"/>
    <w:link w:val="Ttulo3"/>
    <w:uiPriority w:val="9"/>
    <w:semiHidden/>
    <w:rsid w:val="0048458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8458B"/>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48458B"/>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48458B"/>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48458B"/>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48458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8458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2425</Words>
  <Characters>13343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64</cp:revision>
  <dcterms:created xsi:type="dcterms:W3CDTF">2024-12-11T19:50:00Z</dcterms:created>
  <dcterms:modified xsi:type="dcterms:W3CDTF">2024-12-13T22:03:00Z</dcterms:modified>
</cp:coreProperties>
</file>