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345" w:rsidRDefault="004C0D83" w:rsidP="004C0D83">
      <w:pPr>
        <w:spacing w:before="0" w:after="0"/>
        <w:rPr>
          <w:rFonts w:ascii="Arial" w:hAnsi="Arial" w:cs="Arial"/>
          <w:b/>
          <w:szCs w:val="24"/>
        </w:rPr>
      </w:pPr>
      <w:r w:rsidRPr="004C0D83">
        <w:rPr>
          <w:rFonts w:ascii="Arial" w:hAnsi="Arial" w:cs="Arial"/>
          <w:b/>
          <w:szCs w:val="24"/>
        </w:rPr>
        <w:t>ACUERDO QUE, A PROPUESTA DE LA SECRETARÍA EJECUTIVA, EMITE LA JUNTA ESTATAL EJECUTIVA DEL INSTITUTO ELECTORAL Y DE PARTICIPACIÓN CIUDADANA DE TABASCO, MEDIANTE EL CUAL DESIGNA A LAS PERSONAS QUE OCUPARÁN LAS VACANTES ORIGINADAS EN LOS ÓRGANOS CENTRALES DEL PROPIO INSTITUTO</w:t>
      </w:r>
    </w:p>
    <w:p w:rsidR="004C0D83" w:rsidRDefault="004C0D83" w:rsidP="004C0D83">
      <w:pPr>
        <w:spacing w:before="0" w:after="0"/>
        <w:rPr>
          <w:rFonts w:ascii="Arial" w:hAnsi="Arial" w:cs="Arial"/>
          <w:b/>
          <w:szCs w:val="24"/>
        </w:rPr>
      </w:pPr>
    </w:p>
    <w:p w:rsidR="004C0D83" w:rsidRPr="004C0D83" w:rsidRDefault="004C0D83" w:rsidP="004C0D83">
      <w:pPr>
        <w:spacing w:before="0" w:after="0"/>
        <w:rPr>
          <w:rFonts w:ascii="Arial" w:hAnsi="Arial" w:cs="Arial"/>
          <w:b/>
          <w:szCs w:val="24"/>
        </w:rPr>
      </w:pPr>
    </w:p>
    <w:p w:rsidR="0049441F" w:rsidRDefault="0049441F" w:rsidP="004C0D83">
      <w:pPr>
        <w:spacing w:before="0" w:after="0"/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>Para efectos del presente acuerdo se usarán las abreviaturas y definiciones siguientes:</w:t>
      </w:r>
    </w:p>
    <w:p w:rsidR="004C0D83" w:rsidRDefault="004C0D83" w:rsidP="004C0D83">
      <w:pPr>
        <w:spacing w:before="0" w:after="0"/>
        <w:rPr>
          <w:rFonts w:ascii="Arial" w:hAnsi="Arial" w:cs="Arial"/>
          <w:sz w:val="23"/>
          <w:szCs w:val="23"/>
        </w:rPr>
      </w:pPr>
    </w:p>
    <w:p w:rsidR="004C0D83" w:rsidRPr="004C0D83" w:rsidRDefault="004C0D83" w:rsidP="004C0D83">
      <w:pPr>
        <w:spacing w:before="0" w:after="0"/>
        <w:rPr>
          <w:rFonts w:ascii="Arial" w:hAnsi="Arial" w:cs="Arial"/>
          <w:sz w:val="23"/>
          <w:szCs w:val="23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4962"/>
      </w:tblGrid>
      <w:tr w:rsidR="0049441F" w:rsidRPr="004C0D83" w:rsidTr="00166A61">
        <w:tc>
          <w:tcPr>
            <w:tcW w:w="2693" w:type="dxa"/>
            <w:vAlign w:val="center"/>
          </w:tcPr>
          <w:p w:rsidR="0049441F" w:rsidRPr="004C0D83" w:rsidRDefault="0049441F" w:rsidP="0049441F">
            <w:pPr>
              <w:spacing w:before="120" w:after="12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C0D83">
              <w:rPr>
                <w:rFonts w:ascii="Arial" w:hAnsi="Arial" w:cs="Arial"/>
                <w:b/>
                <w:sz w:val="20"/>
                <w:szCs w:val="20"/>
              </w:rPr>
              <w:t>Consejo Estatal:</w:t>
            </w:r>
          </w:p>
        </w:tc>
        <w:tc>
          <w:tcPr>
            <w:tcW w:w="4962" w:type="dxa"/>
            <w:vAlign w:val="center"/>
          </w:tcPr>
          <w:p w:rsidR="0049441F" w:rsidRPr="004C0D83" w:rsidRDefault="0049441F" w:rsidP="0049441F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4C0D83">
              <w:rPr>
                <w:rFonts w:ascii="Arial" w:hAnsi="Arial" w:cs="Arial"/>
                <w:sz w:val="20"/>
                <w:szCs w:val="20"/>
              </w:rPr>
              <w:t>Consejo Estatal del Instituto Electoral y de Participación Ciudadana de Tabasco.</w:t>
            </w:r>
          </w:p>
        </w:tc>
      </w:tr>
      <w:tr w:rsidR="0049441F" w:rsidRPr="004C0D83" w:rsidTr="00166A61">
        <w:tc>
          <w:tcPr>
            <w:tcW w:w="2693" w:type="dxa"/>
            <w:vAlign w:val="center"/>
          </w:tcPr>
          <w:p w:rsidR="0049441F" w:rsidRPr="004C0D83" w:rsidRDefault="0049441F" w:rsidP="0049441F">
            <w:pPr>
              <w:spacing w:before="120" w:after="12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C0D83">
              <w:rPr>
                <w:rFonts w:ascii="Arial" w:hAnsi="Arial" w:cs="Arial"/>
                <w:b/>
                <w:sz w:val="20"/>
                <w:szCs w:val="20"/>
              </w:rPr>
              <w:t>Constitución Federal:</w:t>
            </w:r>
          </w:p>
        </w:tc>
        <w:tc>
          <w:tcPr>
            <w:tcW w:w="4962" w:type="dxa"/>
            <w:vAlign w:val="center"/>
          </w:tcPr>
          <w:p w:rsidR="0049441F" w:rsidRPr="004C0D83" w:rsidRDefault="0049441F" w:rsidP="0049441F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4C0D83">
              <w:rPr>
                <w:rFonts w:ascii="Arial" w:hAnsi="Arial" w:cs="Arial"/>
                <w:sz w:val="20"/>
                <w:szCs w:val="20"/>
              </w:rPr>
              <w:t>Constitución Política de los Estados Unidos Mexicanos.</w:t>
            </w:r>
          </w:p>
        </w:tc>
      </w:tr>
      <w:tr w:rsidR="0049441F" w:rsidRPr="004C0D83" w:rsidTr="00166A61">
        <w:tc>
          <w:tcPr>
            <w:tcW w:w="2693" w:type="dxa"/>
            <w:vAlign w:val="center"/>
          </w:tcPr>
          <w:p w:rsidR="0049441F" w:rsidRPr="004C0D83" w:rsidRDefault="0049441F" w:rsidP="0049441F">
            <w:pPr>
              <w:spacing w:before="120" w:after="12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C0D83">
              <w:rPr>
                <w:rFonts w:ascii="Arial" w:hAnsi="Arial" w:cs="Arial"/>
                <w:b/>
                <w:sz w:val="20"/>
                <w:szCs w:val="20"/>
              </w:rPr>
              <w:t>Constitución Local:</w:t>
            </w:r>
          </w:p>
        </w:tc>
        <w:tc>
          <w:tcPr>
            <w:tcW w:w="4962" w:type="dxa"/>
            <w:vAlign w:val="center"/>
          </w:tcPr>
          <w:p w:rsidR="0049441F" w:rsidRPr="004C0D83" w:rsidRDefault="0049441F" w:rsidP="0049441F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4C0D83">
              <w:rPr>
                <w:rFonts w:ascii="Arial" w:hAnsi="Arial" w:cs="Arial"/>
                <w:sz w:val="20"/>
                <w:szCs w:val="20"/>
              </w:rPr>
              <w:t>Constitución Política del Estado Libre y Soberano de Tabasco.</w:t>
            </w:r>
          </w:p>
        </w:tc>
      </w:tr>
      <w:tr w:rsidR="0049441F" w:rsidRPr="004C0D83" w:rsidTr="00166A61">
        <w:tc>
          <w:tcPr>
            <w:tcW w:w="2693" w:type="dxa"/>
            <w:vAlign w:val="center"/>
          </w:tcPr>
          <w:p w:rsidR="0049441F" w:rsidRPr="004C0D83" w:rsidRDefault="0049441F" w:rsidP="0049441F">
            <w:pPr>
              <w:spacing w:before="120" w:after="12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C0D83">
              <w:rPr>
                <w:rFonts w:ascii="Arial" w:hAnsi="Arial" w:cs="Arial"/>
                <w:b/>
                <w:sz w:val="20"/>
                <w:szCs w:val="20"/>
              </w:rPr>
              <w:t>Instituto:</w:t>
            </w:r>
          </w:p>
        </w:tc>
        <w:tc>
          <w:tcPr>
            <w:tcW w:w="4962" w:type="dxa"/>
            <w:vAlign w:val="center"/>
          </w:tcPr>
          <w:p w:rsidR="0049441F" w:rsidRPr="004C0D83" w:rsidRDefault="0049441F" w:rsidP="0049441F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4C0D83">
              <w:rPr>
                <w:rFonts w:ascii="Arial" w:hAnsi="Arial" w:cs="Arial"/>
                <w:sz w:val="20"/>
                <w:szCs w:val="20"/>
              </w:rPr>
              <w:t>Instituto Electoral y de Participación Ciudadana de Tabasco.</w:t>
            </w:r>
          </w:p>
        </w:tc>
      </w:tr>
      <w:tr w:rsidR="0049441F" w:rsidRPr="004C0D83" w:rsidTr="00166A61">
        <w:tc>
          <w:tcPr>
            <w:tcW w:w="2693" w:type="dxa"/>
            <w:vAlign w:val="center"/>
          </w:tcPr>
          <w:p w:rsidR="0049441F" w:rsidRPr="004C0D83" w:rsidRDefault="0049441F" w:rsidP="0049441F">
            <w:pPr>
              <w:spacing w:before="120" w:after="12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C0D83">
              <w:rPr>
                <w:rFonts w:ascii="Arial" w:hAnsi="Arial" w:cs="Arial"/>
                <w:b/>
                <w:sz w:val="20"/>
                <w:szCs w:val="20"/>
              </w:rPr>
              <w:t>Junta Ejecutiva:</w:t>
            </w:r>
          </w:p>
        </w:tc>
        <w:tc>
          <w:tcPr>
            <w:tcW w:w="4962" w:type="dxa"/>
            <w:vAlign w:val="center"/>
          </w:tcPr>
          <w:p w:rsidR="0049441F" w:rsidRPr="004C0D83" w:rsidRDefault="0049441F" w:rsidP="0049441F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4C0D83">
              <w:rPr>
                <w:rFonts w:ascii="Arial" w:hAnsi="Arial" w:cs="Arial"/>
                <w:sz w:val="20"/>
                <w:szCs w:val="20"/>
              </w:rPr>
              <w:t>Junta Estatal Ejecutiva del Instituto Electoral y de Participación Ciudadana de Tabasco.</w:t>
            </w:r>
          </w:p>
        </w:tc>
      </w:tr>
      <w:tr w:rsidR="0049441F" w:rsidRPr="004C0D83" w:rsidTr="00166A61">
        <w:tc>
          <w:tcPr>
            <w:tcW w:w="2693" w:type="dxa"/>
            <w:vAlign w:val="center"/>
          </w:tcPr>
          <w:p w:rsidR="0049441F" w:rsidRPr="004C0D83" w:rsidRDefault="0049441F" w:rsidP="0049441F">
            <w:pPr>
              <w:spacing w:before="120" w:after="12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C0D83">
              <w:rPr>
                <w:rFonts w:ascii="Arial" w:hAnsi="Arial" w:cs="Arial"/>
                <w:b/>
                <w:sz w:val="20"/>
                <w:szCs w:val="20"/>
              </w:rPr>
              <w:t>Ley Electoral:</w:t>
            </w:r>
          </w:p>
        </w:tc>
        <w:tc>
          <w:tcPr>
            <w:tcW w:w="4962" w:type="dxa"/>
            <w:vAlign w:val="center"/>
          </w:tcPr>
          <w:p w:rsidR="0049441F" w:rsidRPr="004C0D83" w:rsidRDefault="0049441F" w:rsidP="0049441F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4C0D83">
              <w:rPr>
                <w:rFonts w:ascii="Arial" w:hAnsi="Arial" w:cs="Arial"/>
                <w:sz w:val="20"/>
                <w:szCs w:val="20"/>
              </w:rPr>
              <w:t>Ley Electoral y de Partidos Políticos del Estado de Tabasco.</w:t>
            </w:r>
          </w:p>
        </w:tc>
      </w:tr>
      <w:tr w:rsidR="0049441F" w:rsidRPr="004C0D83" w:rsidTr="00166A61">
        <w:tc>
          <w:tcPr>
            <w:tcW w:w="2693" w:type="dxa"/>
            <w:vAlign w:val="center"/>
          </w:tcPr>
          <w:p w:rsidR="0049441F" w:rsidRPr="004C0D83" w:rsidRDefault="0049441F" w:rsidP="0049441F">
            <w:pPr>
              <w:spacing w:before="120" w:after="12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C0D83">
              <w:rPr>
                <w:rFonts w:ascii="Arial" w:hAnsi="Arial" w:cs="Arial"/>
                <w:b/>
                <w:sz w:val="20"/>
                <w:szCs w:val="20"/>
              </w:rPr>
              <w:t>Organismo electoral:</w:t>
            </w:r>
          </w:p>
        </w:tc>
        <w:tc>
          <w:tcPr>
            <w:tcW w:w="4962" w:type="dxa"/>
            <w:vAlign w:val="center"/>
          </w:tcPr>
          <w:p w:rsidR="0049441F" w:rsidRPr="004C0D83" w:rsidRDefault="0049441F" w:rsidP="0049441F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4C0D83">
              <w:rPr>
                <w:rFonts w:ascii="Arial" w:hAnsi="Arial" w:cs="Arial"/>
                <w:sz w:val="20"/>
                <w:szCs w:val="20"/>
              </w:rPr>
              <w:t xml:space="preserve">Organismo(s) público(s) local(es) electoral(es). </w:t>
            </w:r>
          </w:p>
        </w:tc>
      </w:tr>
      <w:tr w:rsidR="0049441F" w:rsidRPr="004C0D83" w:rsidTr="00166A61">
        <w:tc>
          <w:tcPr>
            <w:tcW w:w="2693" w:type="dxa"/>
            <w:vAlign w:val="center"/>
          </w:tcPr>
          <w:p w:rsidR="0049441F" w:rsidRPr="004C0D83" w:rsidRDefault="0049441F" w:rsidP="0049441F">
            <w:pPr>
              <w:spacing w:before="120" w:after="12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C0D83">
              <w:rPr>
                <w:rFonts w:ascii="Arial" w:hAnsi="Arial" w:cs="Arial"/>
                <w:b/>
                <w:sz w:val="20"/>
                <w:szCs w:val="20"/>
              </w:rPr>
              <w:t>Reglamento interior:</w:t>
            </w:r>
          </w:p>
        </w:tc>
        <w:tc>
          <w:tcPr>
            <w:tcW w:w="4962" w:type="dxa"/>
            <w:vAlign w:val="center"/>
          </w:tcPr>
          <w:p w:rsidR="0049441F" w:rsidRPr="004C0D83" w:rsidRDefault="0049441F" w:rsidP="0049441F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4C0D83">
              <w:rPr>
                <w:rFonts w:ascii="Arial" w:hAnsi="Arial" w:cs="Arial"/>
                <w:sz w:val="20"/>
                <w:szCs w:val="20"/>
              </w:rPr>
              <w:t>Reglamento interior del Instituto Electoral y de Participación Ciudadana de Tabasco.</w:t>
            </w:r>
          </w:p>
        </w:tc>
      </w:tr>
      <w:tr w:rsidR="0049441F" w:rsidRPr="004C0D83" w:rsidTr="00166A61">
        <w:tc>
          <w:tcPr>
            <w:tcW w:w="2693" w:type="dxa"/>
            <w:vAlign w:val="center"/>
          </w:tcPr>
          <w:p w:rsidR="0049441F" w:rsidRPr="004C0D83" w:rsidRDefault="0049441F" w:rsidP="0049441F">
            <w:pPr>
              <w:spacing w:before="120" w:after="12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C0D83">
              <w:rPr>
                <w:rFonts w:ascii="Arial" w:hAnsi="Arial" w:cs="Arial"/>
                <w:b/>
                <w:sz w:val="20"/>
                <w:szCs w:val="20"/>
              </w:rPr>
              <w:t>Secretaría Ejecutiva:</w:t>
            </w:r>
          </w:p>
        </w:tc>
        <w:tc>
          <w:tcPr>
            <w:tcW w:w="4962" w:type="dxa"/>
            <w:vAlign w:val="center"/>
          </w:tcPr>
          <w:p w:rsidR="0049441F" w:rsidRPr="004C0D83" w:rsidRDefault="0049441F" w:rsidP="0049441F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4C0D83">
              <w:rPr>
                <w:rFonts w:ascii="Arial" w:hAnsi="Arial" w:cs="Arial"/>
                <w:sz w:val="20"/>
                <w:szCs w:val="20"/>
              </w:rPr>
              <w:t>Secretaría Ejecutiva del Instituto Electoral y de Participación Ciudadana de Tabasco.</w:t>
            </w:r>
          </w:p>
        </w:tc>
      </w:tr>
    </w:tbl>
    <w:p w:rsidR="004C0D83" w:rsidRDefault="004C0D83" w:rsidP="004C0D83">
      <w:pPr>
        <w:pStyle w:val="Ttulo1"/>
        <w:numPr>
          <w:ilvl w:val="0"/>
          <w:numId w:val="0"/>
        </w:numPr>
        <w:ind w:left="432"/>
        <w:jc w:val="both"/>
        <w:rPr>
          <w:rFonts w:ascii="Arial" w:hAnsi="Arial" w:cs="Arial"/>
        </w:rPr>
      </w:pPr>
    </w:p>
    <w:p w:rsidR="0049441F" w:rsidRPr="004C0D83" w:rsidRDefault="0049441F" w:rsidP="00586DDA">
      <w:pPr>
        <w:pStyle w:val="Ttulo1"/>
        <w:rPr>
          <w:rFonts w:ascii="Arial" w:hAnsi="Arial" w:cs="Arial"/>
          <w:sz w:val="24"/>
          <w:szCs w:val="24"/>
        </w:rPr>
      </w:pPr>
      <w:r w:rsidRPr="004C0D83">
        <w:rPr>
          <w:rFonts w:ascii="Arial" w:hAnsi="Arial" w:cs="Arial"/>
          <w:sz w:val="24"/>
          <w:szCs w:val="24"/>
        </w:rPr>
        <w:lastRenderedPageBreak/>
        <w:t>Antecedentes</w:t>
      </w:r>
    </w:p>
    <w:p w:rsidR="0049441F" w:rsidRPr="004C0D83" w:rsidRDefault="0049441F" w:rsidP="0049441F">
      <w:pPr>
        <w:pStyle w:val="Ttulo2"/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>Modificación de la estructura organizacional</w:t>
      </w:r>
    </w:p>
    <w:p w:rsidR="0049441F" w:rsidRPr="004C0D83" w:rsidRDefault="0049441F" w:rsidP="0049441F">
      <w:pPr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>El 5 de octubre de 2023, mediante acuerdo CE/2023/029, el Consejo Estatal modificó la estructura orgánica y aprobó el Reglamento Interior del propio Instituto.</w:t>
      </w:r>
    </w:p>
    <w:p w:rsidR="001D2AEE" w:rsidRPr="004C0D83" w:rsidRDefault="001D2AEE" w:rsidP="0096304D">
      <w:pPr>
        <w:pStyle w:val="Ttulo2"/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>Designación de funcionarios electorales</w:t>
      </w:r>
    </w:p>
    <w:p w:rsidR="001D2AEE" w:rsidRPr="004C0D83" w:rsidRDefault="001D2AEE" w:rsidP="0049441F">
      <w:pPr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 xml:space="preserve">El 29 de noviembre de 2024, mediante acuerdo CE/2024/104/, el Consejo Estatal designó, entre otros, al nuevo titular de la Dirección de Administración, quien entrará en funciones el 1 de enero de 2025. </w:t>
      </w:r>
    </w:p>
    <w:p w:rsidR="0049441F" w:rsidRPr="004C0D83" w:rsidRDefault="0049441F" w:rsidP="0049441F">
      <w:pPr>
        <w:pStyle w:val="Ttulo2"/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>Vacante</w:t>
      </w:r>
      <w:r w:rsidR="00A31011" w:rsidRPr="004C0D83">
        <w:rPr>
          <w:rFonts w:ascii="Arial" w:hAnsi="Arial" w:cs="Arial"/>
          <w:sz w:val="23"/>
          <w:szCs w:val="23"/>
        </w:rPr>
        <w:t>s</w:t>
      </w:r>
      <w:r w:rsidRPr="004C0D83">
        <w:rPr>
          <w:rFonts w:ascii="Arial" w:hAnsi="Arial" w:cs="Arial"/>
          <w:sz w:val="23"/>
          <w:szCs w:val="23"/>
        </w:rPr>
        <w:t xml:space="preserve"> originada</w:t>
      </w:r>
      <w:r w:rsidR="00A31011" w:rsidRPr="004C0D83">
        <w:rPr>
          <w:rFonts w:ascii="Arial" w:hAnsi="Arial" w:cs="Arial"/>
          <w:sz w:val="23"/>
          <w:szCs w:val="23"/>
        </w:rPr>
        <w:t>s</w:t>
      </w:r>
    </w:p>
    <w:p w:rsidR="0049441F" w:rsidRPr="004C0D83" w:rsidRDefault="00A31011" w:rsidP="0049441F">
      <w:pPr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>En el período de</w:t>
      </w:r>
      <w:r w:rsidR="0049441F" w:rsidRPr="004C0D83">
        <w:rPr>
          <w:rFonts w:ascii="Arial" w:hAnsi="Arial" w:cs="Arial"/>
          <w:sz w:val="23"/>
          <w:szCs w:val="23"/>
        </w:rPr>
        <w:t xml:space="preserve">l 29 de noviembre </w:t>
      </w:r>
      <w:r w:rsidRPr="004C0D83">
        <w:rPr>
          <w:rFonts w:ascii="Arial" w:hAnsi="Arial" w:cs="Arial"/>
          <w:sz w:val="23"/>
          <w:szCs w:val="23"/>
        </w:rPr>
        <w:t xml:space="preserve">al 12 de diciembre </w:t>
      </w:r>
      <w:r w:rsidR="0049441F" w:rsidRPr="004C0D83">
        <w:rPr>
          <w:rFonts w:ascii="Arial" w:hAnsi="Arial" w:cs="Arial"/>
          <w:sz w:val="23"/>
          <w:szCs w:val="23"/>
        </w:rPr>
        <w:t>de 2024</w:t>
      </w:r>
      <w:r w:rsidRPr="004C0D83">
        <w:rPr>
          <w:rFonts w:ascii="Arial" w:hAnsi="Arial" w:cs="Arial"/>
          <w:sz w:val="23"/>
          <w:szCs w:val="23"/>
        </w:rPr>
        <w:t xml:space="preserve">, por diversas causas, quedaron vacantes las siguientes categorías administrativas: Coordinación </w:t>
      </w:r>
      <w:r w:rsidR="00922D5B" w:rsidRPr="004C0D83">
        <w:rPr>
          <w:rFonts w:ascii="Arial" w:hAnsi="Arial" w:cs="Arial"/>
          <w:sz w:val="23"/>
          <w:szCs w:val="23"/>
        </w:rPr>
        <w:t xml:space="preserve">de Servicios Generales y Técnico, adscritas a la Dirección de Administración; y, </w:t>
      </w:r>
      <w:r w:rsidR="004343F3" w:rsidRPr="004C0D83">
        <w:rPr>
          <w:rFonts w:ascii="Arial" w:hAnsi="Arial" w:cs="Arial"/>
          <w:sz w:val="23"/>
          <w:szCs w:val="23"/>
        </w:rPr>
        <w:t xml:space="preserve">dos categorías de </w:t>
      </w:r>
      <w:r w:rsidR="00922D5B" w:rsidRPr="004C0D83">
        <w:rPr>
          <w:rFonts w:ascii="Arial" w:hAnsi="Arial" w:cs="Arial"/>
          <w:sz w:val="23"/>
          <w:szCs w:val="23"/>
        </w:rPr>
        <w:t xml:space="preserve">Técnicos </w:t>
      </w:r>
      <w:r w:rsidRPr="004C0D83">
        <w:rPr>
          <w:rFonts w:ascii="Arial" w:hAnsi="Arial" w:cs="Arial"/>
          <w:sz w:val="23"/>
          <w:szCs w:val="23"/>
        </w:rPr>
        <w:t>adscritas a la Dirección de Organización Electoral y Educación Cívica</w:t>
      </w:r>
      <w:r w:rsidR="0049441F" w:rsidRPr="004C0D83">
        <w:rPr>
          <w:rFonts w:ascii="Arial" w:hAnsi="Arial" w:cs="Arial"/>
          <w:sz w:val="23"/>
          <w:szCs w:val="23"/>
        </w:rPr>
        <w:t>.</w:t>
      </w:r>
    </w:p>
    <w:p w:rsidR="004343F3" w:rsidRPr="004C0D83" w:rsidRDefault="004343F3" w:rsidP="0049441F">
      <w:pPr>
        <w:rPr>
          <w:rFonts w:ascii="Arial" w:hAnsi="Arial" w:cs="Arial"/>
          <w:szCs w:val="24"/>
        </w:rPr>
      </w:pPr>
      <w:r w:rsidRPr="004C0D83">
        <w:rPr>
          <w:rFonts w:ascii="Arial" w:hAnsi="Arial" w:cs="Arial"/>
          <w:sz w:val="23"/>
          <w:szCs w:val="23"/>
        </w:rPr>
        <w:t>Asimismo, queda vacante la categoría de Subdirector de Administración, en virtud de la designación por parte del Consejo Estatal, del</w:t>
      </w:r>
      <w:r w:rsidRPr="004C0D83">
        <w:rPr>
          <w:rFonts w:ascii="Arial" w:hAnsi="Arial" w:cs="Arial"/>
          <w:szCs w:val="24"/>
        </w:rPr>
        <w:t xml:space="preserve"> licenciado Paul Alejandro González Torruco, como Director de Administración.</w:t>
      </w:r>
    </w:p>
    <w:p w:rsidR="0049441F" w:rsidRPr="004C0D83" w:rsidRDefault="0049441F" w:rsidP="00030690">
      <w:pPr>
        <w:pStyle w:val="Ttulo1"/>
        <w:rPr>
          <w:rFonts w:ascii="Arial" w:hAnsi="Arial" w:cs="Arial"/>
          <w:sz w:val="24"/>
          <w:szCs w:val="24"/>
        </w:rPr>
      </w:pPr>
      <w:r w:rsidRPr="004C0D83">
        <w:rPr>
          <w:rFonts w:ascii="Arial" w:hAnsi="Arial" w:cs="Arial"/>
          <w:sz w:val="24"/>
          <w:szCs w:val="24"/>
        </w:rPr>
        <w:t>Considerando</w:t>
      </w:r>
    </w:p>
    <w:p w:rsidR="0049441F" w:rsidRPr="004C0D83" w:rsidRDefault="0049441F" w:rsidP="0049441F">
      <w:pPr>
        <w:pStyle w:val="Ttulo2"/>
        <w:keepNext/>
        <w:keepLines/>
        <w:numPr>
          <w:ilvl w:val="1"/>
          <w:numId w:val="0"/>
        </w:numPr>
        <w:spacing w:line="276" w:lineRule="auto"/>
        <w:ind w:left="576" w:hanging="576"/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 xml:space="preserve">Fines del Instituto </w:t>
      </w:r>
    </w:p>
    <w:p w:rsidR="0049441F" w:rsidRPr="004C0D83" w:rsidRDefault="0049441F" w:rsidP="0049441F">
      <w:pPr>
        <w:spacing w:line="276" w:lineRule="auto"/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 xml:space="preserve">Que, de conformidad con los artículos 9 apartado C, fracción I de la Constitución Local, 3 numeral 3, 100 y 102 numeral 1 de la Ley Electoral, el Instituto es un organismo público local de carácter permanente, autónomo en su funcionamiento, independiente en sus decisiones y profesional en su desempeño, dotado de personalidad jurídica y patrimonio propio, cuyas actuaciones se rigen por los principios de certeza, legalidad, independencia, inclusión, imparcialidad, máxima </w:t>
      </w:r>
      <w:r w:rsidRPr="004C0D83">
        <w:rPr>
          <w:rFonts w:ascii="Arial" w:hAnsi="Arial" w:cs="Arial"/>
          <w:sz w:val="23"/>
          <w:szCs w:val="23"/>
        </w:rPr>
        <w:lastRenderedPageBreak/>
        <w:t>publicidad, transparencia, rendición de cuentas, objetividad, paridad, interculturalidad y las realizarán con perspectiva de género y enfoque de derechos humanos.</w:t>
      </w:r>
    </w:p>
    <w:p w:rsidR="0049441F" w:rsidRPr="004C0D83" w:rsidRDefault="0049441F" w:rsidP="0049441F">
      <w:pPr>
        <w:spacing w:line="276" w:lineRule="auto"/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>De acuerdo con el artículo 101 de la Ley Electoral, el Instituto tiene como finalidades: contribuir al desarrollo de la vida pública y democrática en el estado de Tabasco; preservar el fortalecimiento del régimen de partidos políticos; asegurar a las ciudadanas y ciudadanos el ejercicio de sus derechos políticos electorales y vigilar el cumplimiento de sus obligaciones; garantizar la celebración periódica y pacífica de las elecciones para renovar a las y los integrantes de los poderes Legislativo, Ejecutivo y los Ayuntamientos del Estado; velar por la autenticidad y efectividad del voto; llevar a cabo la promoción del voto y coadyuvar en la difusión de la educación cívica y de la cultura democrática; garantizar la paridad de género y el respeto de los derechos humanos de las mujeres en el ámbito político y electoral; y, organizar o coadyuvar a la realización de los ejercicios de consultas populares y demás formas de participación ciudadana, de conformidad con lo que dispongan las leyes.</w:t>
      </w:r>
    </w:p>
    <w:p w:rsidR="0049441F" w:rsidRPr="004C0D83" w:rsidRDefault="0049441F" w:rsidP="0049441F">
      <w:pPr>
        <w:pStyle w:val="Ttulo2"/>
        <w:keepNext/>
        <w:keepLines/>
        <w:numPr>
          <w:ilvl w:val="1"/>
          <w:numId w:val="0"/>
        </w:numPr>
        <w:spacing w:line="276" w:lineRule="auto"/>
        <w:ind w:left="576" w:hanging="576"/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 xml:space="preserve">Órgano Superior de Dirección del Instituto </w:t>
      </w:r>
    </w:p>
    <w:p w:rsidR="0049441F" w:rsidRPr="004C0D83" w:rsidRDefault="0049441F" w:rsidP="0049441F">
      <w:pPr>
        <w:spacing w:line="276" w:lineRule="auto"/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>Que, de acuerdo con el artículo 106 de la Ley Electoral, el Consejo Estatal es el órgano superior de dirección, responsable de vigilar el cumplimiento de las disposiciones constitucionales y legales en materia electoral, así como de velar porque los principios de certeza, legalidad, independencia, máxima publicidad, imparcialidad, objetividad y paridad de género, guíen todas las actividades del Instituto.</w:t>
      </w:r>
    </w:p>
    <w:p w:rsidR="0049441F" w:rsidRPr="004C0D83" w:rsidRDefault="0049441F" w:rsidP="0049441F">
      <w:pPr>
        <w:pStyle w:val="Ttulo2"/>
        <w:keepNext/>
        <w:keepLines/>
        <w:numPr>
          <w:ilvl w:val="1"/>
          <w:numId w:val="0"/>
        </w:numPr>
        <w:spacing w:line="276" w:lineRule="auto"/>
        <w:ind w:left="576" w:hanging="576"/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>Integración de la Junta Ejecutiva</w:t>
      </w:r>
    </w:p>
    <w:p w:rsidR="0049441F" w:rsidRDefault="0049441F" w:rsidP="0049441F">
      <w:pPr>
        <w:spacing w:line="276" w:lineRule="auto"/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>Que, el artículo 118 de la Ley Electoral establece que la Junta, será presidida por la Consejera o el Consejero Presidente y se integrará con la Secretaría Ejecutiva y con las personas titulares de las Direcciones de Organización Electoral y Educación Cívica; y de Administración.</w:t>
      </w:r>
    </w:p>
    <w:p w:rsidR="004C0D83" w:rsidRPr="004C0D83" w:rsidRDefault="004C0D83" w:rsidP="0049441F">
      <w:pPr>
        <w:spacing w:line="276" w:lineRule="auto"/>
        <w:rPr>
          <w:rFonts w:ascii="Arial" w:hAnsi="Arial" w:cs="Arial"/>
          <w:sz w:val="23"/>
          <w:szCs w:val="23"/>
        </w:rPr>
      </w:pPr>
    </w:p>
    <w:p w:rsidR="0049441F" w:rsidRPr="004C0D83" w:rsidRDefault="0049441F" w:rsidP="0049441F">
      <w:pPr>
        <w:pStyle w:val="Ttulo2"/>
        <w:keepNext/>
        <w:keepLines/>
        <w:numPr>
          <w:ilvl w:val="1"/>
          <w:numId w:val="0"/>
        </w:numPr>
        <w:spacing w:line="276" w:lineRule="auto"/>
        <w:ind w:left="576" w:hanging="576"/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lastRenderedPageBreak/>
        <w:t>Competencia de la Junta Ejecutiva</w:t>
      </w:r>
    </w:p>
    <w:p w:rsidR="0049441F" w:rsidRPr="004C0D83" w:rsidRDefault="0049441F" w:rsidP="0049441F">
      <w:pPr>
        <w:spacing w:line="276" w:lineRule="auto"/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>Que, de conformidad con el artículo 119 de la Ley Electoral y 16 fracción VI del Reglamento Interior, corresponde a la Junta Ejecutiva la designación del personal del Instituto con excepción de aquellos previstos en el Reglamento de Elecciones y del SPEN, conforme a las disposiciones aplicables.</w:t>
      </w:r>
    </w:p>
    <w:p w:rsidR="0049441F" w:rsidRPr="004C0D83" w:rsidRDefault="0049441F" w:rsidP="0049441F">
      <w:pPr>
        <w:spacing w:line="276" w:lineRule="auto"/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>Acorde a lo anterior, el artículo 115 numeral 2 de la Ley Electoral señala que, para el debido ejercicio de las facultades y atribuciones del Instituto, derivados de caso fortuito o causa de fuerza mayor, o en situaciones de falta o insuficiencia de previsión normativa o reglamentaria, el Consejo Estatal podrá dictar los acuerdos necesarios que resulten pertinentes para garantizar el oportuno y adecuado cumplimiento de las funciones que corresponda, siempre en apego a sus facultades y a los principios rectores de la función electoral.</w:t>
      </w:r>
    </w:p>
    <w:p w:rsidR="0049441F" w:rsidRPr="004C0D83" w:rsidRDefault="0049441F" w:rsidP="0049441F">
      <w:pPr>
        <w:pStyle w:val="Ttulo2"/>
        <w:keepNext/>
        <w:keepLines/>
        <w:numPr>
          <w:ilvl w:val="1"/>
          <w:numId w:val="0"/>
        </w:numPr>
        <w:spacing w:line="276" w:lineRule="auto"/>
        <w:ind w:left="576" w:hanging="576"/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>Estructura organizacional del Instituto</w:t>
      </w:r>
    </w:p>
    <w:p w:rsidR="0049441F" w:rsidRPr="004C0D83" w:rsidRDefault="0049441F" w:rsidP="0049441F">
      <w:pPr>
        <w:spacing w:line="276" w:lineRule="auto"/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>Que, a partir de la aprobación del Reglamento Interior hecha mediante acuerdo CE/2023/29, el Consejo Estatal determinó la estructura organizacional de los órganos centrales del propio Instituto, de conformidad con lo siguiente:</w:t>
      </w:r>
    </w:p>
    <w:p w:rsidR="0049441F" w:rsidRPr="004C0D83" w:rsidRDefault="0049441F" w:rsidP="0049441F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3"/>
          <w:szCs w:val="23"/>
        </w:rPr>
      </w:pPr>
      <w:r w:rsidRPr="004C0D83">
        <w:rPr>
          <w:rFonts w:ascii="Arial" w:hAnsi="Arial" w:cs="Arial"/>
          <w:b/>
          <w:bCs/>
          <w:sz w:val="23"/>
          <w:szCs w:val="23"/>
        </w:rPr>
        <w:t>Presidencia del Instituto</w:t>
      </w:r>
    </w:p>
    <w:p w:rsidR="0049441F" w:rsidRPr="004C0D83" w:rsidRDefault="0049441F" w:rsidP="0049441F">
      <w:pPr>
        <w:pStyle w:val="Prrafodelista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>Secretaría Particular;</w:t>
      </w:r>
    </w:p>
    <w:p w:rsidR="0049441F" w:rsidRPr="004C0D83" w:rsidRDefault="0049441F" w:rsidP="0049441F">
      <w:pPr>
        <w:pStyle w:val="Prrafodelista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>Coordinación de Asesores;</w:t>
      </w:r>
    </w:p>
    <w:p w:rsidR="0049441F" w:rsidRPr="004C0D83" w:rsidRDefault="0049441F" w:rsidP="0049441F">
      <w:pPr>
        <w:pStyle w:val="Prrafodelista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>Secretaría Técnica;</w:t>
      </w:r>
    </w:p>
    <w:p w:rsidR="0049441F" w:rsidRPr="004C0D83" w:rsidRDefault="0049441F" w:rsidP="0049441F">
      <w:pPr>
        <w:pStyle w:val="Prrafodelista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>Unidad de Igualdad de Género y No Discriminación</w:t>
      </w:r>
    </w:p>
    <w:p w:rsidR="0049441F" w:rsidRPr="004C0D83" w:rsidRDefault="0049441F" w:rsidP="0049441F">
      <w:pPr>
        <w:pStyle w:val="Prrafodelista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>Unidad de Comunicación Social;</w:t>
      </w:r>
    </w:p>
    <w:p w:rsidR="0049441F" w:rsidRPr="004C0D83" w:rsidRDefault="0049441F" w:rsidP="0049441F">
      <w:pPr>
        <w:pStyle w:val="Prrafodelista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>Unidad de Transparencia y Acceso a la Información Pública; y</w:t>
      </w:r>
    </w:p>
    <w:p w:rsidR="0049441F" w:rsidRPr="004C0D83" w:rsidRDefault="0049441F" w:rsidP="0049441F">
      <w:pPr>
        <w:pStyle w:val="Prrafodelista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>Unidad de Logística.</w:t>
      </w:r>
    </w:p>
    <w:p w:rsidR="0049441F" w:rsidRPr="004C0D83" w:rsidRDefault="0049441F" w:rsidP="0049441F">
      <w:pPr>
        <w:pStyle w:val="Prrafodelista"/>
        <w:numPr>
          <w:ilvl w:val="0"/>
          <w:numId w:val="1"/>
        </w:numPr>
        <w:spacing w:before="480" w:after="0"/>
        <w:ind w:left="714" w:hanging="357"/>
        <w:contextualSpacing w:val="0"/>
        <w:rPr>
          <w:rFonts w:ascii="Arial" w:hAnsi="Arial" w:cs="Arial"/>
          <w:b/>
          <w:bCs/>
          <w:sz w:val="23"/>
          <w:szCs w:val="23"/>
        </w:rPr>
      </w:pPr>
      <w:r w:rsidRPr="004C0D83">
        <w:rPr>
          <w:rFonts w:ascii="Arial" w:hAnsi="Arial" w:cs="Arial"/>
          <w:b/>
          <w:bCs/>
          <w:sz w:val="23"/>
          <w:szCs w:val="23"/>
        </w:rPr>
        <w:t>Órgano Técnico de Fiscalización</w:t>
      </w:r>
    </w:p>
    <w:p w:rsidR="0049441F" w:rsidRPr="004C0D83" w:rsidRDefault="0049441F" w:rsidP="0049441F">
      <w:pPr>
        <w:pStyle w:val="Prrafodelista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 xml:space="preserve">Coordinación de Normatividad, Archivo, Quejas y Denuncias en materia de fiscalización; y </w:t>
      </w:r>
    </w:p>
    <w:p w:rsidR="0049441F" w:rsidRPr="004C0D83" w:rsidRDefault="0049441F" w:rsidP="0049441F">
      <w:pPr>
        <w:pStyle w:val="Prrafodelista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>Coordinación de Fiscalización, Auditoria, Multas y Sanciones.</w:t>
      </w:r>
    </w:p>
    <w:p w:rsidR="0049441F" w:rsidRPr="004C0D83" w:rsidRDefault="0049441F" w:rsidP="0049441F">
      <w:pPr>
        <w:pStyle w:val="Prrafodelista"/>
        <w:numPr>
          <w:ilvl w:val="0"/>
          <w:numId w:val="1"/>
        </w:numPr>
        <w:spacing w:before="480" w:after="0"/>
        <w:ind w:left="714" w:hanging="357"/>
        <w:contextualSpacing w:val="0"/>
        <w:rPr>
          <w:rFonts w:ascii="Arial" w:hAnsi="Arial" w:cs="Arial"/>
          <w:b/>
          <w:bCs/>
          <w:sz w:val="23"/>
          <w:szCs w:val="23"/>
        </w:rPr>
      </w:pPr>
      <w:r w:rsidRPr="004C0D83">
        <w:rPr>
          <w:rFonts w:ascii="Arial" w:hAnsi="Arial" w:cs="Arial"/>
          <w:b/>
          <w:bCs/>
          <w:sz w:val="23"/>
          <w:szCs w:val="23"/>
        </w:rPr>
        <w:t>Secretaría Ejecutiva</w:t>
      </w:r>
    </w:p>
    <w:p w:rsidR="0049441F" w:rsidRPr="004C0D83" w:rsidRDefault="0049441F" w:rsidP="0049441F">
      <w:pPr>
        <w:pStyle w:val="Prrafodelista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>Secretaría Particular;</w:t>
      </w:r>
    </w:p>
    <w:p w:rsidR="0049441F" w:rsidRPr="004C0D83" w:rsidRDefault="0049441F" w:rsidP="0049441F">
      <w:pPr>
        <w:pStyle w:val="Prrafodelista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>Coordinación Técnica;</w:t>
      </w:r>
    </w:p>
    <w:p w:rsidR="0049441F" w:rsidRPr="004C0D83" w:rsidRDefault="0049441F" w:rsidP="0049441F">
      <w:pPr>
        <w:pStyle w:val="Prrafodelista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lastRenderedPageBreak/>
        <w:t>Coordinación de lo Contencioso Electoral;</w:t>
      </w:r>
    </w:p>
    <w:p w:rsidR="0049441F" w:rsidRPr="004C0D83" w:rsidRDefault="0049441F" w:rsidP="0049441F">
      <w:pPr>
        <w:pStyle w:val="Prrafodelista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>Coordinación de Oficialía Electoral;</w:t>
      </w:r>
    </w:p>
    <w:p w:rsidR="0049441F" w:rsidRPr="004C0D83" w:rsidRDefault="0049441F" w:rsidP="0049441F">
      <w:pPr>
        <w:pStyle w:val="Prrafodelista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>Coordinación de Vinculación con el INE;</w:t>
      </w:r>
    </w:p>
    <w:p w:rsidR="0049441F" w:rsidRPr="004C0D83" w:rsidRDefault="0049441F" w:rsidP="0049441F">
      <w:pPr>
        <w:pStyle w:val="Prrafodelista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>Coordinación de Archivo;</w:t>
      </w:r>
    </w:p>
    <w:p w:rsidR="0049441F" w:rsidRPr="004C0D83" w:rsidRDefault="0049441F" w:rsidP="0049441F">
      <w:pPr>
        <w:pStyle w:val="Prrafodelista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>Unidad de Planeación y Evaluación;</w:t>
      </w:r>
    </w:p>
    <w:p w:rsidR="0049441F" w:rsidRPr="004C0D83" w:rsidRDefault="0049441F" w:rsidP="0049441F">
      <w:pPr>
        <w:pStyle w:val="Prrafodelista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>Unidad de Tecnologías de la Información y Comunicación.</w:t>
      </w:r>
    </w:p>
    <w:p w:rsidR="0049441F" w:rsidRPr="004C0D83" w:rsidRDefault="0049441F" w:rsidP="0049441F">
      <w:pPr>
        <w:pStyle w:val="Prrafodelista"/>
        <w:numPr>
          <w:ilvl w:val="0"/>
          <w:numId w:val="1"/>
        </w:numPr>
        <w:spacing w:before="480" w:after="0"/>
        <w:ind w:left="714" w:hanging="357"/>
        <w:contextualSpacing w:val="0"/>
        <w:rPr>
          <w:rFonts w:ascii="Arial" w:hAnsi="Arial" w:cs="Arial"/>
          <w:b/>
          <w:bCs/>
          <w:sz w:val="23"/>
          <w:szCs w:val="23"/>
        </w:rPr>
      </w:pPr>
      <w:r w:rsidRPr="004C0D83">
        <w:rPr>
          <w:rFonts w:ascii="Arial" w:hAnsi="Arial" w:cs="Arial"/>
          <w:b/>
          <w:bCs/>
          <w:sz w:val="23"/>
          <w:szCs w:val="23"/>
        </w:rPr>
        <w:t>Dirección de Organización Electoral y Educación Cívica</w:t>
      </w:r>
    </w:p>
    <w:p w:rsidR="0049441F" w:rsidRPr="004C0D83" w:rsidRDefault="0049441F" w:rsidP="0049441F">
      <w:pPr>
        <w:pStyle w:val="Prrafodelista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>Coordinación de Organización Electoral;</w:t>
      </w:r>
    </w:p>
    <w:p w:rsidR="0049441F" w:rsidRPr="004C0D83" w:rsidRDefault="0049441F" w:rsidP="0049441F">
      <w:pPr>
        <w:pStyle w:val="Prrafodelista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>Coordinación de Educación Cívica;</w:t>
      </w:r>
    </w:p>
    <w:p w:rsidR="0049441F" w:rsidRPr="004C0D83" w:rsidRDefault="0049441F" w:rsidP="0049441F">
      <w:pPr>
        <w:pStyle w:val="Prrafodelista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 xml:space="preserve">Coordinación de Participación Ciudadana; y </w:t>
      </w:r>
    </w:p>
    <w:p w:rsidR="0049441F" w:rsidRPr="004C0D83" w:rsidRDefault="0049441F" w:rsidP="0049441F">
      <w:pPr>
        <w:pStyle w:val="Prrafodelista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>Coordinación de Prerrogativas y Partidos Políticos.</w:t>
      </w:r>
    </w:p>
    <w:p w:rsidR="0049441F" w:rsidRPr="004C0D83" w:rsidRDefault="0049441F" w:rsidP="0049441F">
      <w:pPr>
        <w:pStyle w:val="Prrafodelista"/>
        <w:numPr>
          <w:ilvl w:val="0"/>
          <w:numId w:val="1"/>
        </w:numPr>
        <w:spacing w:before="480" w:after="0"/>
        <w:ind w:left="714" w:hanging="357"/>
        <w:contextualSpacing w:val="0"/>
        <w:rPr>
          <w:rFonts w:ascii="Arial" w:hAnsi="Arial" w:cs="Arial"/>
          <w:b/>
          <w:bCs/>
          <w:sz w:val="23"/>
          <w:szCs w:val="23"/>
        </w:rPr>
      </w:pPr>
      <w:r w:rsidRPr="004C0D83">
        <w:rPr>
          <w:rFonts w:ascii="Arial" w:hAnsi="Arial" w:cs="Arial"/>
          <w:b/>
          <w:bCs/>
          <w:sz w:val="23"/>
          <w:szCs w:val="23"/>
        </w:rPr>
        <w:t>Dirección de Administración</w:t>
      </w:r>
    </w:p>
    <w:p w:rsidR="0049441F" w:rsidRPr="004C0D83" w:rsidRDefault="0049441F" w:rsidP="0049441F">
      <w:pPr>
        <w:pStyle w:val="Prrafodelista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>Subdirección de Administración;</w:t>
      </w:r>
    </w:p>
    <w:p w:rsidR="0049441F" w:rsidRPr="004C0D83" w:rsidRDefault="0049441F" w:rsidP="0049441F">
      <w:pPr>
        <w:pStyle w:val="Prrafodelista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>Coordinación de Recursos Financieros;</w:t>
      </w:r>
    </w:p>
    <w:p w:rsidR="0049441F" w:rsidRPr="004C0D83" w:rsidRDefault="0049441F" w:rsidP="0049441F">
      <w:pPr>
        <w:pStyle w:val="Prrafodelista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>Coordinación de Recursos Humanos;</w:t>
      </w:r>
    </w:p>
    <w:p w:rsidR="0049441F" w:rsidRPr="004C0D83" w:rsidRDefault="0049441F" w:rsidP="0049441F">
      <w:pPr>
        <w:pStyle w:val="Prrafodelista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>Coordinación de Recursos Materiales;</w:t>
      </w:r>
    </w:p>
    <w:p w:rsidR="0049441F" w:rsidRPr="004C0D83" w:rsidRDefault="0049441F" w:rsidP="0049441F">
      <w:pPr>
        <w:pStyle w:val="Prrafodelista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>Coordinación de Servicios Generales; y</w:t>
      </w:r>
    </w:p>
    <w:p w:rsidR="0049441F" w:rsidRPr="004C0D83" w:rsidRDefault="0049441F" w:rsidP="0049441F">
      <w:pPr>
        <w:pStyle w:val="Prrafodelista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>Coordinación de Almacén.</w:t>
      </w:r>
    </w:p>
    <w:p w:rsidR="0049441F" w:rsidRPr="004C0D83" w:rsidRDefault="0049441F" w:rsidP="0049441F">
      <w:pPr>
        <w:pStyle w:val="Prrafodelista"/>
        <w:numPr>
          <w:ilvl w:val="0"/>
          <w:numId w:val="1"/>
        </w:numPr>
        <w:spacing w:before="480" w:after="0"/>
        <w:ind w:left="714" w:hanging="357"/>
        <w:contextualSpacing w:val="0"/>
        <w:rPr>
          <w:rFonts w:ascii="Arial" w:hAnsi="Arial" w:cs="Arial"/>
          <w:b/>
          <w:bCs/>
          <w:sz w:val="23"/>
          <w:szCs w:val="23"/>
        </w:rPr>
      </w:pPr>
      <w:r w:rsidRPr="004C0D83">
        <w:rPr>
          <w:rFonts w:ascii="Arial" w:hAnsi="Arial" w:cs="Arial"/>
          <w:b/>
          <w:bCs/>
          <w:sz w:val="23"/>
          <w:szCs w:val="23"/>
        </w:rPr>
        <w:t>Dirección Jurídica</w:t>
      </w:r>
    </w:p>
    <w:p w:rsidR="0049441F" w:rsidRPr="004C0D83" w:rsidRDefault="0049441F" w:rsidP="0049441F">
      <w:pPr>
        <w:pStyle w:val="Prrafodelista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>Coordinación Jurídica</w:t>
      </w:r>
    </w:p>
    <w:p w:rsidR="0049441F" w:rsidRPr="004C0D83" w:rsidRDefault="0049441F" w:rsidP="0049441F">
      <w:pPr>
        <w:spacing w:line="276" w:lineRule="auto"/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 xml:space="preserve">Cabe mencionar que, la Coordinación de lo Contencioso Electoral, de Vinculación con el INE y la totalidad de las Coordinaciones adscritas a la Dirección de Organización Electoral y Educación Cívica forman parte del Servicio Profesional Electoral Nacional, por lo que, su designación está sujeta a las reglas y criterios que al efecto emita el Instituto Nacional Electoral. Asimismo, las unidades administrativas señaladas cuentan con personal técnico para el desarrollo de sus funciones y actividades. </w:t>
      </w:r>
    </w:p>
    <w:p w:rsidR="0049441F" w:rsidRPr="004C0D83" w:rsidRDefault="0049441F" w:rsidP="0049441F">
      <w:pPr>
        <w:pStyle w:val="Ttulo2"/>
        <w:keepNext/>
        <w:keepLines/>
        <w:numPr>
          <w:ilvl w:val="1"/>
          <w:numId w:val="0"/>
        </w:numPr>
        <w:spacing w:line="276" w:lineRule="auto"/>
        <w:ind w:left="576" w:hanging="576"/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 xml:space="preserve">Designación de </w:t>
      </w:r>
      <w:r w:rsidR="00EA2B36" w:rsidRPr="004C0D83">
        <w:rPr>
          <w:rFonts w:ascii="Arial" w:hAnsi="Arial" w:cs="Arial"/>
          <w:sz w:val="23"/>
          <w:szCs w:val="23"/>
        </w:rPr>
        <w:t xml:space="preserve">servidoras </w:t>
      </w:r>
      <w:r w:rsidR="00AE1A5E" w:rsidRPr="004C0D83">
        <w:rPr>
          <w:rFonts w:ascii="Arial" w:hAnsi="Arial" w:cs="Arial"/>
          <w:sz w:val="23"/>
          <w:szCs w:val="23"/>
        </w:rPr>
        <w:t xml:space="preserve">y </w:t>
      </w:r>
      <w:r w:rsidRPr="004C0D83">
        <w:rPr>
          <w:rFonts w:ascii="Arial" w:hAnsi="Arial" w:cs="Arial"/>
          <w:sz w:val="23"/>
          <w:szCs w:val="23"/>
        </w:rPr>
        <w:t>servidor</w:t>
      </w:r>
      <w:r w:rsidR="00032B49" w:rsidRPr="004C0D83">
        <w:rPr>
          <w:rFonts w:ascii="Arial" w:hAnsi="Arial" w:cs="Arial"/>
          <w:sz w:val="23"/>
          <w:szCs w:val="23"/>
        </w:rPr>
        <w:t>es</w:t>
      </w:r>
      <w:r w:rsidRPr="004C0D83">
        <w:rPr>
          <w:rFonts w:ascii="Arial" w:hAnsi="Arial" w:cs="Arial"/>
          <w:sz w:val="23"/>
          <w:szCs w:val="23"/>
        </w:rPr>
        <w:t xml:space="preserve"> público</w:t>
      </w:r>
      <w:r w:rsidR="00032B49" w:rsidRPr="004C0D83">
        <w:rPr>
          <w:rFonts w:ascii="Arial" w:hAnsi="Arial" w:cs="Arial"/>
          <w:sz w:val="23"/>
          <w:szCs w:val="23"/>
        </w:rPr>
        <w:t>s</w:t>
      </w:r>
    </w:p>
    <w:p w:rsidR="00030690" w:rsidRPr="004C0D83" w:rsidRDefault="00030690" w:rsidP="00030690">
      <w:pPr>
        <w:spacing w:line="276" w:lineRule="auto"/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>Que, en virtud de la</w:t>
      </w:r>
      <w:r w:rsidR="00966DE6" w:rsidRPr="004C0D83">
        <w:rPr>
          <w:rFonts w:ascii="Arial" w:hAnsi="Arial" w:cs="Arial"/>
          <w:sz w:val="23"/>
          <w:szCs w:val="23"/>
        </w:rPr>
        <w:t>s</w:t>
      </w:r>
      <w:r w:rsidRPr="004C0D83">
        <w:rPr>
          <w:rFonts w:ascii="Arial" w:hAnsi="Arial" w:cs="Arial"/>
          <w:sz w:val="23"/>
          <w:szCs w:val="23"/>
        </w:rPr>
        <w:t xml:space="preserve"> vacante</w:t>
      </w:r>
      <w:r w:rsidR="00966DE6" w:rsidRPr="004C0D83">
        <w:rPr>
          <w:rFonts w:ascii="Arial" w:hAnsi="Arial" w:cs="Arial"/>
          <w:sz w:val="23"/>
          <w:szCs w:val="23"/>
        </w:rPr>
        <w:t>s originadas en la Dirección de Administración y la Dirección de Organización Electoral y Educación Cívica</w:t>
      </w:r>
      <w:r w:rsidRPr="004C0D83">
        <w:rPr>
          <w:rFonts w:ascii="Arial" w:hAnsi="Arial" w:cs="Arial"/>
          <w:sz w:val="23"/>
          <w:szCs w:val="23"/>
        </w:rPr>
        <w:t xml:space="preserve">, </w:t>
      </w:r>
      <w:r w:rsidR="0049441F" w:rsidRPr="004C0D83">
        <w:rPr>
          <w:rFonts w:ascii="Arial" w:hAnsi="Arial" w:cs="Arial"/>
          <w:sz w:val="23"/>
          <w:szCs w:val="23"/>
        </w:rPr>
        <w:t>resulta</w:t>
      </w:r>
      <w:r w:rsidRPr="004C0D83">
        <w:rPr>
          <w:rFonts w:ascii="Arial" w:hAnsi="Arial" w:cs="Arial"/>
          <w:sz w:val="23"/>
          <w:szCs w:val="23"/>
        </w:rPr>
        <w:t xml:space="preserve"> necesaria la designación de la</w:t>
      </w:r>
      <w:r w:rsidR="00966DE6" w:rsidRPr="004C0D83">
        <w:rPr>
          <w:rFonts w:ascii="Arial" w:hAnsi="Arial" w:cs="Arial"/>
          <w:sz w:val="23"/>
          <w:szCs w:val="23"/>
        </w:rPr>
        <w:t>s</w:t>
      </w:r>
      <w:r w:rsidRPr="004C0D83">
        <w:rPr>
          <w:rFonts w:ascii="Arial" w:hAnsi="Arial" w:cs="Arial"/>
          <w:sz w:val="23"/>
          <w:szCs w:val="23"/>
        </w:rPr>
        <w:t xml:space="preserve"> persona</w:t>
      </w:r>
      <w:r w:rsidR="00966DE6" w:rsidRPr="004C0D83">
        <w:rPr>
          <w:rFonts w:ascii="Arial" w:hAnsi="Arial" w:cs="Arial"/>
          <w:sz w:val="23"/>
          <w:szCs w:val="23"/>
        </w:rPr>
        <w:t>s</w:t>
      </w:r>
      <w:r w:rsidRPr="004C0D83">
        <w:rPr>
          <w:rFonts w:ascii="Arial" w:hAnsi="Arial" w:cs="Arial"/>
          <w:sz w:val="23"/>
          <w:szCs w:val="23"/>
        </w:rPr>
        <w:t xml:space="preserve"> que ocupará</w:t>
      </w:r>
      <w:r w:rsidR="00966DE6" w:rsidRPr="004C0D83">
        <w:rPr>
          <w:rFonts w:ascii="Arial" w:hAnsi="Arial" w:cs="Arial"/>
          <w:sz w:val="23"/>
          <w:szCs w:val="23"/>
        </w:rPr>
        <w:t>n</w:t>
      </w:r>
      <w:r w:rsidRPr="004C0D83">
        <w:rPr>
          <w:rFonts w:ascii="Arial" w:hAnsi="Arial" w:cs="Arial"/>
          <w:sz w:val="23"/>
          <w:szCs w:val="23"/>
        </w:rPr>
        <w:t xml:space="preserve"> por tiempo indeterminado dicha</w:t>
      </w:r>
      <w:r w:rsidR="00966DE6" w:rsidRPr="004C0D83">
        <w:rPr>
          <w:rFonts w:ascii="Arial" w:hAnsi="Arial" w:cs="Arial"/>
          <w:sz w:val="23"/>
          <w:szCs w:val="23"/>
        </w:rPr>
        <w:t>s</w:t>
      </w:r>
      <w:r w:rsidRPr="004C0D83">
        <w:rPr>
          <w:rFonts w:ascii="Arial" w:hAnsi="Arial" w:cs="Arial"/>
          <w:sz w:val="23"/>
          <w:szCs w:val="23"/>
        </w:rPr>
        <w:t xml:space="preserve"> categoría</w:t>
      </w:r>
      <w:r w:rsidR="00966DE6" w:rsidRPr="004C0D83">
        <w:rPr>
          <w:rFonts w:ascii="Arial" w:hAnsi="Arial" w:cs="Arial"/>
          <w:sz w:val="23"/>
          <w:szCs w:val="23"/>
        </w:rPr>
        <w:t>s</w:t>
      </w:r>
      <w:r w:rsidRPr="004C0D83">
        <w:rPr>
          <w:rFonts w:ascii="Arial" w:hAnsi="Arial" w:cs="Arial"/>
          <w:sz w:val="23"/>
          <w:szCs w:val="23"/>
        </w:rPr>
        <w:t xml:space="preserve">. En ese sentido, de acuerdo con el artículo 34 fracción III del Reglamento </w:t>
      </w:r>
      <w:r w:rsidRPr="004C0D83">
        <w:rPr>
          <w:rFonts w:ascii="Arial" w:hAnsi="Arial" w:cs="Arial"/>
          <w:sz w:val="23"/>
          <w:szCs w:val="23"/>
        </w:rPr>
        <w:lastRenderedPageBreak/>
        <w:t>Interior del Instituto, es atribución de los titulares de las Direcciones proponer a las personas que cubrirán la estructura de su adscripción.</w:t>
      </w:r>
    </w:p>
    <w:p w:rsidR="00966DE6" w:rsidRPr="004C0D83" w:rsidRDefault="00030690" w:rsidP="00030690">
      <w:pPr>
        <w:spacing w:line="276" w:lineRule="auto"/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 xml:space="preserve">En </w:t>
      </w:r>
      <w:r w:rsidR="00490D38" w:rsidRPr="004C0D83">
        <w:rPr>
          <w:rFonts w:ascii="Arial" w:hAnsi="Arial" w:cs="Arial"/>
          <w:sz w:val="23"/>
          <w:szCs w:val="23"/>
        </w:rPr>
        <w:t>mérito de lo anterior</w:t>
      </w:r>
      <w:r w:rsidRPr="004C0D83">
        <w:rPr>
          <w:rFonts w:ascii="Arial" w:hAnsi="Arial" w:cs="Arial"/>
          <w:sz w:val="23"/>
          <w:szCs w:val="23"/>
        </w:rPr>
        <w:t xml:space="preserve">, </w:t>
      </w:r>
      <w:r w:rsidR="00966DE6" w:rsidRPr="004C0D83">
        <w:rPr>
          <w:rFonts w:ascii="Arial" w:hAnsi="Arial" w:cs="Arial"/>
          <w:sz w:val="23"/>
          <w:szCs w:val="23"/>
        </w:rPr>
        <w:t xml:space="preserve">los </w:t>
      </w:r>
      <w:r w:rsidRPr="004C0D83">
        <w:rPr>
          <w:rFonts w:ascii="Arial" w:hAnsi="Arial" w:cs="Arial"/>
          <w:sz w:val="23"/>
          <w:szCs w:val="23"/>
        </w:rPr>
        <w:t>titular</w:t>
      </w:r>
      <w:r w:rsidR="00966DE6" w:rsidRPr="004C0D83">
        <w:rPr>
          <w:rFonts w:ascii="Arial" w:hAnsi="Arial" w:cs="Arial"/>
          <w:sz w:val="23"/>
          <w:szCs w:val="23"/>
        </w:rPr>
        <w:t>es</w:t>
      </w:r>
      <w:r w:rsidRPr="004C0D83">
        <w:rPr>
          <w:rFonts w:ascii="Arial" w:hAnsi="Arial" w:cs="Arial"/>
          <w:sz w:val="23"/>
          <w:szCs w:val="23"/>
        </w:rPr>
        <w:t xml:space="preserve"> de la</w:t>
      </w:r>
      <w:r w:rsidR="00966DE6" w:rsidRPr="004C0D83">
        <w:rPr>
          <w:rFonts w:ascii="Arial" w:hAnsi="Arial" w:cs="Arial"/>
          <w:sz w:val="23"/>
          <w:szCs w:val="23"/>
        </w:rPr>
        <w:t>s</w:t>
      </w:r>
      <w:r w:rsidRPr="004C0D83">
        <w:rPr>
          <w:rFonts w:ascii="Arial" w:hAnsi="Arial" w:cs="Arial"/>
          <w:sz w:val="23"/>
          <w:szCs w:val="23"/>
        </w:rPr>
        <w:t xml:space="preserve"> </w:t>
      </w:r>
      <w:r w:rsidR="00966DE6" w:rsidRPr="004C0D83">
        <w:rPr>
          <w:rFonts w:ascii="Arial" w:hAnsi="Arial" w:cs="Arial"/>
          <w:sz w:val="23"/>
          <w:szCs w:val="23"/>
        </w:rPr>
        <w:t>direcciones mencionadas propusieron a las siguientes personas: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69"/>
        <w:gridCol w:w="2518"/>
        <w:gridCol w:w="2550"/>
      </w:tblGrid>
      <w:tr w:rsidR="00966DE6" w:rsidRPr="004C0D83" w:rsidTr="00782D5D">
        <w:tc>
          <w:tcPr>
            <w:tcW w:w="3681" w:type="dxa"/>
            <w:shd w:val="clear" w:color="auto" w:fill="993366"/>
            <w:vAlign w:val="center"/>
          </w:tcPr>
          <w:p w:rsidR="00966DE6" w:rsidRPr="004C0D83" w:rsidRDefault="00966DE6" w:rsidP="00293818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4"/>
              </w:rPr>
            </w:pPr>
            <w:r w:rsidRPr="004C0D83">
              <w:rPr>
                <w:rFonts w:ascii="Arial" w:hAnsi="Arial" w:cs="Arial"/>
                <w:b/>
                <w:color w:val="FFFFFF" w:themeColor="background1"/>
                <w:sz w:val="20"/>
                <w:szCs w:val="24"/>
              </w:rPr>
              <w:t>Nombre</w:t>
            </w:r>
          </w:p>
        </w:tc>
        <w:tc>
          <w:tcPr>
            <w:tcW w:w="2551" w:type="dxa"/>
            <w:shd w:val="clear" w:color="auto" w:fill="993366"/>
            <w:vAlign w:val="center"/>
          </w:tcPr>
          <w:p w:rsidR="00966DE6" w:rsidRPr="004C0D83" w:rsidRDefault="00966DE6" w:rsidP="00293818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4"/>
              </w:rPr>
            </w:pPr>
            <w:r w:rsidRPr="004C0D83">
              <w:rPr>
                <w:rFonts w:ascii="Arial" w:hAnsi="Arial" w:cs="Arial"/>
                <w:b/>
                <w:color w:val="FFFFFF" w:themeColor="background1"/>
                <w:sz w:val="20"/>
                <w:szCs w:val="24"/>
              </w:rPr>
              <w:t>Cargo/Categoría</w:t>
            </w:r>
          </w:p>
        </w:tc>
        <w:tc>
          <w:tcPr>
            <w:tcW w:w="2596" w:type="dxa"/>
            <w:shd w:val="clear" w:color="auto" w:fill="993366"/>
            <w:vAlign w:val="center"/>
          </w:tcPr>
          <w:p w:rsidR="00966DE6" w:rsidRPr="004C0D83" w:rsidRDefault="00966DE6" w:rsidP="00293818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4"/>
              </w:rPr>
            </w:pPr>
            <w:r w:rsidRPr="004C0D83">
              <w:rPr>
                <w:rFonts w:ascii="Arial" w:hAnsi="Arial" w:cs="Arial"/>
                <w:b/>
                <w:color w:val="FFFFFF" w:themeColor="background1"/>
                <w:sz w:val="20"/>
                <w:szCs w:val="24"/>
              </w:rPr>
              <w:t>Adscripción</w:t>
            </w:r>
          </w:p>
        </w:tc>
      </w:tr>
      <w:tr w:rsidR="00966DE6" w:rsidRPr="004C0D83" w:rsidTr="00966DE6">
        <w:tc>
          <w:tcPr>
            <w:tcW w:w="3681" w:type="dxa"/>
            <w:vAlign w:val="center"/>
          </w:tcPr>
          <w:p w:rsidR="00966DE6" w:rsidRPr="004C0D83" w:rsidRDefault="00465EE7" w:rsidP="00293818">
            <w:pPr>
              <w:spacing w:before="40" w:after="40" w:line="276" w:lineRule="auto"/>
              <w:rPr>
                <w:rFonts w:ascii="Arial" w:hAnsi="Arial" w:cs="Arial"/>
                <w:sz w:val="20"/>
                <w:szCs w:val="24"/>
              </w:rPr>
            </w:pPr>
            <w:r w:rsidRPr="004C0D83">
              <w:rPr>
                <w:rFonts w:ascii="Arial" w:hAnsi="Arial" w:cs="Arial"/>
                <w:sz w:val="20"/>
                <w:szCs w:val="24"/>
              </w:rPr>
              <w:t>Armando Ramos González</w:t>
            </w:r>
          </w:p>
        </w:tc>
        <w:tc>
          <w:tcPr>
            <w:tcW w:w="2551" w:type="dxa"/>
            <w:vAlign w:val="center"/>
          </w:tcPr>
          <w:p w:rsidR="00966DE6" w:rsidRPr="004C0D83" w:rsidRDefault="00465EE7" w:rsidP="00293818">
            <w:pPr>
              <w:spacing w:before="40" w:after="40" w:line="276" w:lineRule="auto"/>
              <w:rPr>
                <w:rFonts w:ascii="Arial" w:hAnsi="Arial" w:cs="Arial"/>
                <w:sz w:val="20"/>
                <w:szCs w:val="24"/>
              </w:rPr>
            </w:pPr>
            <w:r w:rsidRPr="004C0D83">
              <w:rPr>
                <w:rFonts w:ascii="Arial" w:hAnsi="Arial" w:cs="Arial"/>
                <w:sz w:val="20"/>
                <w:szCs w:val="24"/>
              </w:rPr>
              <w:t>Coordinador</w:t>
            </w:r>
            <w:r w:rsidR="00966DE6" w:rsidRPr="004C0D83">
              <w:rPr>
                <w:rFonts w:ascii="Arial" w:hAnsi="Arial" w:cs="Arial"/>
                <w:sz w:val="20"/>
                <w:szCs w:val="24"/>
              </w:rPr>
              <w:t xml:space="preserve"> de Servicios Generales</w:t>
            </w:r>
          </w:p>
        </w:tc>
        <w:tc>
          <w:tcPr>
            <w:tcW w:w="2596" w:type="dxa"/>
            <w:vMerge w:val="restart"/>
            <w:vAlign w:val="center"/>
          </w:tcPr>
          <w:p w:rsidR="00966DE6" w:rsidRPr="004C0D83" w:rsidRDefault="00966DE6" w:rsidP="00293818">
            <w:pPr>
              <w:spacing w:before="40" w:after="40" w:line="276" w:lineRule="auto"/>
              <w:rPr>
                <w:rFonts w:ascii="Arial" w:hAnsi="Arial" w:cs="Arial"/>
                <w:sz w:val="20"/>
                <w:szCs w:val="24"/>
              </w:rPr>
            </w:pPr>
            <w:r w:rsidRPr="004C0D83">
              <w:rPr>
                <w:rFonts w:ascii="Arial" w:hAnsi="Arial" w:cs="Arial"/>
                <w:sz w:val="20"/>
                <w:szCs w:val="24"/>
              </w:rPr>
              <w:t>Dirección de Administración</w:t>
            </w:r>
          </w:p>
        </w:tc>
      </w:tr>
      <w:tr w:rsidR="00966DE6" w:rsidRPr="004C0D83" w:rsidTr="00966DE6">
        <w:tc>
          <w:tcPr>
            <w:tcW w:w="3681" w:type="dxa"/>
            <w:vAlign w:val="center"/>
          </w:tcPr>
          <w:p w:rsidR="00966DE6" w:rsidRPr="004C0D83" w:rsidRDefault="00966DE6" w:rsidP="00293818">
            <w:pPr>
              <w:spacing w:before="40" w:after="40" w:line="276" w:lineRule="auto"/>
              <w:rPr>
                <w:rFonts w:ascii="Arial" w:hAnsi="Arial" w:cs="Arial"/>
                <w:sz w:val="20"/>
                <w:szCs w:val="24"/>
              </w:rPr>
            </w:pPr>
            <w:r w:rsidRPr="004C0D83">
              <w:rPr>
                <w:rFonts w:ascii="Arial" w:hAnsi="Arial" w:cs="Arial"/>
                <w:sz w:val="20"/>
                <w:szCs w:val="24"/>
              </w:rPr>
              <w:t>Fabiola Del Carmen Damas Mendoza</w:t>
            </w:r>
          </w:p>
        </w:tc>
        <w:tc>
          <w:tcPr>
            <w:tcW w:w="2551" w:type="dxa"/>
            <w:vAlign w:val="center"/>
          </w:tcPr>
          <w:p w:rsidR="00966DE6" w:rsidRPr="004C0D83" w:rsidRDefault="00966DE6" w:rsidP="00293818">
            <w:pPr>
              <w:spacing w:before="40" w:after="40" w:line="276" w:lineRule="auto"/>
              <w:rPr>
                <w:rFonts w:ascii="Arial" w:hAnsi="Arial" w:cs="Arial"/>
                <w:sz w:val="20"/>
                <w:szCs w:val="24"/>
              </w:rPr>
            </w:pPr>
            <w:r w:rsidRPr="004C0D83">
              <w:rPr>
                <w:rFonts w:ascii="Arial" w:hAnsi="Arial" w:cs="Arial"/>
                <w:sz w:val="20"/>
                <w:szCs w:val="24"/>
              </w:rPr>
              <w:t>Técnico</w:t>
            </w:r>
          </w:p>
        </w:tc>
        <w:tc>
          <w:tcPr>
            <w:tcW w:w="2596" w:type="dxa"/>
            <w:vMerge/>
            <w:vAlign w:val="center"/>
          </w:tcPr>
          <w:p w:rsidR="00966DE6" w:rsidRPr="004C0D83" w:rsidRDefault="00966DE6" w:rsidP="00293818">
            <w:pPr>
              <w:spacing w:before="40" w:after="40" w:line="276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66DE6" w:rsidRPr="004C0D83" w:rsidTr="00966DE6">
        <w:tc>
          <w:tcPr>
            <w:tcW w:w="3681" w:type="dxa"/>
            <w:vAlign w:val="center"/>
          </w:tcPr>
          <w:p w:rsidR="00966DE6" w:rsidRPr="004C0D83" w:rsidRDefault="00966DE6" w:rsidP="00293818">
            <w:pPr>
              <w:spacing w:before="40" w:after="40" w:line="276" w:lineRule="auto"/>
              <w:rPr>
                <w:rFonts w:ascii="Arial" w:hAnsi="Arial" w:cs="Arial"/>
                <w:sz w:val="20"/>
                <w:szCs w:val="24"/>
              </w:rPr>
            </w:pPr>
            <w:r w:rsidRPr="004C0D83">
              <w:rPr>
                <w:rFonts w:ascii="Arial" w:hAnsi="Arial" w:cs="Arial"/>
                <w:sz w:val="20"/>
                <w:szCs w:val="24"/>
              </w:rPr>
              <w:t>Nicolás Pastor González Guzmán</w:t>
            </w:r>
          </w:p>
        </w:tc>
        <w:tc>
          <w:tcPr>
            <w:tcW w:w="2551" w:type="dxa"/>
            <w:vAlign w:val="center"/>
          </w:tcPr>
          <w:p w:rsidR="00966DE6" w:rsidRPr="004C0D83" w:rsidRDefault="00966DE6" w:rsidP="00293818">
            <w:pPr>
              <w:spacing w:before="40" w:after="40" w:line="276" w:lineRule="auto"/>
              <w:rPr>
                <w:rFonts w:ascii="Arial" w:hAnsi="Arial" w:cs="Arial"/>
                <w:sz w:val="20"/>
                <w:szCs w:val="24"/>
              </w:rPr>
            </w:pPr>
            <w:r w:rsidRPr="004C0D83">
              <w:rPr>
                <w:rFonts w:ascii="Arial" w:hAnsi="Arial" w:cs="Arial"/>
                <w:sz w:val="20"/>
                <w:szCs w:val="24"/>
              </w:rPr>
              <w:t>Técnico</w:t>
            </w:r>
          </w:p>
        </w:tc>
        <w:tc>
          <w:tcPr>
            <w:tcW w:w="2596" w:type="dxa"/>
            <w:vMerge w:val="restart"/>
            <w:vAlign w:val="center"/>
          </w:tcPr>
          <w:p w:rsidR="00966DE6" w:rsidRPr="004C0D83" w:rsidRDefault="00966DE6" w:rsidP="00293818">
            <w:pPr>
              <w:spacing w:before="40" w:after="40" w:line="276" w:lineRule="auto"/>
              <w:rPr>
                <w:rFonts w:ascii="Arial" w:hAnsi="Arial" w:cs="Arial"/>
                <w:sz w:val="20"/>
                <w:szCs w:val="24"/>
              </w:rPr>
            </w:pPr>
            <w:r w:rsidRPr="004C0D83">
              <w:rPr>
                <w:rFonts w:ascii="Arial" w:hAnsi="Arial" w:cs="Arial"/>
                <w:sz w:val="20"/>
                <w:szCs w:val="24"/>
              </w:rPr>
              <w:t>Dirección de Organización Electoral y Educación Cívica</w:t>
            </w:r>
          </w:p>
        </w:tc>
      </w:tr>
      <w:tr w:rsidR="00966DE6" w:rsidRPr="004C0D83" w:rsidTr="00966DE6">
        <w:tc>
          <w:tcPr>
            <w:tcW w:w="3681" w:type="dxa"/>
            <w:vAlign w:val="center"/>
          </w:tcPr>
          <w:p w:rsidR="00966DE6" w:rsidRPr="004C0D83" w:rsidRDefault="00966DE6" w:rsidP="00293818">
            <w:pPr>
              <w:spacing w:before="40" w:after="40" w:line="276" w:lineRule="auto"/>
              <w:rPr>
                <w:rFonts w:ascii="Arial" w:hAnsi="Arial" w:cs="Arial"/>
                <w:sz w:val="20"/>
                <w:szCs w:val="24"/>
              </w:rPr>
            </w:pPr>
            <w:r w:rsidRPr="004C0D83">
              <w:rPr>
                <w:rFonts w:ascii="Arial" w:hAnsi="Arial" w:cs="Arial"/>
                <w:sz w:val="20"/>
                <w:szCs w:val="24"/>
              </w:rPr>
              <w:t>Javier Landero Reyes</w:t>
            </w:r>
          </w:p>
        </w:tc>
        <w:tc>
          <w:tcPr>
            <w:tcW w:w="2551" w:type="dxa"/>
            <w:vAlign w:val="center"/>
          </w:tcPr>
          <w:p w:rsidR="00966DE6" w:rsidRPr="004C0D83" w:rsidRDefault="00966DE6" w:rsidP="00293818">
            <w:pPr>
              <w:spacing w:before="40" w:after="40" w:line="276" w:lineRule="auto"/>
              <w:rPr>
                <w:rFonts w:ascii="Arial" w:hAnsi="Arial" w:cs="Arial"/>
                <w:sz w:val="20"/>
                <w:szCs w:val="24"/>
              </w:rPr>
            </w:pPr>
            <w:r w:rsidRPr="004C0D83">
              <w:rPr>
                <w:rFonts w:ascii="Arial" w:hAnsi="Arial" w:cs="Arial"/>
                <w:sz w:val="20"/>
                <w:szCs w:val="24"/>
              </w:rPr>
              <w:t>Técnico</w:t>
            </w:r>
          </w:p>
        </w:tc>
        <w:tc>
          <w:tcPr>
            <w:tcW w:w="2596" w:type="dxa"/>
            <w:vMerge/>
            <w:vAlign w:val="center"/>
          </w:tcPr>
          <w:p w:rsidR="00966DE6" w:rsidRPr="004C0D83" w:rsidRDefault="00966DE6" w:rsidP="00293818">
            <w:pPr>
              <w:spacing w:before="40" w:after="40" w:line="276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030690" w:rsidRPr="004C0D83" w:rsidRDefault="00490D38" w:rsidP="00030690">
      <w:pPr>
        <w:spacing w:line="276" w:lineRule="auto"/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>D</w:t>
      </w:r>
      <w:r w:rsidR="00030690" w:rsidRPr="004C0D83">
        <w:rPr>
          <w:rFonts w:ascii="Arial" w:hAnsi="Arial" w:cs="Arial"/>
          <w:sz w:val="23"/>
          <w:szCs w:val="23"/>
        </w:rPr>
        <w:t xml:space="preserve">e la revisión a la documentación presentada por </w:t>
      </w:r>
      <w:r w:rsidR="00966DE6" w:rsidRPr="004C0D83">
        <w:rPr>
          <w:rFonts w:ascii="Arial" w:hAnsi="Arial" w:cs="Arial"/>
          <w:sz w:val="23"/>
          <w:szCs w:val="23"/>
        </w:rPr>
        <w:t xml:space="preserve">las y los </w:t>
      </w:r>
      <w:r w:rsidR="00030690" w:rsidRPr="004C0D83">
        <w:rPr>
          <w:rFonts w:ascii="Arial" w:hAnsi="Arial" w:cs="Arial"/>
          <w:sz w:val="23"/>
          <w:szCs w:val="23"/>
        </w:rPr>
        <w:t>interesado</w:t>
      </w:r>
      <w:r w:rsidR="00966DE6" w:rsidRPr="004C0D83">
        <w:rPr>
          <w:rFonts w:ascii="Arial" w:hAnsi="Arial" w:cs="Arial"/>
          <w:sz w:val="23"/>
          <w:szCs w:val="23"/>
        </w:rPr>
        <w:t>s</w:t>
      </w:r>
      <w:r w:rsidR="00030690" w:rsidRPr="004C0D83">
        <w:rPr>
          <w:rFonts w:ascii="Arial" w:hAnsi="Arial" w:cs="Arial"/>
          <w:sz w:val="23"/>
          <w:szCs w:val="23"/>
        </w:rPr>
        <w:t xml:space="preserve">, </w:t>
      </w:r>
      <w:r w:rsidR="00966DE6" w:rsidRPr="004C0D83">
        <w:rPr>
          <w:rFonts w:ascii="Arial" w:hAnsi="Arial" w:cs="Arial"/>
          <w:sz w:val="23"/>
          <w:szCs w:val="23"/>
        </w:rPr>
        <w:t xml:space="preserve">este órgano electoral considera </w:t>
      </w:r>
      <w:r w:rsidR="00030690" w:rsidRPr="004C0D83">
        <w:rPr>
          <w:rFonts w:ascii="Arial" w:hAnsi="Arial" w:cs="Arial"/>
          <w:sz w:val="23"/>
          <w:szCs w:val="23"/>
        </w:rPr>
        <w:t xml:space="preserve">que </w:t>
      </w:r>
      <w:r w:rsidR="00966DE6" w:rsidRPr="004C0D83">
        <w:rPr>
          <w:rFonts w:ascii="Arial" w:hAnsi="Arial" w:cs="Arial"/>
          <w:sz w:val="23"/>
          <w:szCs w:val="23"/>
        </w:rPr>
        <w:t xml:space="preserve">las </w:t>
      </w:r>
      <w:r w:rsidR="00030690" w:rsidRPr="004C0D83">
        <w:rPr>
          <w:rFonts w:ascii="Arial" w:hAnsi="Arial" w:cs="Arial"/>
          <w:sz w:val="23"/>
          <w:szCs w:val="23"/>
        </w:rPr>
        <w:t>persona</w:t>
      </w:r>
      <w:r w:rsidR="00966DE6" w:rsidRPr="004C0D83">
        <w:rPr>
          <w:rFonts w:ascii="Arial" w:hAnsi="Arial" w:cs="Arial"/>
          <w:sz w:val="23"/>
          <w:szCs w:val="23"/>
        </w:rPr>
        <w:t>s propuestas</w:t>
      </w:r>
      <w:r w:rsidR="00030690" w:rsidRPr="004C0D83">
        <w:rPr>
          <w:rFonts w:ascii="Arial" w:hAnsi="Arial" w:cs="Arial"/>
          <w:sz w:val="23"/>
          <w:szCs w:val="23"/>
        </w:rPr>
        <w:t xml:space="preserve"> </w:t>
      </w:r>
      <w:r w:rsidR="00966DE6" w:rsidRPr="004C0D83">
        <w:rPr>
          <w:rFonts w:ascii="Arial" w:hAnsi="Arial" w:cs="Arial"/>
          <w:sz w:val="23"/>
          <w:szCs w:val="23"/>
        </w:rPr>
        <w:t xml:space="preserve">cumplen </w:t>
      </w:r>
      <w:r w:rsidR="00030690" w:rsidRPr="004C0D83">
        <w:rPr>
          <w:rFonts w:ascii="Arial" w:hAnsi="Arial" w:cs="Arial"/>
          <w:sz w:val="23"/>
          <w:szCs w:val="23"/>
        </w:rPr>
        <w:t xml:space="preserve">con los requisitos previstos en el artículo 110 de los Estatutos del Servicio Profesional Electoral del propio Instituto, acreditando que, </w:t>
      </w:r>
      <w:r w:rsidR="00C82406" w:rsidRPr="004C0D83">
        <w:rPr>
          <w:rFonts w:ascii="Arial" w:hAnsi="Arial" w:cs="Arial"/>
          <w:sz w:val="23"/>
          <w:szCs w:val="23"/>
        </w:rPr>
        <w:t>son</w:t>
      </w:r>
      <w:r w:rsidR="00030690" w:rsidRPr="004C0D83">
        <w:rPr>
          <w:rFonts w:ascii="Arial" w:hAnsi="Arial" w:cs="Arial"/>
          <w:sz w:val="23"/>
          <w:szCs w:val="23"/>
        </w:rPr>
        <w:t xml:space="preserve"> ciudadana</w:t>
      </w:r>
      <w:r w:rsidR="00C82406" w:rsidRPr="004C0D83">
        <w:rPr>
          <w:rFonts w:ascii="Arial" w:hAnsi="Arial" w:cs="Arial"/>
          <w:sz w:val="23"/>
          <w:szCs w:val="23"/>
        </w:rPr>
        <w:t>s</w:t>
      </w:r>
      <w:r w:rsidR="00030690" w:rsidRPr="004C0D83">
        <w:rPr>
          <w:rFonts w:ascii="Arial" w:hAnsi="Arial" w:cs="Arial"/>
          <w:sz w:val="23"/>
          <w:szCs w:val="23"/>
        </w:rPr>
        <w:t xml:space="preserve"> mexicana</w:t>
      </w:r>
      <w:r w:rsidR="00C82406" w:rsidRPr="004C0D83">
        <w:rPr>
          <w:rFonts w:ascii="Arial" w:hAnsi="Arial" w:cs="Arial"/>
          <w:sz w:val="23"/>
          <w:szCs w:val="23"/>
        </w:rPr>
        <w:t>s</w:t>
      </w:r>
      <w:r w:rsidR="00030690" w:rsidRPr="004C0D83">
        <w:rPr>
          <w:rFonts w:ascii="Arial" w:hAnsi="Arial" w:cs="Arial"/>
          <w:sz w:val="23"/>
          <w:szCs w:val="23"/>
        </w:rPr>
        <w:t>, está</w:t>
      </w:r>
      <w:r w:rsidR="00C82406" w:rsidRPr="004C0D83">
        <w:rPr>
          <w:rFonts w:ascii="Arial" w:hAnsi="Arial" w:cs="Arial"/>
          <w:sz w:val="23"/>
          <w:szCs w:val="23"/>
        </w:rPr>
        <w:t>n</w:t>
      </w:r>
      <w:r w:rsidR="00030690" w:rsidRPr="004C0D83">
        <w:rPr>
          <w:rFonts w:ascii="Arial" w:hAnsi="Arial" w:cs="Arial"/>
          <w:sz w:val="23"/>
          <w:szCs w:val="23"/>
        </w:rPr>
        <w:t xml:space="preserve"> en pleno ejercicio de sus derechos civiles y políticos; goza</w:t>
      </w:r>
      <w:r w:rsidR="00C82406" w:rsidRPr="004C0D83">
        <w:rPr>
          <w:rFonts w:ascii="Arial" w:hAnsi="Arial" w:cs="Arial"/>
          <w:sz w:val="23"/>
          <w:szCs w:val="23"/>
        </w:rPr>
        <w:t>n</w:t>
      </w:r>
      <w:r w:rsidR="00030690" w:rsidRPr="004C0D83">
        <w:rPr>
          <w:rFonts w:ascii="Arial" w:hAnsi="Arial" w:cs="Arial"/>
          <w:sz w:val="23"/>
          <w:szCs w:val="23"/>
        </w:rPr>
        <w:t xml:space="preserve"> de prestigio y/o buena fama pública; cuenta</w:t>
      </w:r>
      <w:r w:rsidR="00C82406" w:rsidRPr="004C0D83">
        <w:rPr>
          <w:rFonts w:ascii="Arial" w:hAnsi="Arial" w:cs="Arial"/>
          <w:sz w:val="23"/>
          <w:szCs w:val="23"/>
        </w:rPr>
        <w:t>n</w:t>
      </w:r>
      <w:r w:rsidR="00030690" w:rsidRPr="004C0D83">
        <w:rPr>
          <w:rFonts w:ascii="Arial" w:hAnsi="Arial" w:cs="Arial"/>
          <w:sz w:val="23"/>
          <w:szCs w:val="23"/>
        </w:rPr>
        <w:t xml:space="preserve"> con los conocimientos, experiencias y habilidades requeridas para ingresar al Instituto; tiene</w:t>
      </w:r>
      <w:r w:rsidR="00C82406" w:rsidRPr="004C0D83">
        <w:rPr>
          <w:rFonts w:ascii="Arial" w:hAnsi="Arial" w:cs="Arial"/>
          <w:sz w:val="23"/>
          <w:szCs w:val="23"/>
        </w:rPr>
        <w:t>n</w:t>
      </w:r>
      <w:r w:rsidR="00030690" w:rsidRPr="004C0D83">
        <w:rPr>
          <w:rFonts w:ascii="Arial" w:hAnsi="Arial" w:cs="Arial"/>
          <w:sz w:val="23"/>
          <w:szCs w:val="23"/>
        </w:rPr>
        <w:t xml:space="preserve"> la escolaridad mínima requerida; y no está</w:t>
      </w:r>
      <w:r w:rsidR="00C82406" w:rsidRPr="004C0D83">
        <w:rPr>
          <w:rFonts w:ascii="Arial" w:hAnsi="Arial" w:cs="Arial"/>
          <w:sz w:val="23"/>
          <w:szCs w:val="23"/>
        </w:rPr>
        <w:t>n</w:t>
      </w:r>
      <w:r w:rsidR="00030690" w:rsidRPr="004C0D83">
        <w:rPr>
          <w:rFonts w:ascii="Arial" w:hAnsi="Arial" w:cs="Arial"/>
          <w:sz w:val="23"/>
          <w:szCs w:val="23"/>
        </w:rPr>
        <w:t xml:space="preserve"> inhabilitada</w:t>
      </w:r>
      <w:r w:rsidR="00C82406" w:rsidRPr="004C0D83">
        <w:rPr>
          <w:rFonts w:ascii="Arial" w:hAnsi="Arial" w:cs="Arial"/>
          <w:sz w:val="23"/>
          <w:szCs w:val="23"/>
        </w:rPr>
        <w:t>s</w:t>
      </w:r>
      <w:r w:rsidR="00030690" w:rsidRPr="004C0D83">
        <w:rPr>
          <w:rFonts w:ascii="Arial" w:hAnsi="Arial" w:cs="Arial"/>
          <w:sz w:val="23"/>
          <w:szCs w:val="23"/>
        </w:rPr>
        <w:t xml:space="preserve"> para ocupar cargo o puesto público.</w:t>
      </w:r>
    </w:p>
    <w:p w:rsidR="00030690" w:rsidRPr="004C0D83" w:rsidRDefault="00030690" w:rsidP="000F3022">
      <w:pPr>
        <w:spacing w:line="276" w:lineRule="auto"/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 xml:space="preserve">Adicionalmente, </w:t>
      </w:r>
      <w:r w:rsidR="00C82406" w:rsidRPr="004C0D83">
        <w:rPr>
          <w:rFonts w:ascii="Arial" w:hAnsi="Arial" w:cs="Arial"/>
          <w:sz w:val="23"/>
          <w:szCs w:val="23"/>
        </w:rPr>
        <w:t>en el caso de la</w:t>
      </w:r>
      <w:r w:rsidRPr="004C0D83">
        <w:rPr>
          <w:rFonts w:ascii="Arial" w:hAnsi="Arial" w:cs="Arial"/>
          <w:sz w:val="23"/>
          <w:szCs w:val="23"/>
        </w:rPr>
        <w:t xml:space="preserve"> persona </w:t>
      </w:r>
      <w:r w:rsidR="0025320E" w:rsidRPr="004C0D83">
        <w:rPr>
          <w:rFonts w:ascii="Arial" w:hAnsi="Arial" w:cs="Arial"/>
          <w:sz w:val="23"/>
          <w:szCs w:val="23"/>
        </w:rPr>
        <w:t>propuesta</w:t>
      </w:r>
      <w:r w:rsidR="00C82406" w:rsidRPr="004C0D83">
        <w:rPr>
          <w:rFonts w:ascii="Arial" w:hAnsi="Arial" w:cs="Arial"/>
          <w:sz w:val="23"/>
          <w:szCs w:val="23"/>
        </w:rPr>
        <w:t xml:space="preserve"> a la categoría de técnico adscrita a la Dirección de Organización Electoral y Educación Cívica</w:t>
      </w:r>
      <w:r w:rsidR="0025320E" w:rsidRPr="004C0D83">
        <w:rPr>
          <w:rFonts w:ascii="Arial" w:hAnsi="Arial" w:cs="Arial"/>
          <w:sz w:val="23"/>
          <w:szCs w:val="23"/>
        </w:rPr>
        <w:t xml:space="preserve">, en diversas ocasiones </w:t>
      </w:r>
      <w:r w:rsidRPr="004C0D83">
        <w:rPr>
          <w:rFonts w:ascii="Arial" w:hAnsi="Arial" w:cs="Arial"/>
          <w:sz w:val="23"/>
          <w:szCs w:val="23"/>
        </w:rPr>
        <w:t>h</w:t>
      </w:r>
      <w:r w:rsidR="0025320E" w:rsidRPr="004C0D83">
        <w:rPr>
          <w:rFonts w:ascii="Arial" w:hAnsi="Arial" w:cs="Arial"/>
          <w:sz w:val="23"/>
          <w:szCs w:val="23"/>
        </w:rPr>
        <w:t xml:space="preserve">a laborado de forma eventual, particularmente en procesos electorales, demostrando su compromiso y </w:t>
      </w:r>
      <w:r w:rsidR="000F3022" w:rsidRPr="004C0D83">
        <w:rPr>
          <w:rFonts w:ascii="Arial" w:hAnsi="Arial" w:cs="Arial"/>
          <w:sz w:val="23"/>
          <w:szCs w:val="23"/>
        </w:rPr>
        <w:t xml:space="preserve">dedicación, </w:t>
      </w:r>
      <w:r w:rsidRPr="004C0D83">
        <w:rPr>
          <w:rFonts w:ascii="Arial" w:hAnsi="Arial" w:cs="Arial"/>
          <w:sz w:val="23"/>
          <w:szCs w:val="23"/>
        </w:rPr>
        <w:t>sin que exista obst</w:t>
      </w:r>
      <w:r w:rsidR="0025320E" w:rsidRPr="004C0D83">
        <w:rPr>
          <w:rFonts w:ascii="Arial" w:hAnsi="Arial" w:cs="Arial"/>
          <w:sz w:val="23"/>
          <w:szCs w:val="23"/>
        </w:rPr>
        <w:t xml:space="preserve">áculo o impedimento alguno para su incorporación como </w:t>
      </w:r>
      <w:r w:rsidR="000F3022" w:rsidRPr="004C0D83">
        <w:rPr>
          <w:rFonts w:ascii="Arial" w:hAnsi="Arial" w:cs="Arial"/>
          <w:sz w:val="23"/>
          <w:szCs w:val="23"/>
        </w:rPr>
        <w:t>servido</w:t>
      </w:r>
      <w:r w:rsidR="00994D55" w:rsidRPr="004C0D83">
        <w:rPr>
          <w:rFonts w:ascii="Arial" w:hAnsi="Arial" w:cs="Arial"/>
          <w:sz w:val="23"/>
          <w:szCs w:val="23"/>
        </w:rPr>
        <w:t>r público de este Instituto.</w:t>
      </w:r>
    </w:p>
    <w:p w:rsidR="00074C1B" w:rsidRPr="004C0D83" w:rsidRDefault="00074C1B" w:rsidP="00074C1B">
      <w:pPr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>Cabe mencionar, que las propuestas anteriores son a invitación de los titulares de las Direcciones, por lo que, no están sujetas a exámenes de ingreso.</w:t>
      </w:r>
    </w:p>
    <w:p w:rsidR="00490D38" w:rsidRDefault="00876A77" w:rsidP="00030690">
      <w:pPr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>Ahora bien, debido a que la persona titular de la</w:t>
      </w:r>
      <w:r w:rsidR="00490D38" w:rsidRPr="004C0D83">
        <w:rPr>
          <w:rFonts w:ascii="Arial" w:hAnsi="Arial" w:cs="Arial"/>
          <w:sz w:val="23"/>
          <w:szCs w:val="23"/>
        </w:rPr>
        <w:t xml:space="preserve"> Coordinación de</w:t>
      </w:r>
      <w:r w:rsidRPr="004C0D83">
        <w:rPr>
          <w:rFonts w:ascii="Arial" w:hAnsi="Arial" w:cs="Arial"/>
          <w:sz w:val="23"/>
          <w:szCs w:val="23"/>
        </w:rPr>
        <w:t xml:space="preserve"> Servicios Generales designada,</w:t>
      </w:r>
      <w:r w:rsidR="00490D38" w:rsidRPr="004C0D83">
        <w:rPr>
          <w:rFonts w:ascii="Arial" w:hAnsi="Arial" w:cs="Arial"/>
          <w:sz w:val="23"/>
          <w:szCs w:val="23"/>
        </w:rPr>
        <w:t xml:space="preserve"> actualmente se desempeña como Coordinador de Almacén, </w:t>
      </w:r>
      <w:r w:rsidR="008B3C84" w:rsidRPr="004C0D83">
        <w:rPr>
          <w:rFonts w:ascii="Arial" w:hAnsi="Arial" w:cs="Arial"/>
          <w:sz w:val="23"/>
          <w:szCs w:val="23"/>
        </w:rPr>
        <w:t xml:space="preserve">se deberá </w:t>
      </w:r>
      <w:r w:rsidRPr="004C0D83">
        <w:rPr>
          <w:rFonts w:ascii="Arial" w:hAnsi="Arial" w:cs="Arial"/>
          <w:sz w:val="23"/>
          <w:szCs w:val="23"/>
        </w:rPr>
        <w:t xml:space="preserve">cubrir ésta </w:t>
      </w:r>
      <w:r w:rsidR="008B3C84" w:rsidRPr="004C0D83">
        <w:rPr>
          <w:rFonts w:ascii="Arial" w:hAnsi="Arial" w:cs="Arial"/>
          <w:sz w:val="23"/>
          <w:szCs w:val="23"/>
        </w:rPr>
        <w:t>vacante</w:t>
      </w:r>
      <w:r w:rsidRPr="004C0D83">
        <w:rPr>
          <w:rFonts w:ascii="Arial" w:hAnsi="Arial" w:cs="Arial"/>
          <w:sz w:val="23"/>
          <w:szCs w:val="23"/>
        </w:rPr>
        <w:t xml:space="preserve">, así como la correspondiente a la Subdirección de Administración y aquellas que se originen con motivo de éstas designaciones, pues para ello, se atiende al personal que actualmente en el propio Instituto. En ese sentido, se designan a las siguientes personas </w:t>
      </w:r>
      <w:r w:rsidR="00C752E5" w:rsidRPr="004C0D83">
        <w:rPr>
          <w:rFonts w:ascii="Arial" w:hAnsi="Arial" w:cs="Arial"/>
          <w:sz w:val="23"/>
          <w:szCs w:val="23"/>
        </w:rPr>
        <w:t>como a continuación se detalla</w:t>
      </w:r>
      <w:r w:rsidRPr="004C0D83">
        <w:rPr>
          <w:rFonts w:ascii="Arial" w:hAnsi="Arial" w:cs="Arial"/>
          <w:sz w:val="23"/>
          <w:szCs w:val="23"/>
        </w:rPr>
        <w:t>:</w:t>
      </w:r>
    </w:p>
    <w:p w:rsidR="004C0D83" w:rsidRDefault="004C0D83" w:rsidP="00030690">
      <w:pPr>
        <w:rPr>
          <w:rFonts w:ascii="Arial" w:hAnsi="Arial" w:cs="Arial"/>
          <w:sz w:val="23"/>
          <w:szCs w:val="23"/>
        </w:rPr>
      </w:pPr>
    </w:p>
    <w:p w:rsidR="004C0D83" w:rsidRDefault="004C0D83" w:rsidP="00030690">
      <w:pPr>
        <w:rPr>
          <w:rFonts w:ascii="Arial" w:hAnsi="Arial" w:cs="Arial"/>
          <w:sz w:val="23"/>
          <w:szCs w:val="23"/>
        </w:rPr>
      </w:pPr>
    </w:p>
    <w:p w:rsidR="004C0D83" w:rsidRPr="004C0D83" w:rsidRDefault="004C0D83" w:rsidP="00030690">
      <w:pPr>
        <w:rPr>
          <w:rFonts w:ascii="Arial" w:hAnsi="Arial" w:cs="Arial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71"/>
        <w:gridCol w:w="2517"/>
        <w:gridCol w:w="2549"/>
      </w:tblGrid>
      <w:tr w:rsidR="00876A77" w:rsidRPr="004C0D83" w:rsidTr="00F05EA7">
        <w:tc>
          <w:tcPr>
            <w:tcW w:w="3681" w:type="dxa"/>
            <w:shd w:val="clear" w:color="auto" w:fill="993366"/>
            <w:vAlign w:val="center"/>
          </w:tcPr>
          <w:p w:rsidR="00876A77" w:rsidRPr="004C0D83" w:rsidRDefault="00876A77" w:rsidP="00F05EA7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4"/>
              </w:rPr>
            </w:pPr>
            <w:r w:rsidRPr="004C0D83">
              <w:rPr>
                <w:rFonts w:ascii="Arial" w:hAnsi="Arial" w:cs="Arial"/>
                <w:b/>
                <w:color w:val="FFFFFF" w:themeColor="background1"/>
                <w:sz w:val="20"/>
                <w:szCs w:val="24"/>
              </w:rPr>
              <w:t>Nombre</w:t>
            </w:r>
          </w:p>
        </w:tc>
        <w:tc>
          <w:tcPr>
            <w:tcW w:w="2551" w:type="dxa"/>
            <w:shd w:val="clear" w:color="auto" w:fill="993366"/>
            <w:vAlign w:val="center"/>
          </w:tcPr>
          <w:p w:rsidR="00876A77" w:rsidRPr="004C0D83" w:rsidRDefault="00876A77" w:rsidP="00F05EA7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4"/>
              </w:rPr>
            </w:pPr>
            <w:r w:rsidRPr="004C0D83">
              <w:rPr>
                <w:rFonts w:ascii="Arial" w:hAnsi="Arial" w:cs="Arial"/>
                <w:b/>
                <w:color w:val="FFFFFF" w:themeColor="background1"/>
                <w:sz w:val="20"/>
                <w:szCs w:val="24"/>
              </w:rPr>
              <w:t>Cargo/Categoría</w:t>
            </w:r>
          </w:p>
        </w:tc>
        <w:tc>
          <w:tcPr>
            <w:tcW w:w="2596" w:type="dxa"/>
            <w:shd w:val="clear" w:color="auto" w:fill="993366"/>
            <w:vAlign w:val="center"/>
          </w:tcPr>
          <w:p w:rsidR="00876A77" w:rsidRPr="004C0D83" w:rsidRDefault="00876A77" w:rsidP="00F05EA7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4"/>
              </w:rPr>
            </w:pPr>
            <w:r w:rsidRPr="004C0D83">
              <w:rPr>
                <w:rFonts w:ascii="Arial" w:hAnsi="Arial" w:cs="Arial"/>
                <w:b/>
                <w:color w:val="FFFFFF" w:themeColor="background1"/>
                <w:sz w:val="20"/>
                <w:szCs w:val="24"/>
              </w:rPr>
              <w:t>Adscripción</w:t>
            </w:r>
          </w:p>
        </w:tc>
      </w:tr>
      <w:tr w:rsidR="00876A77" w:rsidRPr="004C0D83" w:rsidTr="00F05EA7">
        <w:tc>
          <w:tcPr>
            <w:tcW w:w="3681" w:type="dxa"/>
            <w:vAlign w:val="center"/>
          </w:tcPr>
          <w:p w:rsidR="00876A77" w:rsidRPr="004C0D83" w:rsidRDefault="00876A77" w:rsidP="00F05EA7">
            <w:pPr>
              <w:spacing w:before="40" w:after="40" w:line="276" w:lineRule="auto"/>
              <w:rPr>
                <w:rFonts w:ascii="Arial" w:hAnsi="Arial" w:cs="Arial"/>
                <w:sz w:val="20"/>
                <w:szCs w:val="24"/>
              </w:rPr>
            </w:pPr>
            <w:r w:rsidRPr="004C0D83">
              <w:rPr>
                <w:rFonts w:ascii="Arial" w:hAnsi="Arial" w:cs="Arial"/>
                <w:sz w:val="20"/>
                <w:szCs w:val="24"/>
              </w:rPr>
              <w:t>Tilo Gómez Barahona</w:t>
            </w:r>
          </w:p>
        </w:tc>
        <w:tc>
          <w:tcPr>
            <w:tcW w:w="2551" w:type="dxa"/>
            <w:vAlign w:val="center"/>
          </w:tcPr>
          <w:p w:rsidR="00876A77" w:rsidRPr="004C0D83" w:rsidRDefault="00876A77" w:rsidP="00F05EA7">
            <w:pPr>
              <w:spacing w:before="40" w:after="40" w:line="276" w:lineRule="auto"/>
              <w:rPr>
                <w:rFonts w:ascii="Arial" w:hAnsi="Arial" w:cs="Arial"/>
                <w:sz w:val="20"/>
                <w:szCs w:val="24"/>
              </w:rPr>
            </w:pPr>
            <w:r w:rsidRPr="004C0D83">
              <w:rPr>
                <w:rFonts w:ascii="Arial" w:hAnsi="Arial" w:cs="Arial"/>
                <w:sz w:val="20"/>
                <w:szCs w:val="24"/>
              </w:rPr>
              <w:t>Subdirector de Administración</w:t>
            </w:r>
          </w:p>
        </w:tc>
        <w:tc>
          <w:tcPr>
            <w:tcW w:w="2596" w:type="dxa"/>
            <w:vMerge w:val="restart"/>
            <w:vAlign w:val="center"/>
          </w:tcPr>
          <w:p w:rsidR="00876A77" w:rsidRPr="004C0D83" w:rsidRDefault="00876A77" w:rsidP="00F05EA7">
            <w:pPr>
              <w:spacing w:before="40" w:after="40" w:line="276" w:lineRule="auto"/>
              <w:rPr>
                <w:rFonts w:ascii="Arial" w:hAnsi="Arial" w:cs="Arial"/>
                <w:sz w:val="20"/>
                <w:szCs w:val="24"/>
              </w:rPr>
            </w:pPr>
            <w:r w:rsidRPr="004C0D83">
              <w:rPr>
                <w:rFonts w:ascii="Arial" w:hAnsi="Arial" w:cs="Arial"/>
                <w:sz w:val="20"/>
                <w:szCs w:val="24"/>
              </w:rPr>
              <w:t>Dirección de Administración</w:t>
            </w:r>
          </w:p>
        </w:tc>
      </w:tr>
      <w:tr w:rsidR="00876A77" w:rsidRPr="004C0D83" w:rsidTr="00F05EA7">
        <w:tc>
          <w:tcPr>
            <w:tcW w:w="3681" w:type="dxa"/>
            <w:vAlign w:val="center"/>
          </w:tcPr>
          <w:p w:rsidR="00876A77" w:rsidRPr="004C0D83" w:rsidRDefault="00876A77" w:rsidP="00F05EA7">
            <w:pPr>
              <w:spacing w:before="40" w:after="40" w:line="276" w:lineRule="auto"/>
              <w:rPr>
                <w:rFonts w:ascii="Arial" w:hAnsi="Arial" w:cs="Arial"/>
                <w:sz w:val="20"/>
                <w:szCs w:val="24"/>
              </w:rPr>
            </w:pPr>
            <w:r w:rsidRPr="004C0D83">
              <w:rPr>
                <w:rFonts w:ascii="Arial" w:hAnsi="Arial" w:cs="Arial"/>
                <w:sz w:val="20"/>
                <w:szCs w:val="24"/>
              </w:rPr>
              <w:t>Ana Isabel García Garrocho</w:t>
            </w:r>
          </w:p>
        </w:tc>
        <w:tc>
          <w:tcPr>
            <w:tcW w:w="2551" w:type="dxa"/>
            <w:vAlign w:val="center"/>
          </w:tcPr>
          <w:p w:rsidR="00876A77" w:rsidRPr="004C0D83" w:rsidRDefault="00876A77" w:rsidP="00F05EA7">
            <w:pPr>
              <w:spacing w:before="40" w:after="40" w:line="276" w:lineRule="auto"/>
              <w:rPr>
                <w:rFonts w:ascii="Arial" w:hAnsi="Arial" w:cs="Arial"/>
                <w:sz w:val="20"/>
                <w:szCs w:val="24"/>
              </w:rPr>
            </w:pPr>
            <w:r w:rsidRPr="004C0D83">
              <w:rPr>
                <w:rFonts w:ascii="Arial" w:hAnsi="Arial" w:cs="Arial"/>
                <w:sz w:val="20"/>
                <w:szCs w:val="24"/>
              </w:rPr>
              <w:t>Coordinador</w:t>
            </w:r>
            <w:r w:rsidR="00F53BB1">
              <w:rPr>
                <w:rFonts w:ascii="Arial" w:hAnsi="Arial" w:cs="Arial"/>
                <w:sz w:val="20"/>
                <w:szCs w:val="24"/>
              </w:rPr>
              <w:t>a</w:t>
            </w:r>
            <w:r w:rsidRPr="004C0D83">
              <w:rPr>
                <w:rFonts w:ascii="Arial" w:hAnsi="Arial" w:cs="Arial"/>
                <w:sz w:val="20"/>
                <w:szCs w:val="24"/>
              </w:rPr>
              <w:t xml:space="preserve"> de Almacén</w:t>
            </w:r>
          </w:p>
        </w:tc>
        <w:tc>
          <w:tcPr>
            <w:tcW w:w="2596" w:type="dxa"/>
            <w:vMerge/>
            <w:vAlign w:val="center"/>
          </w:tcPr>
          <w:p w:rsidR="00876A77" w:rsidRPr="004C0D83" w:rsidRDefault="00876A77" w:rsidP="00F05EA7">
            <w:pPr>
              <w:spacing w:before="40" w:after="40" w:line="276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76A77" w:rsidRPr="004C0D83" w:rsidTr="00F05EA7">
        <w:tc>
          <w:tcPr>
            <w:tcW w:w="3681" w:type="dxa"/>
            <w:vAlign w:val="center"/>
          </w:tcPr>
          <w:p w:rsidR="00876A77" w:rsidRPr="004C0D83" w:rsidRDefault="00876A77" w:rsidP="00F05EA7">
            <w:pPr>
              <w:spacing w:before="40" w:after="40" w:line="276" w:lineRule="auto"/>
              <w:rPr>
                <w:rFonts w:ascii="Arial" w:hAnsi="Arial" w:cs="Arial"/>
                <w:sz w:val="20"/>
                <w:szCs w:val="24"/>
              </w:rPr>
            </w:pPr>
            <w:r w:rsidRPr="004C0D83">
              <w:rPr>
                <w:rFonts w:ascii="Arial" w:hAnsi="Arial" w:cs="Arial"/>
                <w:sz w:val="20"/>
                <w:szCs w:val="24"/>
              </w:rPr>
              <w:t>Daniela Patricia Magaña Cáceres</w:t>
            </w:r>
          </w:p>
        </w:tc>
        <w:tc>
          <w:tcPr>
            <w:tcW w:w="2551" w:type="dxa"/>
            <w:vAlign w:val="center"/>
          </w:tcPr>
          <w:p w:rsidR="00876A77" w:rsidRPr="004C0D83" w:rsidRDefault="00876A77" w:rsidP="00F05EA7">
            <w:pPr>
              <w:spacing w:before="40" w:after="40" w:line="276" w:lineRule="auto"/>
              <w:rPr>
                <w:rFonts w:ascii="Arial" w:hAnsi="Arial" w:cs="Arial"/>
                <w:sz w:val="20"/>
                <w:szCs w:val="24"/>
              </w:rPr>
            </w:pPr>
            <w:r w:rsidRPr="004C0D83">
              <w:rPr>
                <w:rFonts w:ascii="Arial" w:hAnsi="Arial" w:cs="Arial"/>
                <w:sz w:val="20"/>
                <w:szCs w:val="24"/>
              </w:rPr>
              <w:t>Coordinador</w:t>
            </w:r>
            <w:r w:rsidR="00F53BB1">
              <w:rPr>
                <w:rFonts w:ascii="Arial" w:hAnsi="Arial" w:cs="Arial"/>
                <w:sz w:val="20"/>
                <w:szCs w:val="24"/>
              </w:rPr>
              <w:t>a</w:t>
            </w:r>
            <w:r w:rsidRPr="004C0D83">
              <w:rPr>
                <w:rFonts w:ascii="Arial" w:hAnsi="Arial" w:cs="Arial"/>
                <w:sz w:val="20"/>
                <w:szCs w:val="24"/>
              </w:rPr>
              <w:t xml:space="preserve"> de Recursos Financieros</w:t>
            </w:r>
          </w:p>
        </w:tc>
        <w:tc>
          <w:tcPr>
            <w:tcW w:w="2596" w:type="dxa"/>
            <w:vMerge/>
            <w:vAlign w:val="center"/>
          </w:tcPr>
          <w:p w:rsidR="00876A77" w:rsidRPr="004C0D83" w:rsidRDefault="00876A77" w:rsidP="00F05EA7">
            <w:pPr>
              <w:spacing w:before="40" w:after="40" w:line="276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76A77" w:rsidRPr="004C0D83" w:rsidTr="00F05EA7">
        <w:tc>
          <w:tcPr>
            <w:tcW w:w="3681" w:type="dxa"/>
            <w:vAlign w:val="center"/>
          </w:tcPr>
          <w:p w:rsidR="00876A77" w:rsidRPr="004C0D83" w:rsidRDefault="00876A77" w:rsidP="00F05EA7">
            <w:pPr>
              <w:spacing w:before="40" w:after="40" w:line="276" w:lineRule="auto"/>
              <w:rPr>
                <w:rFonts w:ascii="Arial" w:hAnsi="Arial" w:cs="Arial"/>
                <w:sz w:val="20"/>
                <w:szCs w:val="24"/>
              </w:rPr>
            </w:pPr>
            <w:r w:rsidRPr="004C0D83">
              <w:rPr>
                <w:rFonts w:ascii="Arial" w:hAnsi="Arial" w:cs="Arial"/>
                <w:sz w:val="20"/>
                <w:szCs w:val="24"/>
              </w:rPr>
              <w:t>Silverio Falcón Jiménez</w:t>
            </w:r>
          </w:p>
        </w:tc>
        <w:tc>
          <w:tcPr>
            <w:tcW w:w="2551" w:type="dxa"/>
            <w:vAlign w:val="center"/>
          </w:tcPr>
          <w:p w:rsidR="00876A77" w:rsidRPr="004C0D83" w:rsidRDefault="00876A77" w:rsidP="0060663E">
            <w:pPr>
              <w:spacing w:before="40" w:after="40" w:line="276" w:lineRule="auto"/>
              <w:rPr>
                <w:rFonts w:ascii="Arial" w:hAnsi="Arial" w:cs="Arial"/>
                <w:sz w:val="20"/>
                <w:szCs w:val="24"/>
              </w:rPr>
            </w:pPr>
            <w:r w:rsidRPr="004C0D83">
              <w:rPr>
                <w:rFonts w:ascii="Arial" w:hAnsi="Arial" w:cs="Arial"/>
                <w:sz w:val="20"/>
                <w:szCs w:val="24"/>
              </w:rPr>
              <w:t>Técnico</w:t>
            </w:r>
            <w:r w:rsidR="0060663E" w:rsidRPr="004C0D83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60663E" w:rsidRPr="0060663E">
              <w:rPr>
                <w:rFonts w:ascii="Arial" w:hAnsi="Arial" w:cs="Arial"/>
                <w:sz w:val="20"/>
                <w:szCs w:val="24"/>
              </w:rPr>
              <w:t>Administrativo</w:t>
            </w:r>
          </w:p>
        </w:tc>
        <w:tc>
          <w:tcPr>
            <w:tcW w:w="2596" w:type="dxa"/>
            <w:vMerge/>
            <w:vAlign w:val="center"/>
          </w:tcPr>
          <w:p w:rsidR="00876A77" w:rsidRPr="004C0D83" w:rsidRDefault="00876A77" w:rsidP="00F05EA7">
            <w:pPr>
              <w:spacing w:before="40" w:after="40" w:line="276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76A77" w:rsidRPr="004C0D83" w:rsidTr="00F05EA7">
        <w:tc>
          <w:tcPr>
            <w:tcW w:w="3681" w:type="dxa"/>
            <w:vAlign w:val="center"/>
          </w:tcPr>
          <w:p w:rsidR="00876A77" w:rsidRPr="004C0D83" w:rsidRDefault="00876A77" w:rsidP="00F05EA7">
            <w:pPr>
              <w:spacing w:before="40" w:after="40" w:line="276" w:lineRule="auto"/>
              <w:rPr>
                <w:rFonts w:ascii="Arial" w:hAnsi="Arial" w:cs="Arial"/>
                <w:sz w:val="20"/>
                <w:szCs w:val="24"/>
              </w:rPr>
            </w:pPr>
            <w:r w:rsidRPr="004C0D83">
              <w:rPr>
                <w:rFonts w:ascii="Arial" w:hAnsi="Arial" w:cs="Arial"/>
                <w:sz w:val="20"/>
                <w:szCs w:val="24"/>
              </w:rPr>
              <w:t>Manuela Olvera Maldonado</w:t>
            </w:r>
          </w:p>
        </w:tc>
        <w:tc>
          <w:tcPr>
            <w:tcW w:w="2551" w:type="dxa"/>
            <w:vAlign w:val="center"/>
          </w:tcPr>
          <w:p w:rsidR="00876A77" w:rsidRPr="004C0D83" w:rsidRDefault="00876A77" w:rsidP="00F05EA7">
            <w:pPr>
              <w:spacing w:before="40" w:after="40" w:line="276" w:lineRule="auto"/>
              <w:rPr>
                <w:rFonts w:ascii="Arial" w:hAnsi="Arial" w:cs="Arial"/>
                <w:sz w:val="20"/>
                <w:szCs w:val="24"/>
              </w:rPr>
            </w:pPr>
            <w:r w:rsidRPr="004C0D83">
              <w:rPr>
                <w:rFonts w:ascii="Arial" w:hAnsi="Arial" w:cs="Arial"/>
                <w:sz w:val="20"/>
                <w:szCs w:val="24"/>
              </w:rPr>
              <w:t>Técnico “A”</w:t>
            </w:r>
          </w:p>
        </w:tc>
        <w:tc>
          <w:tcPr>
            <w:tcW w:w="2596" w:type="dxa"/>
            <w:vMerge/>
            <w:vAlign w:val="center"/>
          </w:tcPr>
          <w:p w:rsidR="00876A77" w:rsidRPr="004C0D83" w:rsidRDefault="00876A77" w:rsidP="00F05EA7">
            <w:pPr>
              <w:spacing w:before="40" w:after="40" w:line="276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F210C0" w:rsidRPr="004C0D83" w:rsidRDefault="00F210C0" w:rsidP="00F210C0">
      <w:pPr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 xml:space="preserve">En ese contexto, este órgano electoral, de conformidad con el artículo 16 fracción VI del Reglamento Interior del Instituto Electoral y de Participación Ciudadana de </w:t>
      </w:r>
      <w:bookmarkStart w:id="0" w:name="_GoBack"/>
      <w:bookmarkEnd w:id="0"/>
      <w:r w:rsidRPr="004C0D83">
        <w:rPr>
          <w:rFonts w:ascii="Arial" w:hAnsi="Arial" w:cs="Arial"/>
          <w:sz w:val="23"/>
          <w:szCs w:val="23"/>
        </w:rPr>
        <w:t>Tabasco designa a</w:t>
      </w:r>
      <w:r w:rsidR="00293818" w:rsidRPr="004C0D83">
        <w:rPr>
          <w:rFonts w:ascii="Arial" w:hAnsi="Arial" w:cs="Arial"/>
          <w:sz w:val="23"/>
          <w:szCs w:val="23"/>
        </w:rPr>
        <w:t xml:space="preserve"> las y los </w:t>
      </w:r>
      <w:r w:rsidRPr="004C0D83">
        <w:rPr>
          <w:rFonts w:ascii="Arial" w:hAnsi="Arial" w:cs="Arial"/>
          <w:sz w:val="23"/>
          <w:szCs w:val="23"/>
        </w:rPr>
        <w:t>ciudadano</w:t>
      </w:r>
      <w:r w:rsidR="00293818" w:rsidRPr="004C0D83">
        <w:rPr>
          <w:rFonts w:ascii="Arial" w:hAnsi="Arial" w:cs="Arial"/>
          <w:sz w:val="23"/>
          <w:szCs w:val="23"/>
        </w:rPr>
        <w:t>s</w:t>
      </w:r>
      <w:r w:rsidRPr="004C0D83">
        <w:rPr>
          <w:rFonts w:ascii="Arial" w:hAnsi="Arial" w:cs="Arial"/>
          <w:sz w:val="23"/>
          <w:szCs w:val="23"/>
        </w:rPr>
        <w:t xml:space="preserve"> </w:t>
      </w:r>
      <w:r w:rsidR="00293818" w:rsidRPr="004C0D83">
        <w:rPr>
          <w:rFonts w:ascii="Arial" w:hAnsi="Arial" w:cs="Arial"/>
          <w:sz w:val="23"/>
          <w:szCs w:val="23"/>
        </w:rPr>
        <w:t xml:space="preserve">mencionados con las categorías descritas </w:t>
      </w:r>
      <w:r w:rsidRPr="004C0D83">
        <w:rPr>
          <w:rFonts w:ascii="Arial" w:hAnsi="Arial" w:cs="Arial"/>
          <w:sz w:val="23"/>
          <w:szCs w:val="23"/>
        </w:rPr>
        <w:t>por tiempo indeterminado con efectos a partir del 1 de enero de 2025.</w:t>
      </w:r>
    </w:p>
    <w:p w:rsidR="00994D55" w:rsidRDefault="0063799F" w:rsidP="00030690">
      <w:pPr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>Sobre la base de las consideraciones señaladas, esta Junta Ejecutiva emite el siguiente:</w:t>
      </w:r>
    </w:p>
    <w:p w:rsidR="004C0D83" w:rsidRPr="004C0D83" w:rsidRDefault="004C0D83" w:rsidP="00030690">
      <w:pPr>
        <w:rPr>
          <w:rFonts w:ascii="Arial" w:hAnsi="Arial" w:cs="Arial"/>
          <w:sz w:val="23"/>
          <w:szCs w:val="23"/>
        </w:rPr>
      </w:pPr>
    </w:p>
    <w:p w:rsidR="0063799F" w:rsidRDefault="0063799F" w:rsidP="0063799F">
      <w:pPr>
        <w:pStyle w:val="Ttulo1"/>
        <w:rPr>
          <w:rFonts w:ascii="Arial" w:hAnsi="Arial" w:cs="Arial"/>
          <w:sz w:val="24"/>
          <w:szCs w:val="24"/>
        </w:rPr>
      </w:pPr>
      <w:r w:rsidRPr="004C0D83">
        <w:rPr>
          <w:rFonts w:ascii="Arial" w:hAnsi="Arial" w:cs="Arial"/>
          <w:sz w:val="24"/>
          <w:szCs w:val="24"/>
        </w:rPr>
        <w:t>Acuerdo</w:t>
      </w:r>
    </w:p>
    <w:p w:rsidR="00782D5D" w:rsidRPr="004C0D83" w:rsidRDefault="0063799F" w:rsidP="00782D5D">
      <w:pPr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b/>
          <w:sz w:val="23"/>
          <w:szCs w:val="23"/>
        </w:rPr>
        <w:t xml:space="preserve">Primero. </w:t>
      </w:r>
      <w:r w:rsidR="00CA16D6" w:rsidRPr="004C0D83">
        <w:rPr>
          <w:rFonts w:ascii="Arial" w:hAnsi="Arial" w:cs="Arial"/>
          <w:sz w:val="23"/>
          <w:szCs w:val="23"/>
        </w:rPr>
        <w:t xml:space="preserve">En términos del </w:t>
      </w:r>
      <w:r w:rsidRPr="004C0D83">
        <w:rPr>
          <w:rFonts w:ascii="Arial" w:hAnsi="Arial" w:cs="Arial"/>
          <w:sz w:val="23"/>
          <w:szCs w:val="23"/>
        </w:rPr>
        <w:t>artículo 16 fracción VI del Reglamento Interior del Instituto Electoral y de Participación Ciudadana de Tabasco se designa</w:t>
      </w:r>
      <w:r w:rsidR="00782D5D" w:rsidRPr="004C0D83">
        <w:rPr>
          <w:rFonts w:ascii="Arial" w:hAnsi="Arial" w:cs="Arial"/>
          <w:sz w:val="23"/>
          <w:szCs w:val="23"/>
        </w:rPr>
        <w:t>n</w:t>
      </w:r>
      <w:r w:rsidR="002F5523" w:rsidRPr="004C0D83">
        <w:rPr>
          <w:rFonts w:ascii="Arial" w:hAnsi="Arial" w:cs="Arial"/>
          <w:sz w:val="23"/>
          <w:szCs w:val="23"/>
        </w:rPr>
        <w:t xml:space="preserve"> a las siguientes personas</w:t>
      </w:r>
      <w:r w:rsidR="00782D5D" w:rsidRPr="004C0D83">
        <w:rPr>
          <w:rFonts w:ascii="Arial" w:hAnsi="Arial" w:cs="Arial"/>
          <w:sz w:val="23"/>
          <w:szCs w:val="23"/>
        </w:rPr>
        <w:t xml:space="preserve"> como </w:t>
      </w:r>
      <w:r w:rsidR="00843220" w:rsidRPr="004C0D83">
        <w:rPr>
          <w:rFonts w:ascii="Arial" w:hAnsi="Arial" w:cs="Arial"/>
          <w:sz w:val="23"/>
          <w:szCs w:val="23"/>
        </w:rPr>
        <w:t xml:space="preserve">servidoras y </w:t>
      </w:r>
      <w:r w:rsidR="00782D5D" w:rsidRPr="004C0D83">
        <w:rPr>
          <w:rFonts w:ascii="Arial" w:hAnsi="Arial" w:cs="Arial"/>
          <w:sz w:val="23"/>
          <w:szCs w:val="23"/>
        </w:rPr>
        <w:t xml:space="preserve">servidores públicos del propio Instituto </w:t>
      </w:r>
      <w:r w:rsidR="00995DFE" w:rsidRPr="004C0D83">
        <w:rPr>
          <w:rFonts w:ascii="Arial" w:hAnsi="Arial" w:cs="Arial"/>
          <w:sz w:val="23"/>
          <w:szCs w:val="23"/>
        </w:rPr>
        <w:t xml:space="preserve">con las categorías por tiempo indeterminado con efectos a partir del 1 de enero de 2025 </w:t>
      </w:r>
      <w:r w:rsidR="00CA16D6" w:rsidRPr="004C0D83">
        <w:rPr>
          <w:rFonts w:ascii="Arial" w:hAnsi="Arial" w:cs="Arial"/>
          <w:sz w:val="23"/>
          <w:szCs w:val="23"/>
        </w:rPr>
        <w:t>de conformidad con lo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72"/>
        <w:gridCol w:w="2511"/>
        <w:gridCol w:w="2554"/>
      </w:tblGrid>
      <w:tr w:rsidR="00980253" w:rsidRPr="004C0D83" w:rsidTr="00F05EA7">
        <w:tc>
          <w:tcPr>
            <w:tcW w:w="3681" w:type="dxa"/>
            <w:shd w:val="clear" w:color="auto" w:fill="993366"/>
            <w:vAlign w:val="center"/>
          </w:tcPr>
          <w:p w:rsidR="00980253" w:rsidRPr="004C0D83" w:rsidRDefault="00980253" w:rsidP="00F05EA7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4"/>
              </w:rPr>
            </w:pPr>
            <w:r w:rsidRPr="004C0D83">
              <w:rPr>
                <w:rFonts w:ascii="Arial" w:hAnsi="Arial" w:cs="Arial"/>
                <w:b/>
                <w:color w:val="FFFFFF" w:themeColor="background1"/>
                <w:sz w:val="18"/>
                <w:szCs w:val="24"/>
              </w:rPr>
              <w:t>Nombre</w:t>
            </w:r>
          </w:p>
        </w:tc>
        <w:tc>
          <w:tcPr>
            <w:tcW w:w="2551" w:type="dxa"/>
            <w:shd w:val="clear" w:color="auto" w:fill="993366"/>
            <w:vAlign w:val="center"/>
          </w:tcPr>
          <w:p w:rsidR="00980253" w:rsidRPr="004C0D83" w:rsidRDefault="00980253" w:rsidP="00F05EA7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4"/>
              </w:rPr>
            </w:pPr>
            <w:r w:rsidRPr="004C0D83">
              <w:rPr>
                <w:rFonts w:ascii="Arial" w:hAnsi="Arial" w:cs="Arial"/>
                <w:b/>
                <w:color w:val="FFFFFF" w:themeColor="background1"/>
                <w:sz w:val="18"/>
                <w:szCs w:val="24"/>
              </w:rPr>
              <w:t>Cargo/Categoría</w:t>
            </w:r>
          </w:p>
        </w:tc>
        <w:tc>
          <w:tcPr>
            <w:tcW w:w="2596" w:type="dxa"/>
            <w:shd w:val="clear" w:color="auto" w:fill="993366"/>
            <w:vAlign w:val="center"/>
          </w:tcPr>
          <w:p w:rsidR="00980253" w:rsidRPr="004C0D83" w:rsidRDefault="00980253" w:rsidP="00F05EA7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4"/>
              </w:rPr>
            </w:pPr>
            <w:r w:rsidRPr="004C0D83">
              <w:rPr>
                <w:rFonts w:ascii="Arial" w:hAnsi="Arial" w:cs="Arial"/>
                <w:b/>
                <w:color w:val="FFFFFF" w:themeColor="background1"/>
                <w:sz w:val="18"/>
                <w:szCs w:val="24"/>
              </w:rPr>
              <w:t>Adscripción</w:t>
            </w:r>
          </w:p>
        </w:tc>
      </w:tr>
      <w:tr w:rsidR="00980253" w:rsidRPr="004C0D83" w:rsidTr="00F05EA7">
        <w:tc>
          <w:tcPr>
            <w:tcW w:w="3681" w:type="dxa"/>
            <w:vAlign w:val="center"/>
          </w:tcPr>
          <w:p w:rsidR="00980253" w:rsidRPr="004C0D83" w:rsidRDefault="00980253" w:rsidP="00F05EA7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C0D83">
              <w:rPr>
                <w:rFonts w:ascii="Arial" w:hAnsi="Arial" w:cs="Arial"/>
                <w:b/>
                <w:sz w:val="20"/>
                <w:szCs w:val="24"/>
              </w:rPr>
              <w:t>Tilo Gómez Barahona</w:t>
            </w:r>
          </w:p>
        </w:tc>
        <w:tc>
          <w:tcPr>
            <w:tcW w:w="2551" w:type="dxa"/>
            <w:vAlign w:val="center"/>
          </w:tcPr>
          <w:p w:rsidR="00980253" w:rsidRPr="004C0D83" w:rsidRDefault="00980253" w:rsidP="00F05EA7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C0D83">
              <w:rPr>
                <w:rFonts w:ascii="Arial" w:hAnsi="Arial" w:cs="Arial"/>
                <w:b/>
                <w:sz w:val="20"/>
                <w:szCs w:val="24"/>
              </w:rPr>
              <w:t>Subdirector de Administración</w:t>
            </w:r>
          </w:p>
        </w:tc>
        <w:tc>
          <w:tcPr>
            <w:tcW w:w="2596" w:type="dxa"/>
            <w:vMerge w:val="restart"/>
            <w:vAlign w:val="center"/>
          </w:tcPr>
          <w:p w:rsidR="00980253" w:rsidRPr="004C0D83" w:rsidRDefault="00980253" w:rsidP="00F05EA7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C0D83">
              <w:rPr>
                <w:rFonts w:ascii="Arial" w:hAnsi="Arial" w:cs="Arial"/>
                <w:b/>
                <w:sz w:val="20"/>
                <w:szCs w:val="24"/>
              </w:rPr>
              <w:t>Dirección de Administración</w:t>
            </w:r>
          </w:p>
        </w:tc>
      </w:tr>
      <w:tr w:rsidR="00980253" w:rsidRPr="004C0D83" w:rsidTr="00F05EA7">
        <w:tc>
          <w:tcPr>
            <w:tcW w:w="3681" w:type="dxa"/>
            <w:vAlign w:val="center"/>
          </w:tcPr>
          <w:p w:rsidR="00980253" w:rsidRPr="004C0D83" w:rsidRDefault="00980253" w:rsidP="00F05EA7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C0D83">
              <w:rPr>
                <w:rFonts w:ascii="Arial" w:hAnsi="Arial" w:cs="Arial"/>
                <w:b/>
                <w:sz w:val="20"/>
                <w:szCs w:val="24"/>
              </w:rPr>
              <w:t>Daniela Patricia Magaña Cáceres</w:t>
            </w:r>
          </w:p>
        </w:tc>
        <w:tc>
          <w:tcPr>
            <w:tcW w:w="2551" w:type="dxa"/>
            <w:vAlign w:val="center"/>
          </w:tcPr>
          <w:p w:rsidR="00980253" w:rsidRPr="004C0D83" w:rsidRDefault="00980253" w:rsidP="00F05EA7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C0D83">
              <w:rPr>
                <w:rFonts w:ascii="Arial" w:hAnsi="Arial" w:cs="Arial"/>
                <w:b/>
                <w:sz w:val="20"/>
                <w:szCs w:val="24"/>
              </w:rPr>
              <w:t>Coordinador</w:t>
            </w:r>
            <w:r w:rsidR="00F53BB1">
              <w:rPr>
                <w:rFonts w:ascii="Arial" w:hAnsi="Arial" w:cs="Arial"/>
                <w:b/>
                <w:sz w:val="20"/>
                <w:szCs w:val="24"/>
              </w:rPr>
              <w:t>a</w:t>
            </w:r>
            <w:r w:rsidRPr="004C0D83">
              <w:rPr>
                <w:rFonts w:ascii="Arial" w:hAnsi="Arial" w:cs="Arial"/>
                <w:b/>
                <w:sz w:val="20"/>
                <w:szCs w:val="24"/>
              </w:rPr>
              <w:t xml:space="preserve"> de Recursos Financieros</w:t>
            </w:r>
          </w:p>
        </w:tc>
        <w:tc>
          <w:tcPr>
            <w:tcW w:w="2596" w:type="dxa"/>
            <w:vMerge/>
            <w:vAlign w:val="center"/>
          </w:tcPr>
          <w:p w:rsidR="00980253" w:rsidRPr="004C0D83" w:rsidRDefault="00980253" w:rsidP="00F05EA7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980253" w:rsidRPr="004C0D83" w:rsidTr="00F05EA7">
        <w:tc>
          <w:tcPr>
            <w:tcW w:w="3681" w:type="dxa"/>
            <w:vAlign w:val="center"/>
          </w:tcPr>
          <w:p w:rsidR="00980253" w:rsidRPr="004C0D83" w:rsidRDefault="00980253" w:rsidP="00980253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C0D83">
              <w:rPr>
                <w:rFonts w:ascii="Arial" w:hAnsi="Arial" w:cs="Arial"/>
                <w:b/>
                <w:sz w:val="20"/>
                <w:szCs w:val="24"/>
              </w:rPr>
              <w:lastRenderedPageBreak/>
              <w:t>Armando Ramos González</w:t>
            </w:r>
          </w:p>
        </w:tc>
        <w:tc>
          <w:tcPr>
            <w:tcW w:w="2551" w:type="dxa"/>
            <w:vAlign w:val="center"/>
          </w:tcPr>
          <w:p w:rsidR="00980253" w:rsidRPr="004C0D83" w:rsidRDefault="00980253" w:rsidP="00980253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C0D83">
              <w:rPr>
                <w:rFonts w:ascii="Arial" w:hAnsi="Arial" w:cs="Arial"/>
                <w:b/>
                <w:sz w:val="20"/>
                <w:szCs w:val="24"/>
              </w:rPr>
              <w:t>Coordinador de Servicios Generales</w:t>
            </w:r>
          </w:p>
        </w:tc>
        <w:tc>
          <w:tcPr>
            <w:tcW w:w="2596" w:type="dxa"/>
            <w:vMerge/>
            <w:vAlign w:val="center"/>
          </w:tcPr>
          <w:p w:rsidR="00980253" w:rsidRPr="004C0D83" w:rsidRDefault="00980253" w:rsidP="00980253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980253" w:rsidRPr="004C0D83" w:rsidTr="00F05EA7">
        <w:tc>
          <w:tcPr>
            <w:tcW w:w="3681" w:type="dxa"/>
            <w:vAlign w:val="center"/>
          </w:tcPr>
          <w:p w:rsidR="00980253" w:rsidRPr="004C0D83" w:rsidRDefault="00980253" w:rsidP="00980253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C0D83">
              <w:rPr>
                <w:rFonts w:ascii="Arial" w:hAnsi="Arial" w:cs="Arial"/>
                <w:b/>
                <w:sz w:val="20"/>
                <w:szCs w:val="24"/>
              </w:rPr>
              <w:lastRenderedPageBreak/>
              <w:t>Ana Isabel García Garrocho</w:t>
            </w:r>
          </w:p>
        </w:tc>
        <w:tc>
          <w:tcPr>
            <w:tcW w:w="2551" w:type="dxa"/>
            <w:vAlign w:val="center"/>
          </w:tcPr>
          <w:p w:rsidR="00980253" w:rsidRPr="004C0D83" w:rsidRDefault="00980253" w:rsidP="00980253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C0D83">
              <w:rPr>
                <w:rFonts w:ascii="Arial" w:hAnsi="Arial" w:cs="Arial"/>
                <w:b/>
                <w:sz w:val="20"/>
                <w:szCs w:val="24"/>
              </w:rPr>
              <w:t>Coordinador</w:t>
            </w:r>
            <w:r w:rsidR="00F53BB1">
              <w:rPr>
                <w:rFonts w:ascii="Arial" w:hAnsi="Arial" w:cs="Arial"/>
                <w:b/>
                <w:sz w:val="20"/>
                <w:szCs w:val="24"/>
              </w:rPr>
              <w:t>a</w:t>
            </w:r>
            <w:r w:rsidRPr="004C0D83">
              <w:rPr>
                <w:rFonts w:ascii="Arial" w:hAnsi="Arial" w:cs="Arial"/>
                <w:b/>
                <w:sz w:val="20"/>
                <w:szCs w:val="24"/>
              </w:rPr>
              <w:t xml:space="preserve"> de Almacén</w:t>
            </w:r>
          </w:p>
        </w:tc>
        <w:tc>
          <w:tcPr>
            <w:tcW w:w="2596" w:type="dxa"/>
            <w:vMerge/>
            <w:vAlign w:val="center"/>
          </w:tcPr>
          <w:p w:rsidR="00980253" w:rsidRPr="004C0D83" w:rsidRDefault="00980253" w:rsidP="00980253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980253" w:rsidRPr="004C0D83" w:rsidTr="00F05EA7">
        <w:tc>
          <w:tcPr>
            <w:tcW w:w="3681" w:type="dxa"/>
            <w:vAlign w:val="center"/>
          </w:tcPr>
          <w:p w:rsidR="00980253" w:rsidRPr="004C0D83" w:rsidRDefault="00980253" w:rsidP="00980253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C0D83">
              <w:rPr>
                <w:rFonts w:ascii="Arial" w:hAnsi="Arial" w:cs="Arial"/>
                <w:b/>
                <w:sz w:val="20"/>
                <w:szCs w:val="24"/>
              </w:rPr>
              <w:t>Silverio Falcón Jiménez</w:t>
            </w:r>
          </w:p>
        </w:tc>
        <w:tc>
          <w:tcPr>
            <w:tcW w:w="2551" w:type="dxa"/>
            <w:vAlign w:val="center"/>
          </w:tcPr>
          <w:p w:rsidR="00980253" w:rsidRPr="004C0D83" w:rsidRDefault="00980253" w:rsidP="00980253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C0D83">
              <w:rPr>
                <w:rFonts w:ascii="Arial" w:hAnsi="Arial" w:cs="Arial"/>
                <w:b/>
                <w:sz w:val="20"/>
                <w:szCs w:val="24"/>
              </w:rPr>
              <w:t>Técnico</w:t>
            </w:r>
            <w:r w:rsidR="0060663E">
              <w:rPr>
                <w:rFonts w:ascii="Arial" w:hAnsi="Arial" w:cs="Arial"/>
                <w:b/>
                <w:sz w:val="20"/>
                <w:szCs w:val="24"/>
              </w:rPr>
              <w:t xml:space="preserve"> Administrativo</w:t>
            </w:r>
          </w:p>
        </w:tc>
        <w:tc>
          <w:tcPr>
            <w:tcW w:w="2596" w:type="dxa"/>
            <w:vMerge/>
            <w:vAlign w:val="center"/>
          </w:tcPr>
          <w:p w:rsidR="00980253" w:rsidRPr="004C0D83" w:rsidRDefault="00980253" w:rsidP="00980253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980253" w:rsidRPr="004C0D83" w:rsidTr="00F05EA7">
        <w:tc>
          <w:tcPr>
            <w:tcW w:w="3681" w:type="dxa"/>
            <w:vAlign w:val="center"/>
          </w:tcPr>
          <w:p w:rsidR="00980253" w:rsidRPr="004C0D83" w:rsidRDefault="00980253" w:rsidP="00980253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C0D83">
              <w:rPr>
                <w:rFonts w:ascii="Arial" w:hAnsi="Arial" w:cs="Arial"/>
                <w:b/>
                <w:sz w:val="20"/>
                <w:szCs w:val="24"/>
              </w:rPr>
              <w:t>Fabiola Del Carmen Damas Mendoza</w:t>
            </w:r>
          </w:p>
        </w:tc>
        <w:tc>
          <w:tcPr>
            <w:tcW w:w="2551" w:type="dxa"/>
            <w:vAlign w:val="center"/>
          </w:tcPr>
          <w:p w:rsidR="00980253" w:rsidRPr="004C0D83" w:rsidRDefault="00980253" w:rsidP="00980253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C0D83">
              <w:rPr>
                <w:rFonts w:ascii="Arial" w:hAnsi="Arial" w:cs="Arial"/>
                <w:b/>
                <w:sz w:val="20"/>
                <w:szCs w:val="24"/>
              </w:rPr>
              <w:t>Técnico</w:t>
            </w:r>
          </w:p>
        </w:tc>
        <w:tc>
          <w:tcPr>
            <w:tcW w:w="2596" w:type="dxa"/>
            <w:vMerge/>
            <w:vAlign w:val="center"/>
          </w:tcPr>
          <w:p w:rsidR="00980253" w:rsidRPr="004C0D83" w:rsidRDefault="00980253" w:rsidP="00980253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980253" w:rsidRPr="004C0D83" w:rsidTr="00F05EA7">
        <w:tc>
          <w:tcPr>
            <w:tcW w:w="3681" w:type="dxa"/>
            <w:vAlign w:val="center"/>
          </w:tcPr>
          <w:p w:rsidR="00980253" w:rsidRPr="004C0D83" w:rsidRDefault="00980253" w:rsidP="00980253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C0D83">
              <w:rPr>
                <w:rFonts w:ascii="Arial" w:hAnsi="Arial" w:cs="Arial"/>
                <w:b/>
                <w:sz w:val="20"/>
                <w:szCs w:val="24"/>
              </w:rPr>
              <w:t>Manuela Olvera Maldonado</w:t>
            </w:r>
          </w:p>
        </w:tc>
        <w:tc>
          <w:tcPr>
            <w:tcW w:w="2551" w:type="dxa"/>
            <w:vAlign w:val="center"/>
          </w:tcPr>
          <w:p w:rsidR="00980253" w:rsidRPr="004C0D83" w:rsidRDefault="00980253" w:rsidP="00980253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C0D83">
              <w:rPr>
                <w:rFonts w:ascii="Arial" w:hAnsi="Arial" w:cs="Arial"/>
                <w:b/>
                <w:sz w:val="20"/>
                <w:szCs w:val="24"/>
              </w:rPr>
              <w:t>Técnico “A”</w:t>
            </w:r>
          </w:p>
        </w:tc>
        <w:tc>
          <w:tcPr>
            <w:tcW w:w="2596" w:type="dxa"/>
            <w:vMerge/>
            <w:vAlign w:val="center"/>
          </w:tcPr>
          <w:p w:rsidR="00980253" w:rsidRPr="004C0D83" w:rsidRDefault="00980253" w:rsidP="00980253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980253" w:rsidRPr="004C0D83" w:rsidTr="00F05EA7">
        <w:tc>
          <w:tcPr>
            <w:tcW w:w="3681" w:type="dxa"/>
            <w:vAlign w:val="center"/>
          </w:tcPr>
          <w:p w:rsidR="00980253" w:rsidRPr="004C0D83" w:rsidRDefault="00980253" w:rsidP="00980253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C0D83">
              <w:rPr>
                <w:rFonts w:ascii="Arial" w:hAnsi="Arial" w:cs="Arial"/>
                <w:b/>
                <w:sz w:val="20"/>
                <w:szCs w:val="24"/>
              </w:rPr>
              <w:t>Nicolás Pastor González Guzmán</w:t>
            </w:r>
          </w:p>
        </w:tc>
        <w:tc>
          <w:tcPr>
            <w:tcW w:w="2551" w:type="dxa"/>
            <w:vAlign w:val="center"/>
          </w:tcPr>
          <w:p w:rsidR="00980253" w:rsidRPr="004C0D83" w:rsidRDefault="00980253" w:rsidP="00980253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C0D83">
              <w:rPr>
                <w:rFonts w:ascii="Arial" w:hAnsi="Arial" w:cs="Arial"/>
                <w:b/>
                <w:sz w:val="20"/>
                <w:szCs w:val="24"/>
              </w:rPr>
              <w:t>Técnico</w:t>
            </w:r>
          </w:p>
        </w:tc>
        <w:tc>
          <w:tcPr>
            <w:tcW w:w="2596" w:type="dxa"/>
            <w:vMerge w:val="restart"/>
            <w:vAlign w:val="center"/>
          </w:tcPr>
          <w:p w:rsidR="00980253" w:rsidRPr="004C0D83" w:rsidRDefault="00980253" w:rsidP="00980253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C0D83">
              <w:rPr>
                <w:rFonts w:ascii="Arial" w:hAnsi="Arial" w:cs="Arial"/>
                <w:b/>
                <w:sz w:val="20"/>
                <w:szCs w:val="24"/>
              </w:rPr>
              <w:t>Dirección de Organización Electoral y Educación Cívica</w:t>
            </w:r>
          </w:p>
        </w:tc>
      </w:tr>
      <w:tr w:rsidR="00980253" w:rsidRPr="004C0D83" w:rsidTr="00F05EA7">
        <w:tc>
          <w:tcPr>
            <w:tcW w:w="3681" w:type="dxa"/>
            <w:vAlign w:val="center"/>
          </w:tcPr>
          <w:p w:rsidR="00980253" w:rsidRPr="004C0D83" w:rsidRDefault="00980253" w:rsidP="00980253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C0D83">
              <w:rPr>
                <w:rFonts w:ascii="Arial" w:hAnsi="Arial" w:cs="Arial"/>
                <w:b/>
                <w:sz w:val="20"/>
                <w:szCs w:val="24"/>
              </w:rPr>
              <w:t>Javier Landero Reyes</w:t>
            </w:r>
          </w:p>
        </w:tc>
        <w:tc>
          <w:tcPr>
            <w:tcW w:w="2551" w:type="dxa"/>
            <w:vAlign w:val="center"/>
          </w:tcPr>
          <w:p w:rsidR="00980253" w:rsidRPr="004C0D83" w:rsidRDefault="00980253" w:rsidP="00980253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C0D83">
              <w:rPr>
                <w:rFonts w:ascii="Arial" w:hAnsi="Arial" w:cs="Arial"/>
                <w:b/>
                <w:sz w:val="20"/>
                <w:szCs w:val="24"/>
              </w:rPr>
              <w:t>Técnico</w:t>
            </w:r>
          </w:p>
        </w:tc>
        <w:tc>
          <w:tcPr>
            <w:tcW w:w="2596" w:type="dxa"/>
            <w:vMerge/>
            <w:vAlign w:val="center"/>
          </w:tcPr>
          <w:p w:rsidR="00980253" w:rsidRPr="004C0D83" w:rsidRDefault="00980253" w:rsidP="00980253">
            <w:pPr>
              <w:spacing w:before="40" w:after="40" w:line="276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980253" w:rsidRPr="004C0D83" w:rsidRDefault="00980253" w:rsidP="00782D5D">
      <w:pPr>
        <w:rPr>
          <w:rFonts w:ascii="Arial" w:hAnsi="Arial" w:cs="Arial"/>
          <w:szCs w:val="24"/>
        </w:rPr>
      </w:pPr>
    </w:p>
    <w:p w:rsidR="004C0D83" w:rsidRDefault="0063799F" w:rsidP="004C0D83">
      <w:pPr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b/>
          <w:sz w:val="23"/>
          <w:szCs w:val="23"/>
        </w:rPr>
        <w:t xml:space="preserve">Segundo. </w:t>
      </w:r>
      <w:r w:rsidRPr="004C0D83">
        <w:rPr>
          <w:rFonts w:ascii="Arial" w:hAnsi="Arial" w:cs="Arial"/>
          <w:sz w:val="23"/>
          <w:szCs w:val="23"/>
        </w:rPr>
        <w:t xml:space="preserve">Se instruye a la Secretaría Ejecutiva expida el nombramiento correspondiente e instruya los trámites administrativos necesarios para dar cumplimiento al presente acuerdo. </w:t>
      </w:r>
    </w:p>
    <w:p w:rsidR="004C0D83" w:rsidRPr="00423D32" w:rsidRDefault="0063799F" w:rsidP="004C0D83">
      <w:pPr>
        <w:rPr>
          <w:rFonts w:ascii="Arial" w:hAnsi="Arial" w:cs="Arial"/>
          <w:sz w:val="23"/>
          <w:szCs w:val="23"/>
        </w:rPr>
      </w:pPr>
      <w:r w:rsidRPr="004C0D83">
        <w:rPr>
          <w:rFonts w:ascii="Arial" w:hAnsi="Arial" w:cs="Arial"/>
          <w:sz w:val="23"/>
          <w:szCs w:val="23"/>
        </w:rPr>
        <w:t>El presente acuerdo fue aprobado en sesión</w:t>
      </w:r>
      <w:r w:rsidRPr="004C0D83">
        <w:rPr>
          <w:rFonts w:ascii="Arial" w:hAnsi="Arial" w:cs="Arial"/>
        </w:rPr>
        <w:t xml:space="preserve"> </w:t>
      </w:r>
      <w:r w:rsidR="004C0D83" w:rsidRPr="00423D32">
        <w:rPr>
          <w:rFonts w:ascii="Arial" w:hAnsi="Arial" w:cs="Arial"/>
          <w:sz w:val="23"/>
          <w:szCs w:val="23"/>
        </w:rPr>
        <w:t xml:space="preserve">ordinaria efectuada el día </w:t>
      </w:r>
      <w:r w:rsidR="004C0D83">
        <w:rPr>
          <w:rFonts w:ascii="Arial" w:hAnsi="Arial" w:cs="Arial"/>
          <w:sz w:val="23"/>
          <w:szCs w:val="23"/>
        </w:rPr>
        <w:t>trece</w:t>
      </w:r>
      <w:r w:rsidR="004C0D83" w:rsidRPr="00423D32">
        <w:rPr>
          <w:rFonts w:ascii="Arial" w:hAnsi="Arial" w:cs="Arial"/>
          <w:sz w:val="23"/>
          <w:szCs w:val="23"/>
        </w:rPr>
        <w:t xml:space="preserve"> de </w:t>
      </w:r>
      <w:r w:rsidR="004C0D83">
        <w:rPr>
          <w:rFonts w:ascii="Arial" w:hAnsi="Arial" w:cs="Arial"/>
          <w:sz w:val="23"/>
          <w:szCs w:val="23"/>
        </w:rPr>
        <w:t>diciembre</w:t>
      </w:r>
      <w:r w:rsidR="004C0D83" w:rsidRPr="00423D32">
        <w:rPr>
          <w:rFonts w:ascii="Arial" w:hAnsi="Arial" w:cs="Arial"/>
          <w:sz w:val="23"/>
          <w:szCs w:val="23"/>
        </w:rPr>
        <w:t xml:space="preserve"> del año dos mil veinticuatro, por votación </w:t>
      </w:r>
      <w:r w:rsidR="004C0D83">
        <w:rPr>
          <w:rFonts w:ascii="Arial" w:hAnsi="Arial" w:cs="Arial"/>
          <w:sz w:val="23"/>
          <w:szCs w:val="23"/>
        </w:rPr>
        <w:t>unánime</w:t>
      </w:r>
      <w:r w:rsidR="004C0D83" w:rsidRPr="00423D32">
        <w:rPr>
          <w:rFonts w:ascii="Arial" w:hAnsi="Arial" w:cs="Arial"/>
          <w:sz w:val="23"/>
          <w:szCs w:val="23"/>
        </w:rPr>
        <w:t xml:space="preserve"> de la y los integrantes de la Junta Estatal Ejecutiva del Instituto Electoral y de Participación Ciudadana de Tabasco: Lic. Javier García Rodríguez, Director de Administración; Lic. Rigoberto de la O Gallegos, Direc</w:t>
      </w:r>
      <w:r w:rsidR="004C0D83">
        <w:rPr>
          <w:rFonts w:ascii="Arial" w:hAnsi="Arial" w:cs="Arial"/>
          <w:sz w:val="23"/>
          <w:szCs w:val="23"/>
        </w:rPr>
        <w:t>tor</w:t>
      </w:r>
      <w:r w:rsidR="004C0D83" w:rsidRPr="00423D32">
        <w:rPr>
          <w:rFonts w:ascii="Arial" w:hAnsi="Arial" w:cs="Arial"/>
          <w:sz w:val="23"/>
          <w:szCs w:val="23"/>
        </w:rPr>
        <w:t xml:space="preserve"> de Organización Electoral y Educación Cívica, Lic. Jorge Alberto Zavala Frías, Secretario Ejecutivo y Mtra. Elizabeth Nava Gutiérrez, Presidenta de la Junta Estatal Ejecutiva.</w:t>
      </w:r>
    </w:p>
    <w:p w:rsidR="0063799F" w:rsidRPr="004C0D83" w:rsidRDefault="0063799F" w:rsidP="0063799F">
      <w:pPr>
        <w:spacing w:line="281" w:lineRule="auto"/>
        <w:rPr>
          <w:rFonts w:ascii="Arial" w:hAnsi="Arial" w:cs="Arial"/>
        </w:rPr>
      </w:pPr>
    </w:p>
    <w:p w:rsidR="0063799F" w:rsidRPr="004C0D83" w:rsidRDefault="0063799F" w:rsidP="0063799F">
      <w:pPr>
        <w:spacing w:line="281" w:lineRule="auto"/>
        <w:rPr>
          <w:rFonts w:ascii="Arial" w:hAnsi="Arial" w:cs="Arial"/>
        </w:rPr>
      </w:pPr>
    </w:p>
    <w:p w:rsidR="0063799F" w:rsidRPr="004C0D83" w:rsidRDefault="0063799F" w:rsidP="0063799F">
      <w:pPr>
        <w:spacing w:line="281" w:lineRule="auto"/>
        <w:rPr>
          <w:rFonts w:ascii="Arial" w:hAnsi="Arial" w:cs="Arial"/>
        </w:rPr>
      </w:pPr>
    </w:p>
    <w:tbl>
      <w:tblPr>
        <w:tblStyle w:val="Tablaconcuadrcula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3"/>
        <w:gridCol w:w="762"/>
        <w:gridCol w:w="4313"/>
      </w:tblGrid>
      <w:tr w:rsidR="0063799F" w:rsidRPr="004C0D83" w:rsidTr="004C0D83">
        <w:trPr>
          <w:trHeight w:val="885"/>
        </w:trPr>
        <w:tc>
          <w:tcPr>
            <w:tcW w:w="4413" w:type="dxa"/>
          </w:tcPr>
          <w:p w:rsidR="0063799F" w:rsidRPr="004C0D83" w:rsidRDefault="0063799F" w:rsidP="00166A61">
            <w:pPr>
              <w:spacing w:before="0" w:after="0" w:line="281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4C0D83">
              <w:rPr>
                <w:rFonts w:ascii="Arial" w:hAnsi="Arial" w:cs="Arial"/>
                <w:b/>
                <w:sz w:val="22"/>
              </w:rPr>
              <w:t>MTRA. ELIZABETH NAVA GUTIÉRREZ</w:t>
            </w:r>
          </w:p>
          <w:p w:rsidR="0063799F" w:rsidRPr="004C0D83" w:rsidRDefault="0063799F" w:rsidP="00166A61">
            <w:pPr>
              <w:spacing w:before="0" w:after="0" w:line="281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4C0D83">
              <w:rPr>
                <w:rFonts w:ascii="Arial" w:hAnsi="Arial" w:cs="Arial"/>
                <w:b/>
                <w:sz w:val="22"/>
              </w:rPr>
              <w:t>CONSEJERA PRESIDENTA</w:t>
            </w:r>
          </w:p>
        </w:tc>
        <w:tc>
          <w:tcPr>
            <w:tcW w:w="762" w:type="dxa"/>
          </w:tcPr>
          <w:p w:rsidR="0063799F" w:rsidRPr="004C0D83" w:rsidRDefault="0063799F" w:rsidP="00166A61">
            <w:pPr>
              <w:spacing w:before="0" w:after="0" w:line="281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313" w:type="dxa"/>
          </w:tcPr>
          <w:p w:rsidR="0063799F" w:rsidRPr="004C0D83" w:rsidRDefault="0063799F" w:rsidP="00166A61">
            <w:pPr>
              <w:spacing w:before="0" w:after="0" w:line="281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4C0D83">
              <w:rPr>
                <w:rFonts w:ascii="Arial" w:hAnsi="Arial" w:cs="Arial"/>
                <w:b/>
                <w:sz w:val="22"/>
              </w:rPr>
              <w:t>LIC. JORGE ALBERTO ZAVALA FRÍAS</w:t>
            </w:r>
          </w:p>
          <w:p w:rsidR="0063799F" w:rsidRPr="004C0D83" w:rsidRDefault="0063799F" w:rsidP="00166A61">
            <w:pPr>
              <w:spacing w:before="0" w:after="0" w:line="281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4C0D83">
              <w:rPr>
                <w:rFonts w:ascii="Arial" w:hAnsi="Arial" w:cs="Arial"/>
                <w:b/>
                <w:sz w:val="22"/>
              </w:rPr>
              <w:t>SECRETARIO EJECUTIVO</w:t>
            </w:r>
          </w:p>
        </w:tc>
      </w:tr>
    </w:tbl>
    <w:p w:rsidR="0063799F" w:rsidRPr="004C0D83" w:rsidRDefault="0063799F" w:rsidP="00EE5826">
      <w:pPr>
        <w:rPr>
          <w:rFonts w:ascii="Arial" w:hAnsi="Arial" w:cs="Arial"/>
          <w:szCs w:val="24"/>
        </w:rPr>
      </w:pPr>
    </w:p>
    <w:sectPr w:rsidR="0063799F" w:rsidRPr="004C0D83" w:rsidSect="004C0D83">
      <w:headerReference w:type="default" r:id="rId7"/>
      <w:footerReference w:type="default" r:id="rId8"/>
      <w:pgSz w:w="12240" w:h="15840" w:code="1"/>
      <w:pgMar w:top="2836" w:right="1892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142" w:rsidRDefault="00DD7142" w:rsidP="0063799F">
      <w:pPr>
        <w:spacing w:before="0" w:after="0" w:line="240" w:lineRule="auto"/>
      </w:pPr>
      <w:r>
        <w:separator/>
      </w:r>
    </w:p>
  </w:endnote>
  <w:endnote w:type="continuationSeparator" w:id="0">
    <w:p w:rsidR="00DD7142" w:rsidRDefault="00DD7142" w:rsidP="006379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xo">
    <w:altName w:val="Times New Roman"/>
    <w:charset w:val="00"/>
    <w:family w:val="auto"/>
    <w:pitch w:val="variable"/>
    <w:sig w:usb0="00000001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  <w:bCs/>
        <w:color w:val="660033"/>
        <w:lang w:val="es-ES"/>
      </w:rPr>
      <w:id w:val="-1581911275"/>
      <w:docPartObj>
        <w:docPartGallery w:val="Page Numbers (Bottom of Page)"/>
        <w:docPartUnique/>
      </w:docPartObj>
    </w:sdtPr>
    <w:sdtEndPr>
      <w:rPr>
        <w:szCs w:val="20"/>
      </w:rPr>
    </w:sdtEndPr>
    <w:sdtContent>
      <w:p w:rsidR="0063799F" w:rsidRPr="004C0D83" w:rsidRDefault="0063799F" w:rsidP="0063799F">
        <w:pPr>
          <w:pStyle w:val="Piedepgina"/>
          <w:jc w:val="right"/>
          <w:rPr>
            <w:rFonts w:ascii="Arial" w:hAnsi="Arial" w:cs="Arial"/>
            <w:b/>
            <w:bCs/>
            <w:color w:val="660033"/>
            <w:szCs w:val="20"/>
            <w:lang w:val="es-ES"/>
          </w:rPr>
        </w:pPr>
        <w:r w:rsidRPr="004C0D83">
          <w:rPr>
            <w:rFonts w:ascii="Arial" w:hAnsi="Arial" w:cs="Arial"/>
            <w:b/>
            <w:bCs/>
            <w:color w:val="660033"/>
            <w:szCs w:val="20"/>
            <w:lang w:val="es-ES"/>
          </w:rPr>
          <w:t xml:space="preserve">Página  </w:t>
        </w:r>
        <w:r w:rsidRPr="004C0D83">
          <w:rPr>
            <w:rFonts w:ascii="Arial" w:hAnsi="Arial" w:cs="Arial"/>
            <w:b/>
            <w:bCs/>
            <w:color w:val="660033"/>
            <w:szCs w:val="20"/>
          </w:rPr>
          <w:fldChar w:fldCharType="begin"/>
        </w:r>
        <w:r w:rsidRPr="004C0D83">
          <w:rPr>
            <w:rFonts w:ascii="Arial" w:hAnsi="Arial" w:cs="Arial"/>
            <w:b/>
            <w:bCs/>
            <w:color w:val="660033"/>
            <w:szCs w:val="20"/>
          </w:rPr>
          <w:instrText>PAGE   \* MERGEFORMAT</w:instrText>
        </w:r>
        <w:r w:rsidRPr="004C0D83">
          <w:rPr>
            <w:rFonts w:ascii="Arial" w:hAnsi="Arial" w:cs="Arial"/>
            <w:b/>
            <w:bCs/>
            <w:color w:val="660033"/>
            <w:szCs w:val="20"/>
          </w:rPr>
          <w:fldChar w:fldCharType="separate"/>
        </w:r>
        <w:r w:rsidR="005A3B89">
          <w:rPr>
            <w:rFonts w:ascii="Arial" w:hAnsi="Arial" w:cs="Arial"/>
            <w:b/>
            <w:bCs/>
            <w:noProof/>
            <w:color w:val="660033"/>
            <w:szCs w:val="20"/>
          </w:rPr>
          <w:t>8</w:t>
        </w:r>
        <w:r w:rsidRPr="004C0D83">
          <w:rPr>
            <w:rFonts w:ascii="Arial" w:hAnsi="Arial" w:cs="Arial"/>
            <w:b/>
            <w:bCs/>
            <w:color w:val="660033"/>
            <w:szCs w:val="20"/>
          </w:rPr>
          <w:fldChar w:fldCharType="end"/>
        </w:r>
        <w:r w:rsidRPr="004C0D83">
          <w:rPr>
            <w:rFonts w:ascii="Arial" w:hAnsi="Arial" w:cs="Arial"/>
            <w:b/>
            <w:bCs/>
            <w:color w:val="660033"/>
            <w:szCs w:val="20"/>
            <w:lang w:val="es-ES"/>
          </w:rPr>
          <w:t xml:space="preserve"> | </w:t>
        </w:r>
        <w:r w:rsidRPr="004C0D83">
          <w:rPr>
            <w:rFonts w:ascii="Arial" w:hAnsi="Arial" w:cs="Arial"/>
            <w:b/>
            <w:bCs/>
            <w:color w:val="660033"/>
            <w:szCs w:val="20"/>
            <w:lang w:val="es-ES"/>
          </w:rPr>
          <w:fldChar w:fldCharType="begin"/>
        </w:r>
        <w:r w:rsidRPr="004C0D83">
          <w:rPr>
            <w:rFonts w:ascii="Arial" w:hAnsi="Arial" w:cs="Arial"/>
            <w:b/>
            <w:bCs/>
            <w:color w:val="660033"/>
            <w:szCs w:val="20"/>
            <w:lang w:val="es-ES"/>
          </w:rPr>
          <w:instrText xml:space="preserve"> NUMPAGES   \* MERGEFORMAT </w:instrText>
        </w:r>
        <w:r w:rsidRPr="004C0D83">
          <w:rPr>
            <w:rFonts w:ascii="Arial" w:hAnsi="Arial" w:cs="Arial"/>
            <w:b/>
            <w:bCs/>
            <w:color w:val="660033"/>
            <w:szCs w:val="20"/>
            <w:lang w:val="es-ES"/>
          </w:rPr>
          <w:fldChar w:fldCharType="separate"/>
        </w:r>
        <w:r w:rsidR="005A3B89">
          <w:rPr>
            <w:rFonts w:ascii="Arial" w:hAnsi="Arial" w:cs="Arial"/>
            <w:b/>
            <w:bCs/>
            <w:noProof/>
            <w:color w:val="660033"/>
            <w:szCs w:val="20"/>
            <w:lang w:val="es-ES"/>
          </w:rPr>
          <w:t>8</w:t>
        </w:r>
        <w:r w:rsidRPr="004C0D83">
          <w:rPr>
            <w:rFonts w:ascii="Arial" w:hAnsi="Arial" w:cs="Arial"/>
            <w:b/>
            <w:bCs/>
            <w:color w:val="660033"/>
            <w:szCs w:val="20"/>
            <w:lang w:val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142" w:rsidRDefault="00DD7142" w:rsidP="0063799F">
      <w:pPr>
        <w:spacing w:before="0" w:after="0" w:line="240" w:lineRule="auto"/>
      </w:pPr>
      <w:r>
        <w:separator/>
      </w:r>
    </w:p>
  </w:footnote>
  <w:footnote w:type="continuationSeparator" w:id="0">
    <w:p w:rsidR="00DD7142" w:rsidRDefault="00DD7142" w:rsidP="006379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63799F" w:rsidRPr="00CD4F78" w:rsidTr="00166A61">
      <w:tc>
        <w:tcPr>
          <w:tcW w:w="1418" w:type="dxa"/>
        </w:tcPr>
        <w:p w:rsidR="0063799F" w:rsidRPr="00CD4F78" w:rsidRDefault="0063799F" w:rsidP="0063799F">
          <w:pPr>
            <w:pStyle w:val="Encabezado"/>
            <w:ind w:left="-170"/>
            <w:rPr>
              <w:rFonts w:ascii="Arial" w:hAnsi="Arial"/>
            </w:rPr>
          </w:pPr>
          <w:r w:rsidRPr="00CD4F78">
            <w:rPr>
              <w:rFonts w:ascii="Arial" w:hAnsi="Arial"/>
              <w:b/>
              <w:noProof/>
              <w:sz w:val="32"/>
              <w:lang w:eastAsia="es-MX"/>
            </w:rPr>
            <w:drawing>
              <wp:inline distT="0" distB="0" distL="0" distR="0" wp14:anchorId="2CCAD72F" wp14:editId="7CADEED4">
                <wp:extent cx="1014331" cy="1199403"/>
                <wp:effectExtent l="0" t="0" r="0" b="1270"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63799F" w:rsidRPr="004C0D83" w:rsidRDefault="0063799F" w:rsidP="0063799F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Cs w:val="24"/>
            </w:rPr>
          </w:pPr>
          <w:r w:rsidRPr="004C0D83">
            <w:rPr>
              <w:rFonts w:ascii="Arial" w:hAnsi="Arial" w:cs="Arial"/>
              <w:b/>
              <w:bCs/>
              <w:szCs w:val="24"/>
            </w:rPr>
            <w:t>INSTITUTO ELECTORAL Y DE PARTICIPACIÓN CIUDADANA DE TABASCO</w:t>
          </w:r>
        </w:p>
        <w:p w:rsidR="0063799F" w:rsidRPr="00CD4F78" w:rsidRDefault="0063799F" w:rsidP="0063799F">
          <w:pPr>
            <w:pStyle w:val="Encabezado"/>
            <w:jc w:val="center"/>
            <w:rPr>
              <w:rFonts w:ascii="Arial" w:hAnsi="Arial"/>
              <w:sz w:val="25"/>
              <w:szCs w:val="25"/>
            </w:rPr>
          </w:pPr>
          <w:r w:rsidRPr="004C0D83">
            <w:rPr>
              <w:rFonts w:ascii="Arial" w:hAnsi="Arial" w:cs="Arial"/>
              <w:szCs w:val="24"/>
            </w:rPr>
            <w:t>JUNTA ESTATAL EJECUTIVA</w:t>
          </w:r>
        </w:p>
      </w:tc>
      <w:tc>
        <w:tcPr>
          <w:tcW w:w="1701" w:type="dxa"/>
        </w:tcPr>
        <w:p w:rsidR="0063799F" w:rsidRPr="00CD4F78" w:rsidRDefault="0063799F" w:rsidP="0063799F">
          <w:pPr>
            <w:pStyle w:val="Encabezado"/>
            <w:spacing w:before="480"/>
            <w:rPr>
              <w:rFonts w:ascii="Arial" w:hAnsi="Arial"/>
            </w:rPr>
          </w:pPr>
          <w:r>
            <w:rPr>
              <w:rFonts w:ascii="Arial" w:hAnsi="Arial"/>
              <w:noProof/>
              <w:lang w:eastAsia="es-MX"/>
            </w:rPr>
            <w:drawing>
              <wp:inline distT="0" distB="0" distL="0" distR="0" wp14:anchorId="37B0232B" wp14:editId="7B41EEAD">
                <wp:extent cx="942975" cy="774065"/>
                <wp:effectExtent l="0" t="0" r="9525" b="6985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3799F" w:rsidRPr="004C0D83" w:rsidRDefault="004C0D83" w:rsidP="004C0D83">
    <w:pPr>
      <w:pStyle w:val="Encabezado"/>
      <w:jc w:val="right"/>
      <w:rPr>
        <w:rFonts w:ascii="Arial" w:hAnsi="Arial" w:cs="Arial"/>
        <w:b/>
      </w:rPr>
    </w:pPr>
    <w:r w:rsidRPr="004C0D83">
      <w:rPr>
        <w:rFonts w:ascii="Arial" w:hAnsi="Arial" w:cs="Arial"/>
        <w:b/>
      </w:rPr>
      <w:t>JEE/2024/028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03C6"/>
    <w:multiLevelType w:val="multilevel"/>
    <w:tmpl w:val="0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593403D"/>
    <w:multiLevelType w:val="hybridMultilevel"/>
    <w:tmpl w:val="A2B443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BACE5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1F"/>
    <w:rsid w:val="00005CBD"/>
    <w:rsid w:val="00030690"/>
    <w:rsid w:val="00032B49"/>
    <w:rsid w:val="00074C1B"/>
    <w:rsid w:val="000C4263"/>
    <w:rsid w:val="000F3022"/>
    <w:rsid w:val="001B072E"/>
    <w:rsid w:val="001D2AEE"/>
    <w:rsid w:val="00243E7A"/>
    <w:rsid w:val="00244DD1"/>
    <w:rsid w:val="0025320E"/>
    <w:rsid w:val="00293818"/>
    <w:rsid w:val="002F5523"/>
    <w:rsid w:val="003441ED"/>
    <w:rsid w:val="00373411"/>
    <w:rsid w:val="003A18B4"/>
    <w:rsid w:val="003E7BFB"/>
    <w:rsid w:val="004079E1"/>
    <w:rsid w:val="00407D1E"/>
    <w:rsid w:val="004343F3"/>
    <w:rsid w:val="00465EE7"/>
    <w:rsid w:val="00490D38"/>
    <w:rsid w:val="0049441F"/>
    <w:rsid w:val="004C0D83"/>
    <w:rsid w:val="004E3732"/>
    <w:rsid w:val="00513678"/>
    <w:rsid w:val="00586DDA"/>
    <w:rsid w:val="005A2CA6"/>
    <w:rsid w:val="005A3B89"/>
    <w:rsid w:val="0060663E"/>
    <w:rsid w:val="00620859"/>
    <w:rsid w:val="0063799F"/>
    <w:rsid w:val="006505BC"/>
    <w:rsid w:val="00782D5D"/>
    <w:rsid w:val="00843220"/>
    <w:rsid w:val="00871605"/>
    <w:rsid w:val="00876A77"/>
    <w:rsid w:val="008B3C84"/>
    <w:rsid w:val="00922D5B"/>
    <w:rsid w:val="0096304D"/>
    <w:rsid w:val="00966DE6"/>
    <w:rsid w:val="00980253"/>
    <w:rsid w:val="00994D55"/>
    <w:rsid w:val="00995DFE"/>
    <w:rsid w:val="009E0CE3"/>
    <w:rsid w:val="00A31011"/>
    <w:rsid w:val="00A578BB"/>
    <w:rsid w:val="00A61D32"/>
    <w:rsid w:val="00AD1288"/>
    <w:rsid w:val="00AE1A5E"/>
    <w:rsid w:val="00AF415D"/>
    <w:rsid w:val="00BE1871"/>
    <w:rsid w:val="00C0429C"/>
    <w:rsid w:val="00C71B5A"/>
    <w:rsid w:val="00C752E5"/>
    <w:rsid w:val="00C82406"/>
    <w:rsid w:val="00CA16D6"/>
    <w:rsid w:val="00CF5345"/>
    <w:rsid w:val="00DC65BA"/>
    <w:rsid w:val="00DD7142"/>
    <w:rsid w:val="00E62B30"/>
    <w:rsid w:val="00EA2B36"/>
    <w:rsid w:val="00EC6D40"/>
    <w:rsid w:val="00EE27E8"/>
    <w:rsid w:val="00EE5826"/>
    <w:rsid w:val="00F210C0"/>
    <w:rsid w:val="00F53BB1"/>
    <w:rsid w:val="00FC3122"/>
    <w:rsid w:val="00FE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2F6AB"/>
  <w15:chartTrackingRefBased/>
  <w15:docId w15:val="{65BC90CD-D48F-4344-A2E9-A8357BD5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41F"/>
    <w:pPr>
      <w:spacing w:before="240" w:after="240"/>
      <w:jc w:val="both"/>
    </w:pPr>
    <w:rPr>
      <w:rFonts w:ascii="Exo" w:hAnsi="Exo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030690"/>
    <w:pPr>
      <w:numPr>
        <w:numId w:val="2"/>
      </w:numPr>
      <w:spacing w:before="600" w:after="360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9441F"/>
    <w:pPr>
      <w:numPr>
        <w:ilvl w:val="1"/>
        <w:numId w:val="2"/>
      </w:numPr>
      <w:spacing w:before="480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6DDA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86DDA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86DDA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86DD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86DD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86DD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86DD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4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30690"/>
    <w:rPr>
      <w:rFonts w:ascii="Exo" w:hAnsi="Exo"/>
      <w:b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49441F"/>
    <w:rPr>
      <w:rFonts w:ascii="Exo" w:hAnsi="Exo"/>
      <w:b/>
      <w:sz w:val="24"/>
    </w:rPr>
  </w:style>
  <w:style w:type="paragraph" w:styleId="Prrafodelista">
    <w:name w:val="List Paragraph"/>
    <w:basedOn w:val="Normal"/>
    <w:uiPriority w:val="34"/>
    <w:qFormat/>
    <w:rsid w:val="0049441F"/>
    <w:pPr>
      <w:spacing w:line="276" w:lineRule="auto"/>
      <w:ind w:left="720"/>
      <w:contextualSpacing/>
    </w:pPr>
    <w:rPr>
      <w:kern w:val="2"/>
      <w:szCs w:val="24"/>
      <w14:ligatures w14:val="standardContextual"/>
    </w:rPr>
  </w:style>
  <w:style w:type="paragraph" w:styleId="Encabezado">
    <w:name w:val="header"/>
    <w:basedOn w:val="Normal"/>
    <w:link w:val="EncabezadoCar"/>
    <w:uiPriority w:val="99"/>
    <w:unhideWhenUsed/>
    <w:rsid w:val="0063799F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799F"/>
    <w:rPr>
      <w:rFonts w:ascii="Exo" w:hAnsi="Exo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63799F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799F"/>
    <w:rPr>
      <w:rFonts w:ascii="Exo" w:hAnsi="Exo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6D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86DDA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86DDA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86DDA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86DDA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86D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86D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85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1929</Words>
  <Characters>10614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61</cp:revision>
  <cp:lastPrinted>2025-01-07T17:19:00Z</cp:lastPrinted>
  <dcterms:created xsi:type="dcterms:W3CDTF">2024-12-11T21:28:00Z</dcterms:created>
  <dcterms:modified xsi:type="dcterms:W3CDTF">2025-01-07T17:20:00Z</dcterms:modified>
</cp:coreProperties>
</file>