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36" w:rsidRPr="00E75730" w:rsidRDefault="00B308E2" w:rsidP="0045554B">
      <w:pPr>
        <w:rPr>
          <w:rFonts w:ascii="Arial" w:hAnsi="Arial" w:cs="Arial"/>
          <w:b/>
          <w:sz w:val="24"/>
          <w:szCs w:val="24"/>
        </w:rPr>
      </w:pPr>
      <w:proofErr w:type="gramStart"/>
      <w:r>
        <w:rPr>
          <w:rFonts w:ascii="Arial" w:hAnsi="Arial" w:cs="Arial"/>
          <w:b/>
          <w:sz w:val="24"/>
          <w:szCs w:val="24"/>
        </w:rPr>
        <w:t>..</w:t>
      </w:r>
      <w:proofErr w:type="gramEnd"/>
      <w:r w:rsidR="00E75730" w:rsidRPr="00E75730">
        <w:rPr>
          <w:rFonts w:ascii="Arial" w:hAnsi="Arial" w:cs="Arial"/>
          <w:b/>
          <w:sz w:val="24"/>
          <w:szCs w:val="24"/>
        </w:rPr>
        <w:t>ACUERDO QUE EMITE LA JUNTA ESTATAL EJECUTIVA DEL INSTITUTO ELECTORAL Y DE PARTICIPACIÓN CIUDADANA DE TABASCO, MEDIANTE EL CUAL APRUEBA LOS LINEAMIENTOS PARA EL PAGO Y COMPROBACIÓN DE LOS GASTOS EXTRAORDINARIOS URGENTES DE LAS JUNTAS ELECTORALES DISTRITALES CON MOTIVO DEL PROCESO ELECTORAL CONCURRENTE 2023-2024</w:t>
      </w:r>
    </w:p>
    <w:p w:rsidR="0045554B" w:rsidRPr="00E75730" w:rsidRDefault="0045554B" w:rsidP="0045554B">
      <w:pPr>
        <w:spacing w:line="264" w:lineRule="auto"/>
        <w:rPr>
          <w:rFonts w:ascii="Arial" w:hAnsi="Arial" w:cs="Arial"/>
        </w:rPr>
      </w:pPr>
      <w:r w:rsidRPr="00E75730">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Consejerías Distritales:</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Consejeras y Consejeros Electorales que conforman los Consejos Electorales Distritales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Consejo Estatal: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Consejo Estatal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Constitución Federal: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Constitución Política de los Estados Unidos Mexicanos.</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Constitución Local: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Constitución Política del Estado Libre y Soberano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INE:</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Instituto Nacional Electoral.</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Instituto:</w:t>
            </w:r>
          </w:p>
        </w:tc>
        <w:tc>
          <w:tcPr>
            <w:tcW w:w="2958" w:type="pct"/>
            <w:shd w:val="clear" w:color="auto" w:fill="auto"/>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Junta Ejecutiva:</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Junta Estatal Ejecutiva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Juntas Distritales:</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Juntas Electorales Distritales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Ley Electoral: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Ley Electoral y de Partidos Políticos del Estado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Ley General: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Ley General de Instituciones y Procedimientos Electorales.</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Organismo electoral: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 xml:space="preserve">Organismo(s) público(s) local(es) electoral(es). </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Proceso Electoral:</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Proceso Electoral Local Ordinario 2023-2024.</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lastRenderedPageBreak/>
              <w:t>Reglamento de Elecciones:</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Reglamento de Elecciones del Instituto Nacional Electoral.</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Reglamento para el funcionamiento de los Órganos Distritales</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Reglamento para el funcionamiento de los Órganos Distritales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Secretaría Ejecutiva:</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Secretaría Ejecutiva del Instituto Electoral y de Participación Ciudadana de Tabasco.</w:t>
            </w:r>
          </w:p>
        </w:tc>
      </w:tr>
      <w:tr w:rsidR="0045554B" w:rsidRPr="00E75730" w:rsidTr="008F36F0">
        <w:trPr>
          <w:trHeight w:val="624"/>
          <w:jc w:val="center"/>
        </w:trPr>
        <w:tc>
          <w:tcPr>
            <w:tcW w:w="2042" w:type="pct"/>
            <w:shd w:val="clear" w:color="auto" w:fill="auto"/>
            <w:vAlign w:val="center"/>
          </w:tcPr>
          <w:p w:rsidR="0045554B" w:rsidRPr="00E75730" w:rsidRDefault="0045554B" w:rsidP="008F36F0">
            <w:pPr>
              <w:widowControl w:val="0"/>
              <w:spacing w:before="40" w:after="40" w:line="264" w:lineRule="auto"/>
              <w:ind w:left="57"/>
              <w:rPr>
                <w:rFonts w:ascii="Arial" w:hAnsi="Arial" w:cs="Arial"/>
                <w:b/>
                <w:sz w:val="20"/>
                <w:szCs w:val="20"/>
              </w:rPr>
            </w:pPr>
            <w:r w:rsidRPr="00E75730">
              <w:rPr>
                <w:rFonts w:ascii="Arial" w:hAnsi="Arial" w:cs="Arial"/>
                <w:b/>
                <w:sz w:val="20"/>
                <w:szCs w:val="20"/>
              </w:rPr>
              <w:t>Vocales Distritales:</w:t>
            </w:r>
          </w:p>
        </w:tc>
        <w:tc>
          <w:tcPr>
            <w:tcW w:w="2958" w:type="pct"/>
            <w:shd w:val="clear" w:color="auto" w:fill="auto"/>
            <w:vAlign w:val="center"/>
          </w:tcPr>
          <w:p w:rsidR="0045554B" w:rsidRPr="00E75730" w:rsidRDefault="0045554B" w:rsidP="008F36F0">
            <w:pPr>
              <w:widowControl w:val="0"/>
              <w:spacing w:before="40" w:after="40" w:line="264" w:lineRule="auto"/>
              <w:ind w:left="57"/>
              <w:rPr>
                <w:rFonts w:ascii="Arial" w:hAnsi="Arial" w:cs="Arial"/>
                <w:sz w:val="20"/>
                <w:szCs w:val="20"/>
              </w:rPr>
            </w:pPr>
            <w:r w:rsidRPr="00E75730">
              <w:rPr>
                <w:rFonts w:ascii="Arial" w:hAnsi="Arial" w:cs="Arial"/>
                <w:sz w:val="20"/>
                <w:szCs w:val="20"/>
              </w:rPr>
              <w:t>Vocales Electorales integrantes de las Juntas Electorales Distritales del Instituto Electoral y de Participación Ciudadana de Tabasco.</w:t>
            </w:r>
          </w:p>
        </w:tc>
      </w:tr>
    </w:tbl>
    <w:p w:rsidR="00E75730" w:rsidRDefault="00E75730" w:rsidP="00E75730">
      <w:pPr>
        <w:pStyle w:val="Ttulo1"/>
        <w:numPr>
          <w:ilvl w:val="0"/>
          <w:numId w:val="0"/>
        </w:numPr>
        <w:ind w:left="432"/>
        <w:jc w:val="both"/>
        <w:rPr>
          <w:rFonts w:ascii="Arial" w:hAnsi="Arial"/>
          <w:sz w:val="24"/>
          <w:szCs w:val="24"/>
        </w:rPr>
      </w:pPr>
    </w:p>
    <w:p w:rsidR="0045554B" w:rsidRPr="00E75730" w:rsidRDefault="0045554B" w:rsidP="0094632F">
      <w:pPr>
        <w:pStyle w:val="Ttulo1"/>
        <w:rPr>
          <w:rFonts w:ascii="Arial" w:hAnsi="Arial"/>
          <w:sz w:val="24"/>
          <w:szCs w:val="24"/>
        </w:rPr>
      </w:pPr>
      <w:r w:rsidRPr="00E75730">
        <w:rPr>
          <w:rFonts w:ascii="Arial" w:hAnsi="Arial"/>
          <w:sz w:val="24"/>
          <w:szCs w:val="24"/>
        </w:rPr>
        <w:t>Antecedentes</w:t>
      </w:r>
    </w:p>
    <w:p w:rsidR="0045554B" w:rsidRPr="00E75730" w:rsidRDefault="0045554B" w:rsidP="0045554B">
      <w:pPr>
        <w:pStyle w:val="Ttulo2"/>
        <w:rPr>
          <w:rFonts w:ascii="Arial" w:hAnsi="Arial"/>
        </w:rPr>
      </w:pPr>
      <w:r w:rsidRPr="00E75730">
        <w:rPr>
          <w:rFonts w:ascii="Arial" w:hAnsi="Arial"/>
        </w:rPr>
        <w:t>Inicio del Proceso Electoral</w:t>
      </w:r>
    </w:p>
    <w:p w:rsidR="0045554B" w:rsidRPr="00E75730" w:rsidRDefault="0045554B" w:rsidP="0045554B">
      <w:pPr>
        <w:spacing w:line="264" w:lineRule="auto"/>
        <w:rPr>
          <w:rFonts w:ascii="Arial" w:hAnsi="Arial" w:cs="Arial"/>
        </w:rPr>
      </w:pPr>
      <w:r w:rsidRPr="00E75730">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45554B" w:rsidRPr="00E75730" w:rsidRDefault="0045554B" w:rsidP="0045554B">
      <w:pPr>
        <w:pStyle w:val="Ttulo2"/>
        <w:rPr>
          <w:rFonts w:ascii="Arial" w:hAnsi="Arial"/>
        </w:rPr>
      </w:pPr>
      <w:r w:rsidRPr="00E75730">
        <w:rPr>
          <w:rFonts w:ascii="Arial" w:hAnsi="Arial"/>
        </w:rPr>
        <w:t>Designación de las Vocalías Distritales</w:t>
      </w:r>
    </w:p>
    <w:p w:rsidR="0045554B" w:rsidRPr="00E75730" w:rsidRDefault="0045554B" w:rsidP="0045554B">
      <w:pPr>
        <w:spacing w:line="264" w:lineRule="auto"/>
        <w:rPr>
          <w:rFonts w:ascii="Arial" w:hAnsi="Arial" w:cs="Arial"/>
        </w:rPr>
      </w:pPr>
      <w:r w:rsidRPr="00E75730">
        <w:rPr>
          <w:rFonts w:ascii="Arial" w:hAnsi="Arial" w:cs="Arial"/>
        </w:rPr>
        <w:t>El 9 de diciembre de 2023, mediante acuerdo JEE/2023/015, la Junta Ejecutiva designó a las personas que ocupan las titularidades de las Vocalías Distritales de los órganos desconcentrados.</w:t>
      </w:r>
    </w:p>
    <w:p w:rsidR="0045554B" w:rsidRPr="00E75730" w:rsidRDefault="0045554B" w:rsidP="0045554B">
      <w:pPr>
        <w:pStyle w:val="Ttulo2"/>
        <w:rPr>
          <w:rFonts w:ascii="Arial" w:hAnsi="Arial"/>
        </w:rPr>
      </w:pPr>
      <w:r w:rsidRPr="00E75730">
        <w:rPr>
          <w:rFonts w:ascii="Arial" w:hAnsi="Arial"/>
        </w:rPr>
        <w:t>Jornada Electoral</w:t>
      </w:r>
    </w:p>
    <w:p w:rsidR="0045554B" w:rsidRPr="00E75730" w:rsidRDefault="0045554B" w:rsidP="0045554B">
      <w:pPr>
        <w:spacing w:line="264" w:lineRule="auto"/>
        <w:rPr>
          <w:rFonts w:ascii="Arial" w:hAnsi="Arial" w:cs="Arial"/>
        </w:rPr>
      </w:pPr>
      <w:r w:rsidRPr="00E75730">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45554B" w:rsidRPr="00E75730" w:rsidRDefault="0045554B" w:rsidP="0094632F">
      <w:pPr>
        <w:pStyle w:val="Ttulo1"/>
        <w:rPr>
          <w:rFonts w:ascii="Arial" w:hAnsi="Arial"/>
          <w:sz w:val="23"/>
        </w:rPr>
      </w:pPr>
      <w:r w:rsidRPr="00E75730">
        <w:rPr>
          <w:rFonts w:ascii="Arial" w:hAnsi="Arial"/>
          <w:sz w:val="23"/>
        </w:rPr>
        <w:lastRenderedPageBreak/>
        <w:t>Considerando</w:t>
      </w:r>
    </w:p>
    <w:p w:rsidR="0045554B" w:rsidRPr="00E75730" w:rsidRDefault="0045554B" w:rsidP="0045554B">
      <w:pPr>
        <w:pStyle w:val="Ttulo2"/>
        <w:rPr>
          <w:rFonts w:ascii="Arial" w:hAnsi="Arial"/>
        </w:rPr>
      </w:pPr>
      <w:r w:rsidRPr="00E75730">
        <w:rPr>
          <w:rFonts w:ascii="Arial" w:hAnsi="Arial"/>
        </w:rPr>
        <w:t xml:space="preserve">Fines del Instituto </w:t>
      </w:r>
    </w:p>
    <w:p w:rsidR="0045554B" w:rsidRPr="00E75730" w:rsidRDefault="0045554B" w:rsidP="0045554B">
      <w:pPr>
        <w:spacing w:line="264" w:lineRule="auto"/>
        <w:rPr>
          <w:rFonts w:ascii="Arial" w:hAnsi="Arial" w:cs="Arial"/>
        </w:rPr>
      </w:pPr>
      <w:r w:rsidRPr="00E75730">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45554B" w:rsidRPr="00E75730" w:rsidRDefault="0045554B" w:rsidP="0045554B">
      <w:pPr>
        <w:spacing w:line="264" w:lineRule="auto"/>
        <w:rPr>
          <w:rFonts w:ascii="Arial" w:hAnsi="Arial" w:cs="Arial"/>
        </w:rPr>
      </w:pPr>
      <w:r w:rsidRPr="00E75730">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45554B" w:rsidRPr="00E75730" w:rsidRDefault="0045554B" w:rsidP="0045554B">
      <w:pPr>
        <w:pStyle w:val="Ttulo2"/>
        <w:rPr>
          <w:rFonts w:ascii="Arial" w:hAnsi="Arial"/>
        </w:rPr>
      </w:pPr>
      <w:r w:rsidRPr="00E75730">
        <w:rPr>
          <w:rFonts w:ascii="Arial" w:hAnsi="Arial"/>
        </w:rPr>
        <w:t xml:space="preserve">Órgano Superior de Dirección del Instituto </w:t>
      </w:r>
    </w:p>
    <w:p w:rsidR="0045554B" w:rsidRPr="00E75730" w:rsidRDefault="0045554B" w:rsidP="0045554B">
      <w:pPr>
        <w:spacing w:line="264" w:lineRule="auto"/>
        <w:rPr>
          <w:rFonts w:ascii="Arial" w:hAnsi="Arial" w:cs="Arial"/>
        </w:rPr>
      </w:pPr>
      <w:r w:rsidRPr="00E75730">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45554B" w:rsidRPr="00E75730" w:rsidRDefault="0045554B" w:rsidP="0045554B">
      <w:pPr>
        <w:pStyle w:val="Ttulo2"/>
        <w:rPr>
          <w:rFonts w:ascii="Arial" w:hAnsi="Arial"/>
        </w:rPr>
      </w:pPr>
      <w:r w:rsidRPr="00E75730">
        <w:rPr>
          <w:rFonts w:ascii="Arial" w:hAnsi="Arial"/>
        </w:rPr>
        <w:lastRenderedPageBreak/>
        <w:t xml:space="preserve">Órganos Centrales del Instituto </w:t>
      </w:r>
    </w:p>
    <w:p w:rsidR="0045554B" w:rsidRPr="00E75730" w:rsidRDefault="0045554B" w:rsidP="0045554B">
      <w:pPr>
        <w:spacing w:line="264" w:lineRule="auto"/>
        <w:rPr>
          <w:rFonts w:ascii="Arial" w:hAnsi="Arial" w:cs="Arial"/>
        </w:rPr>
      </w:pPr>
      <w:r w:rsidRPr="00E75730">
        <w:rPr>
          <w:rFonts w:ascii="Arial" w:hAnsi="Arial" w:cs="Arial"/>
        </w:rPr>
        <w:t>Que, el artículo 105, de la Ley Electoral, señala que, son órganos centrales del Instituto los siguientes: I. Consejo Estatal; II. Presidencia del Consejo Estatal; III. Junta Ejecutiva; IV. Secretaría Ejecutiva, y V. Órgano Técnico de Fiscalización.</w:t>
      </w:r>
    </w:p>
    <w:p w:rsidR="0045554B" w:rsidRPr="00E75730" w:rsidRDefault="0045554B" w:rsidP="0045554B">
      <w:pPr>
        <w:pStyle w:val="Ttulo2"/>
        <w:rPr>
          <w:rFonts w:ascii="Arial" w:hAnsi="Arial"/>
        </w:rPr>
      </w:pPr>
      <w:r w:rsidRPr="00E75730">
        <w:rPr>
          <w:rFonts w:ascii="Arial" w:hAnsi="Arial"/>
        </w:rPr>
        <w:t xml:space="preserve">Administración del Instituto </w:t>
      </w:r>
    </w:p>
    <w:p w:rsidR="0045554B" w:rsidRPr="00E75730" w:rsidRDefault="0045554B" w:rsidP="0045554B">
      <w:pPr>
        <w:rPr>
          <w:rFonts w:ascii="Arial" w:hAnsi="Arial" w:cs="Arial"/>
        </w:rPr>
      </w:pPr>
      <w:r w:rsidRPr="00E75730">
        <w:rPr>
          <w:rFonts w:ascii="Arial" w:hAnsi="Arial" w:cs="Arial"/>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rsidR="0045554B" w:rsidRPr="00E75730" w:rsidRDefault="0045554B" w:rsidP="0045554B">
      <w:pPr>
        <w:rPr>
          <w:rFonts w:ascii="Arial" w:hAnsi="Arial" w:cs="Arial"/>
        </w:rPr>
      </w:pPr>
      <w:r w:rsidRPr="00E75730">
        <w:rPr>
          <w:rFonts w:ascii="Arial" w:hAnsi="Arial" w:cs="Arial"/>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rsidR="0045554B" w:rsidRPr="00E75730" w:rsidRDefault="0045554B" w:rsidP="0045554B">
      <w:pPr>
        <w:pStyle w:val="Ttulo2"/>
        <w:rPr>
          <w:rFonts w:ascii="Arial" w:hAnsi="Arial"/>
        </w:rPr>
      </w:pPr>
      <w:r w:rsidRPr="00E75730">
        <w:rPr>
          <w:rFonts w:ascii="Arial" w:hAnsi="Arial"/>
        </w:rPr>
        <w:t>Integración de la Junta Ejecutiva</w:t>
      </w:r>
    </w:p>
    <w:p w:rsidR="0045554B" w:rsidRPr="00E75730" w:rsidRDefault="0045554B" w:rsidP="0045554B">
      <w:pPr>
        <w:rPr>
          <w:rFonts w:ascii="Arial" w:hAnsi="Arial" w:cs="Arial"/>
        </w:rPr>
      </w:pPr>
      <w:r w:rsidRPr="00E75730">
        <w:rPr>
          <w:rFonts w:ascii="Arial" w:hAnsi="Arial" w:cs="Arial"/>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rsidR="0045554B" w:rsidRPr="00E75730" w:rsidRDefault="0045554B" w:rsidP="0045554B">
      <w:pPr>
        <w:rPr>
          <w:rFonts w:ascii="Arial" w:hAnsi="Arial" w:cs="Arial"/>
        </w:rPr>
      </w:pPr>
      <w:r w:rsidRPr="00E75730">
        <w:rPr>
          <w:rFonts w:ascii="Arial" w:hAnsi="Arial" w:cs="Arial"/>
        </w:rPr>
        <w:t>Asimismo, el numeral 2, del artículo mencionado establece que, las o los titulares del Órgano Técnico de Fiscalización y de la Contraloría General podrán participar en las sesiones de la Junta Ejecutiva, a convocatoria de la Presidencia del Consejo.</w:t>
      </w:r>
    </w:p>
    <w:p w:rsidR="0045554B" w:rsidRPr="00E75730" w:rsidRDefault="0045554B" w:rsidP="0045554B">
      <w:pPr>
        <w:pStyle w:val="Ttulo2"/>
        <w:rPr>
          <w:rFonts w:ascii="Arial" w:hAnsi="Arial"/>
        </w:rPr>
      </w:pPr>
      <w:r w:rsidRPr="00E75730">
        <w:rPr>
          <w:rFonts w:ascii="Arial" w:hAnsi="Arial"/>
        </w:rPr>
        <w:t>Atribuciones de la Junta Ejecutiva</w:t>
      </w:r>
    </w:p>
    <w:p w:rsidR="0045554B" w:rsidRPr="00E75730" w:rsidRDefault="0045554B" w:rsidP="0045554B">
      <w:pPr>
        <w:rPr>
          <w:rFonts w:ascii="Arial" w:hAnsi="Arial" w:cs="Arial"/>
        </w:rPr>
      </w:pPr>
      <w:r w:rsidRPr="00E75730">
        <w:rPr>
          <w:rFonts w:ascii="Arial" w:hAnsi="Arial" w:cs="Arial"/>
        </w:rPr>
        <w:t>Que, el numeral 1, del artículo 119, de la Ley Electoral, señala que, la Junta Ejecutiva se reunirá por lo menos una vez al mes y ejercerá las atribuciones siguientes:</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Proponer al Consejo Estatal las políticas generales y los programas del Instituto Estatal;</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Fijar los procedimientos administrativos, conforme a las políticas y programas generales del Instituto;</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lastRenderedPageBreak/>
        <w:t>Revisar el cumplimiento de los trabajos relativos a los productos electorales que habrá de aportar el Registro Federal de Electores para el Proceso Local, conforme al convenio y documentos técnicos celebrados con el Instituto Nacional Electoral;</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Vigilar el cumplimiento de las normas aplicables a los Partidos Políticos, las agrupaciones políticas y candidatos;</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Supervisar el cumplimiento de los programas y actividades de las Direcciones del Instituto;</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Nombrar, en su caso, a la o el funcionario que acudirá a las sesiones de la Comisión Local de Vigilancia del Registro Federal de Electores, con facultades de enlace con el Instituto Nacional Electoral, de conformidad con el convenio respectivo que se suscriba;</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Conocer de los informes de la Contraloría General respecto de los expedientes relativos a las faltas administrativas y, en su caso, sobre imposición de sanciones a las personas servidoras públicas del Instituto Estatal;</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Formular los estudios y, en su caso, los proyectos de convenio que deban suscribirse entre el Instituto con el INE;</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Presentar a consideración del Consejo Estatal el proyecto de dictamen de pérdida de registro de algún partido político local o agrupación política local, que se encuentren en cualquiera de los supuestos establecidos en esta Ley;</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Resolver, en el ámbito de su competencia, los medios de impugnación en contra de los actos o resoluciones de la Secretaría Ejecutiva y de las Juntas Distritales del Instituto, en los términos establecidos en la ley de la materia;</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t>Integrar los expedientes relativos a las faltas administrativas en materia electoral y, en su caso, proponer las sanciones, en los términos que establece esta Ley, y</w:t>
      </w:r>
    </w:p>
    <w:p w:rsidR="0045554B" w:rsidRPr="00E75730" w:rsidRDefault="0045554B" w:rsidP="0045554B">
      <w:pPr>
        <w:pStyle w:val="Prrafodelista"/>
        <w:numPr>
          <w:ilvl w:val="0"/>
          <w:numId w:val="3"/>
        </w:numPr>
        <w:ind w:left="510" w:hanging="510"/>
        <w:contextualSpacing w:val="0"/>
        <w:rPr>
          <w:rFonts w:ascii="Arial" w:hAnsi="Arial" w:cs="Arial"/>
        </w:rPr>
      </w:pPr>
      <w:r w:rsidRPr="00E75730">
        <w:rPr>
          <w:rFonts w:ascii="Arial" w:hAnsi="Arial" w:cs="Arial"/>
        </w:rPr>
        <w:lastRenderedPageBreak/>
        <w:t>Las demás que le encomiende esta Ley, el Consejo Estatal y el Consejero Presidente.</w:t>
      </w:r>
    </w:p>
    <w:p w:rsidR="0045554B" w:rsidRPr="00E75730" w:rsidRDefault="0045554B" w:rsidP="0045554B">
      <w:pPr>
        <w:rPr>
          <w:rFonts w:ascii="Arial" w:hAnsi="Arial" w:cs="Arial"/>
        </w:rPr>
      </w:pPr>
      <w:r w:rsidRPr="00E75730">
        <w:rPr>
          <w:rFonts w:ascii="Arial" w:hAnsi="Arial" w:cs="Arial"/>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rsidR="0045554B" w:rsidRPr="00E75730" w:rsidRDefault="0045554B" w:rsidP="0045554B">
      <w:pPr>
        <w:pStyle w:val="Ttulo2"/>
        <w:rPr>
          <w:rFonts w:ascii="Arial" w:hAnsi="Arial"/>
        </w:rPr>
      </w:pPr>
      <w:r w:rsidRPr="00E75730">
        <w:rPr>
          <w:rFonts w:ascii="Arial" w:hAnsi="Arial"/>
        </w:rPr>
        <w:t xml:space="preserve">Autonomía presupuestaria del Instituto </w:t>
      </w:r>
    </w:p>
    <w:p w:rsidR="0045554B" w:rsidRPr="00E75730" w:rsidRDefault="0045554B" w:rsidP="0045554B">
      <w:pPr>
        <w:rPr>
          <w:rFonts w:ascii="Arial" w:hAnsi="Arial" w:cs="Arial"/>
        </w:rPr>
      </w:pPr>
      <w:r w:rsidRPr="00E75730">
        <w:rPr>
          <w:rFonts w:ascii="Arial" w:hAnsi="Arial" w:cs="Arial"/>
        </w:rPr>
        <w:t>Que, el artículo 6 de la Ley de Presupuesto y Responsabilidad Hacendaria del Estado de Tabasco y sus Municipios, sostiene que la autonomía presupuestaria otorgada a los órganos autónomos a través de la Constitución Local comprende:</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t xml:space="preserve">La aprobación de su proyecto de presupuesto y su remisión a la Secretaría de Finanzas para su integración al proyecto de Presupuesto de Egresos, observando los criterios de política económica y demás disposiciones aplicables; </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t xml:space="preserve">La autorización de las adecuaciones a sus presupuestos sin requerir la aprobación de la Secretaría de Finanzas, observando las disposiciones de dicha Ley; </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t xml:space="preserve">La realización de sus pagos a través de sus respectivas tesorerías o sus equivalentes; </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t>La determinación de los ajustes que correspondan en sus presupuestos en caso de disminución de ingresos, observando, en lo conducente, lo dispuesto en el artículo 18 de la Ley mencionada; y</w:t>
      </w:r>
    </w:p>
    <w:p w:rsidR="0045554B" w:rsidRPr="00E75730" w:rsidRDefault="0045554B" w:rsidP="00DF3D2B">
      <w:pPr>
        <w:pStyle w:val="Prrafodelista"/>
        <w:numPr>
          <w:ilvl w:val="1"/>
          <w:numId w:val="3"/>
        </w:numPr>
        <w:ind w:left="703" w:hanging="703"/>
        <w:contextualSpacing w:val="0"/>
        <w:rPr>
          <w:rFonts w:ascii="Arial" w:hAnsi="Arial" w:cs="Arial"/>
        </w:rPr>
      </w:pPr>
      <w:r w:rsidRPr="00E75730">
        <w:rPr>
          <w:rFonts w:ascii="Arial" w:hAnsi="Arial" w:cs="Arial"/>
        </w:rPr>
        <w:lastRenderedPageBreak/>
        <w:t>Llevar la contabilidad y elaborar sus informes conforme a lo previsto en dicha Ley, así como enviarlos a la Secretaría de Finanzas para su integración a los informes trimestrales y a la cuenta pública.</w:t>
      </w:r>
    </w:p>
    <w:p w:rsidR="0045554B" w:rsidRPr="00E75730" w:rsidRDefault="0045554B" w:rsidP="0045554B">
      <w:pPr>
        <w:pStyle w:val="Ttulo2"/>
        <w:rPr>
          <w:rFonts w:ascii="Arial" w:hAnsi="Arial"/>
        </w:rPr>
      </w:pPr>
      <w:r w:rsidRPr="00E75730">
        <w:rPr>
          <w:rFonts w:ascii="Arial" w:hAnsi="Arial"/>
        </w:rPr>
        <w:t>Administración de los recursos financieros y materiales del Instituto</w:t>
      </w:r>
    </w:p>
    <w:p w:rsidR="0045554B" w:rsidRPr="00E75730" w:rsidRDefault="0045554B" w:rsidP="0045554B">
      <w:pPr>
        <w:rPr>
          <w:rFonts w:ascii="Arial" w:hAnsi="Arial" w:cs="Arial"/>
        </w:rPr>
      </w:pPr>
      <w:r w:rsidRPr="00E75730">
        <w:rPr>
          <w:rFonts w:ascii="Arial" w:hAnsi="Arial" w:cs="Arial"/>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rsidR="0045554B" w:rsidRPr="00E75730" w:rsidRDefault="0045554B" w:rsidP="00DF3D2B">
      <w:pPr>
        <w:pStyle w:val="Ttulo2"/>
        <w:rPr>
          <w:rFonts w:ascii="Arial" w:hAnsi="Arial"/>
        </w:rPr>
      </w:pPr>
      <w:r w:rsidRPr="00E75730">
        <w:rPr>
          <w:rFonts w:ascii="Arial" w:hAnsi="Arial"/>
        </w:rPr>
        <w:t>Propuesta de lineamientos</w:t>
      </w:r>
    </w:p>
    <w:p w:rsidR="0045554B" w:rsidRPr="00E75730" w:rsidRDefault="0045554B" w:rsidP="0045554B">
      <w:pPr>
        <w:rPr>
          <w:rFonts w:ascii="Arial" w:hAnsi="Arial" w:cs="Arial"/>
        </w:rPr>
      </w:pPr>
      <w:r w:rsidRPr="00E75730">
        <w:rPr>
          <w:rFonts w:ascii="Arial" w:hAnsi="Arial" w:cs="Arial"/>
        </w:rPr>
        <w:t xml:space="preserve">Que, conforme a las consideraciones mencionadas, la Dirección de Administración propuso la implementación de los Lineamientos para el ejercicio, control y comprobación oportuna y transparente de los recursos destinados a las Juntas Distritales. </w:t>
      </w:r>
    </w:p>
    <w:p w:rsidR="0045554B" w:rsidRPr="00E75730" w:rsidRDefault="0045554B" w:rsidP="0045554B">
      <w:pPr>
        <w:rPr>
          <w:rFonts w:ascii="Arial" w:hAnsi="Arial" w:cs="Arial"/>
        </w:rPr>
      </w:pPr>
      <w:r w:rsidRPr="00E75730">
        <w:rPr>
          <w:rFonts w:ascii="Arial" w:hAnsi="Arial" w:cs="Arial"/>
        </w:rPr>
        <w:t xml:space="preserve">El documento tiene como objetivo principal, establecer el procedimiento de comprobación de aquellos gastos de menor cuantía que se generen durante el Proceso Electoral Concurrente 2023-2024 y, en su caso, los procesos Electorales Extraordinarios que deriven del mismo, en los que resulta difícil </w:t>
      </w:r>
      <w:r w:rsidR="0094632F" w:rsidRPr="00E75730">
        <w:rPr>
          <w:rFonts w:ascii="Arial" w:hAnsi="Arial" w:cs="Arial"/>
        </w:rPr>
        <w:t>obtener el comprobante que exige el Código Fiscal de la Federación.</w:t>
      </w:r>
    </w:p>
    <w:p w:rsidR="0094632F" w:rsidRPr="00E75730" w:rsidRDefault="0094632F" w:rsidP="0045554B">
      <w:pPr>
        <w:rPr>
          <w:rFonts w:ascii="Arial" w:hAnsi="Arial" w:cs="Arial"/>
        </w:rPr>
      </w:pPr>
      <w:r w:rsidRPr="00E75730">
        <w:rPr>
          <w:rFonts w:ascii="Arial" w:hAnsi="Arial" w:cs="Arial"/>
        </w:rPr>
        <w:t>Entre estos gastos, de forma enunciativa se incluyen, el servicio de transporte en lanchas o caballos, reparación de pinchaduras de llantas, reparación emergente de vehículos, reparaciones eléctricas en oficinas distritales, o cualquier otro gasto menor que sea de urgente ejecución</w:t>
      </w:r>
    </w:p>
    <w:p w:rsidR="0045554B" w:rsidRPr="00E75730" w:rsidRDefault="0094632F" w:rsidP="0045554B">
      <w:pPr>
        <w:rPr>
          <w:rFonts w:ascii="Arial" w:hAnsi="Arial" w:cs="Arial"/>
        </w:rPr>
      </w:pPr>
      <w:r w:rsidRPr="00E75730">
        <w:rPr>
          <w:rFonts w:ascii="Arial" w:hAnsi="Arial" w:cs="Arial"/>
        </w:rPr>
        <w:t>Además de la comprobación, el lineamiento establece el procedimiento de entrega y recepción de los servicios de alimentos y de traslado y recolección de paquetes electorales; aspectos que son de trascendencia durante el desarrollo de la jornada electoral, pues se relacionan directamente con la función del personal del Instituto y con la ciudadanía que integra las mesas directivas de casilla.</w:t>
      </w:r>
    </w:p>
    <w:p w:rsidR="0094632F" w:rsidRPr="00E75730" w:rsidRDefault="0094632F" w:rsidP="0094632F">
      <w:pPr>
        <w:rPr>
          <w:rFonts w:ascii="Arial" w:hAnsi="Arial" w:cs="Arial"/>
          <w:sz w:val="24"/>
          <w:szCs w:val="24"/>
        </w:rPr>
      </w:pPr>
      <w:r w:rsidRPr="00E75730">
        <w:rPr>
          <w:rFonts w:ascii="Arial" w:hAnsi="Arial" w:cs="Arial"/>
        </w:rPr>
        <w:t>Sobre la base de las consideraciones señaladas, esta Junta Ejecutiva emite el siguiente:</w:t>
      </w:r>
    </w:p>
    <w:p w:rsidR="0094632F" w:rsidRDefault="0094632F" w:rsidP="0094632F">
      <w:pPr>
        <w:pStyle w:val="Ttulo1"/>
        <w:rPr>
          <w:rFonts w:ascii="Arial" w:hAnsi="Arial"/>
          <w:sz w:val="24"/>
          <w:szCs w:val="24"/>
        </w:rPr>
      </w:pPr>
      <w:r w:rsidRPr="00E75730">
        <w:rPr>
          <w:rFonts w:ascii="Arial" w:hAnsi="Arial"/>
          <w:sz w:val="24"/>
          <w:szCs w:val="24"/>
        </w:rPr>
        <w:lastRenderedPageBreak/>
        <w:t>Acuerdo</w:t>
      </w:r>
    </w:p>
    <w:p w:rsidR="00E75730" w:rsidRPr="00E75730" w:rsidRDefault="00E75730" w:rsidP="00E75730">
      <w:pPr>
        <w:rPr>
          <w:lang w:val="es-MX"/>
        </w:rPr>
      </w:pPr>
    </w:p>
    <w:p w:rsidR="0094632F" w:rsidRPr="00E75730" w:rsidRDefault="0094632F" w:rsidP="0094632F">
      <w:pPr>
        <w:rPr>
          <w:rFonts w:ascii="Arial" w:hAnsi="Arial" w:cs="Arial"/>
        </w:rPr>
      </w:pPr>
      <w:r w:rsidRPr="00E75730">
        <w:rPr>
          <w:rFonts w:ascii="Arial" w:hAnsi="Arial" w:cs="Arial"/>
          <w:b/>
        </w:rPr>
        <w:t>Primero.</w:t>
      </w:r>
      <w:r w:rsidRPr="00E75730">
        <w:rPr>
          <w:rFonts w:ascii="Arial" w:hAnsi="Arial" w:cs="Arial"/>
        </w:rPr>
        <w:t xml:space="preserve"> Se aprueban los Lineamientos para el Pago y Comprobación de Recursos con motivo del Proceso Electoral Concurrente 2023-2024 anexos al presente acuerdo.</w:t>
      </w:r>
    </w:p>
    <w:p w:rsidR="0094632F" w:rsidRPr="00E75730" w:rsidRDefault="0094632F" w:rsidP="0094632F">
      <w:pPr>
        <w:rPr>
          <w:rFonts w:ascii="Arial" w:hAnsi="Arial" w:cs="Arial"/>
        </w:rPr>
      </w:pPr>
      <w:bookmarkStart w:id="0" w:name="_GoBack"/>
      <w:r w:rsidRPr="00E75730">
        <w:rPr>
          <w:rFonts w:ascii="Arial" w:hAnsi="Arial" w:cs="Arial"/>
          <w:b/>
        </w:rPr>
        <w:t>Segundo.</w:t>
      </w:r>
      <w:r w:rsidRPr="00E75730">
        <w:rPr>
          <w:rFonts w:ascii="Arial" w:hAnsi="Arial" w:cs="Arial"/>
        </w:rPr>
        <w:t xml:space="preserve"> Se instruye al Secretario Ejecutivo haga del conocimiento de las Vocalías de las Juntas Electorales Distritales el contenido del presente acuerdo.</w:t>
      </w:r>
    </w:p>
    <w:bookmarkEnd w:id="0"/>
    <w:p w:rsidR="0094632F" w:rsidRPr="00E75730" w:rsidRDefault="0094632F" w:rsidP="0094632F">
      <w:pPr>
        <w:rPr>
          <w:rFonts w:ascii="Arial" w:hAnsi="Arial" w:cs="Arial"/>
        </w:rPr>
      </w:pPr>
      <w:r w:rsidRPr="00E75730">
        <w:rPr>
          <w:rFonts w:ascii="Arial" w:hAnsi="Arial" w:cs="Arial"/>
          <w:b/>
        </w:rPr>
        <w:t>Tercero.</w:t>
      </w:r>
      <w:r w:rsidRPr="00E75730">
        <w:rPr>
          <w:rFonts w:ascii="Arial" w:hAnsi="Arial" w:cs="Arial"/>
        </w:rPr>
        <w:t xml:space="preserve"> Asimismo, se instruye a la Dirección de Administración realice los trámites administrativos correspondientes para dar cumplimiento al presente acuerdo.</w:t>
      </w:r>
    </w:p>
    <w:p w:rsidR="0094632F" w:rsidRPr="00E75730" w:rsidRDefault="0094632F" w:rsidP="0094632F">
      <w:pPr>
        <w:rPr>
          <w:rFonts w:ascii="Arial" w:hAnsi="Arial" w:cs="Arial"/>
        </w:rPr>
      </w:pPr>
      <w:r w:rsidRPr="00E75730">
        <w:rPr>
          <w:rFonts w:ascii="Arial" w:hAnsi="Arial" w:cs="Arial"/>
        </w:rPr>
        <w:t xml:space="preserve">El presente acuerdo fue aprobado en sesión extraordinaria </w:t>
      </w:r>
      <w:r w:rsidR="00E75730">
        <w:rPr>
          <w:rFonts w:ascii="Arial" w:hAnsi="Arial" w:cs="Arial"/>
        </w:rPr>
        <w:t xml:space="preserve">urgente </w:t>
      </w:r>
      <w:r w:rsidRPr="00E75730">
        <w:rPr>
          <w:rFonts w:ascii="Arial" w:hAnsi="Arial" w:cs="Arial"/>
        </w:rPr>
        <w:t>efectuada el</w:t>
      </w:r>
      <w:r w:rsidR="00E75730">
        <w:rPr>
          <w:rFonts w:ascii="Arial" w:hAnsi="Arial" w:cs="Arial"/>
        </w:rPr>
        <w:t xml:space="preserve"> ocho</w:t>
      </w:r>
      <w:r w:rsidRPr="00E75730">
        <w:rPr>
          <w:rFonts w:ascii="Arial" w:hAnsi="Arial" w:cs="Arial"/>
        </w:rPr>
        <w:t xml:space="preserve"> de </w:t>
      </w:r>
      <w:r w:rsidR="00E75730">
        <w:rPr>
          <w:rFonts w:ascii="Arial" w:hAnsi="Arial" w:cs="Arial"/>
        </w:rPr>
        <w:t>mayo</w:t>
      </w:r>
      <w:r w:rsidRPr="00E75730">
        <w:rPr>
          <w:rFonts w:ascii="Arial" w:hAnsi="Arial" w:cs="Arial"/>
        </w:rPr>
        <w:t xml:space="preserve"> del año dos</w:t>
      </w:r>
      <w:r w:rsidR="00E75730">
        <w:rPr>
          <w:rFonts w:ascii="Arial" w:hAnsi="Arial" w:cs="Arial"/>
        </w:rPr>
        <w:t xml:space="preserve"> mil veinticuatro, por votación unánime</w:t>
      </w:r>
      <w:r w:rsidRPr="00E75730">
        <w:rPr>
          <w:rFonts w:ascii="Arial" w:hAnsi="Arial" w:cs="Arial"/>
        </w:rPr>
        <w:t xml:space="preserv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DF3D2B" w:rsidRPr="00E75730" w:rsidRDefault="00DF3D2B" w:rsidP="0094632F">
      <w:pPr>
        <w:rPr>
          <w:rFonts w:ascii="Arial" w:hAnsi="Arial" w:cs="Arial"/>
        </w:rPr>
      </w:pPr>
    </w:p>
    <w:p w:rsidR="00DF3D2B" w:rsidRPr="00E75730" w:rsidRDefault="00DF3D2B" w:rsidP="0094632F">
      <w:pPr>
        <w:rPr>
          <w:rFonts w:ascii="Arial" w:hAnsi="Arial" w:cs="Arial"/>
        </w:rPr>
      </w:pPr>
    </w:p>
    <w:p w:rsidR="00DF3D2B" w:rsidRPr="00E75730" w:rsidRDefault="00DF3D2B" w:rsidP="0094632F">
      <w:pPr>
        <w:rPr>
          <w:rFonts w:ascii="Arial" w:hAnsi="Arial" w:cs="Arial"/>
        </w:rPr>
      </w:pPr>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799"/>
        <w:gridCol w:w="4524"/>
      </w:tblGrid>
      <w:tr w:rsidR="0094632F" w:rsidRPr="00E75730" w:rsidTr="00E75730">
        <w:trPr>
          <w:trHeight w:val="1022"/>
        </w:trPr>
        <w:tc>
          <w:tcPr>
            <w:tcW w:w="4629" w:type="dxa"/>
          </w:tcPr>
          <w:p w:rsidR="0094632F" w:rsidRPr="00E75730" w:rsidRDefault="0094632F" w:rsidP="0094632F">
            <w:pPr>
              <w:spacing w:before="0" w:after="0"/>
              <w:jc w:val="center"/>
              <w:rPr>
                <w:rFonts w:ascii="Arial" w:hAnsi="Arial" w:cs="Arial"/>
                <w:b/>
                <w:sz w:val="22"/>
              </w:rPr>
            </w:pPr>
            <w:r w:rsidRPr="00E75730">
              <w:rPr>
                <w:rFonts w:ascii="Arial" w:hAnsi="Arial" w:cs="Arial"/>
                <w:b/>
                <w:sz w:val="22"/>
              </w:rPr>
              <w:t>MTRA. ELIZABETH NAVA GUTIÉRREZ</w:t>
            </w:r>
          </w:p>
          <w:p w:rsidR="0094632F" w:rsidRPr="00E75730" w:rsidRDefault="0094632F" w:rsidP="0094632F">
            <w:pPr>
              <w:spacing w:before="0" w:after="0"/>
              <w:jc w:val="center"/>
              <w:rPr>
                <w:rFonts w:ascii="Arial" w:hAnsi="Arial" w:cs="Arial"/>
                <w:b/>
                <w:sz w:val="22"/>
              </w:rPr>
            </w:pPr>
            <w:r w:rsidRPr="00E75730">
              <w:rPr>
                <w:rFonts w:ascii="Arial" w:hAnsi="Arial" w:cs="Arial"/>
                <w:b/>
                <w:sz w:val="22"/>
              </w:rPr>
              <w:t>CONSEJERA PRESIDENTA</w:t>
            </w:r>
          </w:p>
        </w:tc>
        <w:tc>
          <w:tcPr>
            <w:tcW w:w="799" w:type="dxa"/>
          </w:tcPr>
          <w:p w:rsidR="0094632F" w:rsidRPr="00E75730" w:rsidRDefault="0094632F" w:rsidP="0094632F">
            <w:pPr>
              <w:spacing w:before="0" w:after="0"/>
              <w:jc w:val="center"/>
              <w:rPr>
                <w:rFonts w:ascii="Arial" w:hAnsi="Arial" w:cs="Arial"/>
                <w:b/>
                <w:sz w:val="22"/>
              </w:rPr>
            </w:pPr>
          </w:p>
        </w:tc>
        <w:tc>
          <w:tcPr>
            <w:tcW w:w="4524" w:type="dxa"/>
          </w:tcPr>
          <w:p w:rsidR="0094632F" w:rsidRPr="00E75730" w:rsidRDefault="0094632F" w:rsidP="0094632F">
            <w:pPr>
              <w:spacing w:before="0" w:after="0"/>
              <w:jc w:val="center"/>
              <w:rPr>
                <w:rFonts w:ascii="Arial" w:hAnsi="Arial" w:cs="Arial"/>
                <w:b/>
                <w:sz w:val="22"/>
              </w:rPr>
            </w:pPr>
            <w:r w:rsidRPr="00E75730">
              <w:rPr>
                <w:rFonts w:ascii="Arial" w:hAnsi="Arial" w:cs="Arial"/>
                <w:b/>
                <w:sz w:val="22"/>
              </w:rPr>
              <w:t>LIC. JORGE ALBERTO ZAVALA FRÍAS</w:t>
            </w:r>
          </w:p>
          <w:p w:rsidR="0094632F" w:rsidRPr="00E75730" w:rsidRDefault="0094632F" w:rsidP="0094632F">
            <w:pPr>
              <w:spacing w:before="0" w:after="0"/>
              <w:jc w:val="center"/>
              <w:rPr>
                <w:rFonts w:ascii="Arial" w:hAnsi="Arial" w:cs="Arial"/>
                <w:b/>
                <w:sz w:val="22"/>
              </w:rPr>
            </w:pPr>
            <w:r w:rsidRPr="00E75730">
              <w:rPr>
                <w:rFonts w:ascii="Arial" w:hAnsi="Arial" w:cs="Arial"/>
                <w:b/>
                <w:sz w:val="22"/>
              </w:rPr>
              <w:t>SECRETARIO EJECUTIVO</w:t>
            </w:r>
          </w:p>
        </w:tc>
      </w:tr>
    </w:tbl>
    <w:p w:rsidR="0094632F" w:rsidRPr="00E75730" w:rsidRDefault="0094632F" w:rsidP="0094632F">
      <w:pPr>
        <w:rPr>
          <w:rFonts w:ascii="Arial" w:hAnsi="Arial" w:cs="Arial"/>
        </w:rPr>
      </w:pPr>
    </w:p>
    <w:p w:rsidR="0094632F" w:rsidRPr="00E75730" w:rsidRDefault="0094632F" w:rsidP="0094632F">
      <w:pPr>
        <w:rPr>
          <w:rFonts w:ascii="Arial" w:hAnsi="Arial" w:cs="Arial"/>
        </w:rPr>
      </w:pPr>
      <w:r w:rsidRPr="00E75730">
        <w:rPr>
          <w:rFonts w:ascii="Arial" w:hAnsi="Arial" w:cs="Arial"/>
        </w:rPr>
        <w:tab/>
      </w:r>
      <w:r w:rsidRPr="00E75730">
        <w:rPr>
          <w:rFonts w:ascii="Arial" w:hAnsi="Arial" w:cs="Arial"/>
        </w:rPr>
        <w:tab/>
      </w:r>
    </w:p>
    <w:p w:rsidR="0094632F" w:rsidRPr="00E75730" w:rsidRDefault="0094632F" w:rsidP="0094632F">
      <w:pPr>
        <w:rPr>
          <w:rFonts w:ascii="Arial" w:hAnsi="Arial" w:cs="Arial"/>
        </w:rPr>
      </w:pPr>
    </w:p>
    <w:sectPr w:rsidR="0094632F" w:rsidRPr="00E75730" w:rsidSect="00E75730">
      <w:headerReference w:type="default" r:id="rId7"/>
      <w:footerReference w:type="default" r:id="rId8"/>
      <w:pgSz w:w="12240" w:h="15840" w:code="1"/>
      <w:pgMar w:top="1418"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7D" w:rsidRDefault="00EE567D" w:rsidP="0094632F">
      <w:pPr>
        <w:spacing w:before="0" w:after="0" w:line="240" w:lineRule="auto"/>
      </w:pPr>
      <w:r>
        <w:separator/>
      </w:r>
    </w:p>
  </w:endnote>
  <w:endnote w:type="continuationSeparator" w:id="0">
    <w:p w:rsidR="00EE567D" w:rsidRDefault="00EE567D" w:rsidP="009463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660033"/>
        <w:sz w:val="24"/>
      </w:rPr>
      <w:id w:val="-1283178978"/>
      <w:docPartObj>
        <w:docPartGallery w:val="Page Numbers (Bottom of Page)"/>
        <w:docPartUnique/>
      </w:docPartObj>
    </w:sdtPr>
    <w:sdtEndPr>
      <w:rPr>
        <w:sz w:val="23"/>
        <w:szCs w:val="20"/>
      </w:rPr>
    </w:sdtEndPr>
    <w:sdtContent>
      <w:p w:rsidR="00DF3D2B" w:rsidRPr="00DF3D2B" w:rsidRDefault="00DF3D2B" w:rsidP="00DF3D2B">
        <w:pPr>
          <w:pStyle w:val="Piedepgina"/>
          <w:jc w:val="right"/>
          <w:rPr>
            <w:b/>
            <w:bCs/>
            <w:color w:val="660033"/>
            <w:szCs w:val="20"/>
          </w:rPr>
        </w:pPr>
        <w:r w:rsidRPr="0051289A">
          <w:rPr>
            <w:b/>
            <w:bCs/>
            <w:color w:val="660033"/>
            <w:szCs w:val="20"/>
          </w:rPr>
          <w:t xml:space="preserve">Página  </w:t>
        </w:r>
        <w:r w:rsidRPr="0051289A">
          <w:rPr>
            <w:b/>
            <w:bCs/>
            <w:color w:val="660033"/>
            <w:szCs w:val="20"/>
          </w:rPr>
          <w:fldChar w:fldCharType="begin"/>
        </w:r>
        <w:r w:rsidRPr="0051289A">
          <w:rPr>
            <w:b/>
            <w:bCs/>
            <w:color w:val="660033"/>
            <w:szCs w:val="20"/>
          </w:rPr>
          <w:instrText>PAGE   \* MERGEFORMAT</w:instrText>
        </w:r>
        <w:r w:rsidRPr="0051289A">
          <w:rPr>
            <w:b/>
            <w:bCs/>
            <w:color w:val="660033"/>
            <w:szCs w:val="20"/>
          </w:rPr>
          <w:fldChar w:fldCharType="separate"/>
        </w:r>
        <w:r w:rsidR="009A1E12">
          <w:rPr>
            <w:b/>
            <w:bCs/>
            <w:noProof/>
            <w:color w:val="660033"/>
            <w:szCs w:val="20"/>
          </w:rPr>
          <w:t>7</w:t>
        </w:r>
        <w:r w:rsidRPr="0051289A">
          <w:rPr>
            <w:b/>
            <w:bCs/>
            <w:color w:val="660033"/>
            <w:szCs w:val="20"/>
          </w:rPr>
          <w:fldChar w:fldCharType="end"/>
        </w:r>
        <w:r w:rsidRPr="0051289A">
          <w:rPr>
            <w:b/>
            <w:bCs/>
            <w:color w:val="660033"/>
            <w:szCs w:val="20"/>
          </w:rPr>
          <w:t xml:space="preserve"> | </w:t>
        </w:r>
        <w:r w:rsidRPr="0051289A">
          <w:rPr>
            <w:b/>
            <w:bCs/>
            <w:color w:val="660033"/>
            <w:szCs w:val="20"/>
          </w:rPr>
          <w:fldChar w:fldCharType="begin"/>
        </w:r>
        <w:r w:rsidRPr="0051289A">
          <w:rPr>
            <w:b/>
            <w:bCs/>
            <w:color w:val="660033"/>
            <w:szCs w:val="20"/>
          </w:rPr>
          <w:instrText xml:space="preserve"> NUMPAGES   \* MERGEFORMAT </w:instrText>
        </w:r>
        <w:r w:rsidRPr="0051289A">
          <w:rPr>
            <w:b/>
            <w:bCs/>
            <w:color w:val="660033"/>
            <w:szCs w:val="20"/>
          </w:rPr>
          <w:fldChar w:fldCharType="separate"/>
        </w:r>
        <w:r w:rsidR="009A1E12">
          <w:rPr>
            <w:b/>
            <w:bCs/>
            <w:noProof/>
            <w:color w:val="660033"/>
            <w:szCs w:val="20"/>
          </w:rPr>
          <w:t>8</w:t>
        </w:r>
        <w:r w:rsidRPr="0051289A">
          <w:rPr>
            <w:b/>
            <w:bCs/>
            <w:color w:val="660033"/>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7D" w:rsidRDefault="00EE567D" w:rsidP="0094632F">
      <w:pPr>
        <w:spacing w:before="0" w:after="0" w:line="240" w:lineRule="auto"/>
      </w:pPr>
      <w:r>
        <w:separator/>
      </w:r>
    </w:p>
  </w:footnote>
  <w:footnote w:type="continuationSeparator" w:id="0">
    <w:p w:rsidR="00EE567D" w:rsidRDefault="00EE567D" w:rsidP="009463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94632F" w:rsidRPr="00CD4F78" w:rsidTr="008F36F0">
      <w:tc>
        <w:tcPr>
          <w:tcW w:w="1418" w:type="dxa"/>
        </w:tcPr>
        <w:p w:rsidR="0094632F" w:rsidRPr="00CD4F78" w:rsidRDefault="0094632F" w:rsidP="0094632F">
          <w:pPr>
            <w:pStyle w:val="Encabezado"/>
            <w:ind w:left="-170"/>
            <w:rPr>
              <w:rFonts w:ascii="Arial" w:hAnsi="Arial"/>
            </w:rPr>
          </w:pPr>
          <w:r w:rsidRPr="00CD4F78">
            <w:rPr>
              <w:rFonts w:ascii="Arial" w:hAnsi="Arial"/>
              <w:b/>
              <w:noProof/>
              <w:sz w:val="32"/>
              <w:lang w:val="es-MX" w:eastAsia="es-MX"/>
            </w:rPr>
            <w:drawing>
              <wp:inline distT="0" distB="0" distL="0" distR="0" wp14:anchorId="083810A5" wp14:editId="69E331F3">
                <wp:extent cx="1014331" cy="1199403"/>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94632F" w:rsidRPr="007748F8" w:rsidRDefault="0094632F" w:rsidP="0094632F">
          <w:pPr>
            <w:pStyle w:val="Encabezado"/>
            <w:spacing w:before="720"/>
            <w:jc w:val="center"/>
            <w:rPr>
              <w:rFonts w:ascii="Arial" w:hAnsi="Arial" w:cs="Arial"/>
              <w:b/>
              <w:bCs/>
              <w:sz w:val="24"/>
              <w:szCs w:val="24"/>
            </w:rPr>
          </w:pPr>
          <w:r w:rsidRPr="007748F8">
            <w:rPr>
              <w:rFonts w:ascii="Arial" w:hAnsi="Arial" w:cs="Arial"/>
              <w:b/>
              <w:bCs/>
              <w:sz w:val="24"/>
              <w:szCs w:val="24"/>
            </w:rPr>
            <w:t>INSTITUTO ELECTORAL Y DE PARTICIPACIÓN CIUDADANA DE TABASCO</w:t>
          </w:r>
        </w:p>
        <w:p w:rsidR="0094632F" w:rsidRPr="00CD4F78" w:rsidRDefault="0094632F" w:rsidP="0094632F">
          <w:pPr>
            <w:pStyle w:val="Encabezado"/>
            <w:jc w:val="center"/>
            <w:rPr>
              <w:rFonts w:ascii="Arial" w:hAnsi="Arial"/>
              <w:sz w:val="25"/>
              <w:szCs w:val="25"/>
            </w:rPr>
          </w:pPr>
          <w:r w:rsidRPr="007748F8">
            <w:rPr>
              <w:rFonts w:ascii="Arial" w:hAnsi="Arial" w:cs="Arial"/>
              <w:sz w:val="24"/>
              <w:szCs w:val="24"/>
            </w:rPr>
            <w:t>JUNTA ESTATAL EJECUTIVA</w:t>
          </w:r>
        </w:p>
      </w:tc>
      <w:tc>
        <w:tcPr>
          <w:tcW w:w="1701" w:type="dxa"/>
        </w:tcPr>
        <w:p w:rsidR="0094632F" w:rsidRPr="00CD4F78" w:rsidRDefault="0094632F" w:rsidP="0094632F">
          <w:pPr>
            <w:pStyle w:val="Encabezado"/>
            <w:spacing w:before="480"/>
            <w:rPr>
              <w:rFonts w:ascii="Arial" w:hAnsi="Arial"/>
            </w:rPr>
          </w:pPr>
          <w:r>
            <w:rPr>
              <w:rFonts w:ascii="Arial" w:hAnsi="Arial"/>
              <w:noProof/>
              <w:lang w:val="es-MX" w:eastAsia="es-MX"/>
            </w:rPr>
            <w:drawing>
              <wp:inline distT="0" distB="0" distL="0" distR="0">
                <wp:extent cx="942975" cy="774065"/>
                <wp:effectExtent l="0" t="0" r="9525"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94632F" w:rsidRPr="00E75730" w:rsidRDefault="00E75730" w:rsidP="00E75730">
    <w:pPr>
      <w:pStyle w:val="Encabezado"/>
      <w:jc w:val="right"/>
      <w:rPr>
        <w:rFonts w:ascii="Arial" w:hAnsi="Arial" w:cs="Arial"/>
        <w:b/>
        <w:sz w:val="24"/>
        <w:szCs w:val="24"/>
      </w:rPr>
    </w:pPr>
    <w:r w:rsidRPr="00E75730">
      <w:rPr>
        <w:rFonts w:ascii="Arial" w:hAnsi="Arial" w:cs="Arial"/>
        <w:b/>
        <w:sz w:val="24"/>
        <w:szCs w:val="24"/>
      </w:rPr>
      <w:t>JEE/2024/009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6578"/>
    <w:multiLevelType w:val="multilevel"/>
    <w:tmpl w:val="0042482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6B02FF1"/>
    <w:multiLevelType w:val="hybridMultilevel"/>
    <w:tmpl w:val="F3C8E5EE"/>
    <w:lvl w:ilvl="0" w:tplc="909C3AA2">
      <w:start w:val="1"/>
      <w:numFmt w:val="upperRoman"/>
      <w:lvlText w:val="%1."/>
      <w:lvlJc w:val="left"/>
      <w:pPr>
        <w:ind w:left="1080" w:hanging="720"/>
      </w:pPr>
      <w:rPr>
        <w:rFonts w:hint="default"/>
      </w:rPr>
    </w:lvl>
    <w:lvl w:ilvl="1" w:tplc="836EA5F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540738"/>
    <w:multiLevelType w:val="hybridMultilevel"/>
    <w:tmpl w:val="5874B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4B"/>
    <w:rsid w:val="000E5B83"/>
    <w:rsid w:val="00433EAC"/>
    <w:rsid w:val="0045554B"/>
    <w:rsid w:val="00652D4B"/>
    <w:rsid w:val="00694F2D"/>
    <w:rsid w:val="008F2036"/>
    <w:rsid w:val="0094632F"/>
    <w:rsid w:val="009A1E12"/>
    <w:rsid w:val="00AE7B7A"/>
    <w:rsid w:val="00B308E2"/>
    <w:rsid w:val="00DF3D2B"/>
    <w:rsid w:val="00E75730"/>
    <w:rsid w:val="00EE567D"/>
    <w:rsid w:val="00F13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4C06"/>
  <w15:chartTrackingRefBased/>
  <w15:docId w15:val="{11443266-334B-4851-9968-A1BA0A97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4B"/>
    <w:pPr>
      <w:spacing w:before="240" w:after="240" w:line="281" w:lineRule="auto"/>
      <w:jc w:val="both"/>
    </w:pPr>
    <w:rPr>
      <w:rFonts w:ascii="Exo" w:hAnsi="Exo"/>
      <w:sz w:val="23"/>
      <w:szCs w:val="23"/>
      <w:lang w:val="es-ES"/>
    </w:rPr>
  </w:style>
  <w:style w:type="paragraph" w:styleId="Ttulo1">
    <w:name w:val="heading 1"/>
    <w:basedOn w:val="Normal"/>
    <w:next w:val="Normal"/>
    <w:link w:val="Ttulo1Car"/>
    <w:uiPriority w:val="9"/>
    <w:qFormat/>
    <w:rsid w:val="0094632F"/>
    <w:pPr>
      <w:keepNext/>
      <w:keepLines/>
      <w:numPr>
        <w:numId w:val="1"/>
      </w:numPr>
      <w:spacing w:line="300" w:lineRule="auto"/>
      <w:jc w:val="center"/>
      <w:outlineLvl w:val="0"/>
    </w:pPr>
    <w:rPr>
      <w:rFonts w:eastAsiaTheme="majorEastAsia" w:cs="Arial"/>
      <w:b/>
      <w:bCs/>
      <w:kern w:val="2"/>
      <w:sz w:val="28"/>
      <w:lang w:val="es-MX"/>
      <w14:ligatures w14:val="standardContextual"/>
    </w:rPr>
  </w:style>
  <w:style w:type="paragraph" w:styleId="Ttulo2">
    <w:name w:val="heading 2"/>
    <w:basedOn w:val="Normal"/>
    <w:next w:val="Normal"/>
    <w:link w:val="Ttulo2Car"/>
    <w:uiPriority w:val="9"/>
    <w:unhideWhenUsed/>
    <w:qFormat/>
    <w:rsid w:val="0045554B"/>
    <w:pPr>
      <w:keepNext/>
      <w:keepLines/>
      <w:numPr>
        <w:ilvl w:val="1"/>
        <w:numId w:val="1"/>
      </w:numPr>
      <w:spacing w:before="480" w:line="264" w:lineRule="auto"/>
      <w:outlineLvl w:val="1"/>
    </w:pPr>
    <w:rPr>
      <w:rFonts w:eastAsiaTheme="majorEastAsia" w:cs="Arial"/>
      <w:b/>
      <w:bCs/>
      <w:kern w:val="2"/>
      <w:lang w:val="es-MX"/>
      <w14:ligatures w14:val="standardContextual"/>
    </w:rPr>
  </w:style>
  <w:style w:type="paragraph" w:styleId="Ttulo3">
    <w:name w:val="heading 3"/>
    <w:basedOn w:val="Normal"/>
    <w:next w:val="Normal"/>
    <w:link w:val="Ttulo3Car"/>
    <w:uiPriority w:val="9"/>
    <w:unhideWhenUsed/>
    <w:qFormat/>
    <w:rsid w:val="0045554B"/>
    <w:pPr>
      <w:keepNext/>
      <w:keepLines/>
      <w:numPr>
        <w:ilvl w:val="2"/>
        <w:numId w:val="1"/>
      </w:numPr>
      <w:spacing w:before="600" w:line="288" w:lineRule="auto"/>
      <w:outlineLvl w:val="2"/>
    </w:pPr>
    <w:rPr>
      <w:rFonts w:ascii="Arial" w:eastAsiaTheme="majorEastAsia" w:hAnsi="Arial" w:cs="Arial"/>
      <w:b/>
      <w:bCs/>
      <w:kern w:val="2"/>
      <w:sz w:val="24"/>
      <w:szCs w:val="24"/>
      <w:lang w:val="es-MX"/>
      <w14:ligatures w14:val="standardContextual"/>
    </w:rPr>
  </w:style>
  <w:style w:type="paragraph" w:styleId="Ttulo4">
    <w:name w:val="heading 4"/>
    <w:basedOn w:val="Normal"/>
    <w:next w:val="Normal"/>
    <w:link w:val="Ttulo4Car"/>
    <w:uiPriority w:val="9"/>
    <w:semiHidden/>
    <w:unhideWhenUsed/>
    <w:qFormat/>
    <w:rsid w:val="0045554B"/>
    <w:pPr>
      <w:keepNext/>
      <w:keepLines/>
      <w:numPr>
        <w:ilvl w:val="3"/>
        <w:numId w:val="1"/>
      </w:numPr>
      <w:spacing w:before="40" w:after="0" w:line="288" w:lineRule="auto"/>
      <w:outlineLvl w:val="3"/>
    </w:pPr>
    <w:rPr>
      <w:rFonts w:asciiTheme="majorHAnsi" w:eastAsiaTheme="majorEastAsia" w:hAnsiTheme="majorHAnsi" w:cstheme="majorBidi"/>
      <w:i/>
      <w:iCs/>
      <w:color w:val="2E74B5" w:themeColor="accent1" w:themeShade="BF"/>
      <w:kern w:val="2"/>
      <w:sz w:val="24"/>
      <w:szCs w:val="24"/>
      <w:lang w:val="es-MX"/>
      <w14:ligatures w14:val="standardContextual"/>
    </w:rPr>
  </w:style>
  <w:style w:type="paragraph" w:styleId="Ttulo5">
    <w:name w:val="heading 5"/>
    <w:basedOn w:val="Normal"/>
    <w:next w:val="Normal"/>
    <w:link w:val="Ttulo5Car"/>
    <w:uiPriority w:val="9"/>
    <w:semiHidden/>
    <w:unhideWhenUsed/>
    <w:qFormat/>
    <w:rsid w:val="0045554B"/>
    <w:pPr>
      <w:keepNext/>
      <w:keepLines/>
      <w:numPr>
        <w:ilvl w:val="4"/>
        <w:numId w:val="1"/>
      </w:numPr>
      <w:spacing w:before="40" w:after="0" w:line="288" w:lineRule="auto"/>
      <w:outlineLvl w:val="4"/>
    </w:pPr>
    <w:rPr>
      <w:rFonts w:asciiTheme="majorHAnsi" w:eastAsiaTheme="majorEastAsia" w:hAnsiTheme="majorHAnsi" w:cstheme="majorBidi"/>
      <w:color w:val="2E74B5" w:themeColor="accent1" w:themeShade="BF"/>
      <w:kern w:val="2"/>
      <w:sz w:val="24"/>
      <w:szCs w:val="24"/>
      <w:lang w:val="es-MX"/>
      <w14:ligatures w14:val="standardContextual"/>
    </w:rPr>
  </w:style>
  <w:style w:type="paragraph" w:styleId="Ttulo6">
    <w:name w:val="heading 6"/>
    <w:basedOn w:val="Normal"/>
    <w:next w:val="Normal"/>
    <w:link w:val="Ttulo6Car"/>
    <w:uiPriority w:val="9"/>
    <w:semiHidden/>
    <w:unhideWhenUsed/>
    <w:qFormat/>
    <w:rsid w:val="0045554B"/>
    <w:pPr>
      <w:keepNext/>
      <w:keepLines/>
      <w:numPr>
        <w:ilvl w:val="5"/>
        <w:numId w:val="1"/>
      </w:numPr>
      <w:spacing w:before="40" w:after="0" w:line="288" w:lineRule="auto"/>
      <w:outlineLvl w:val="5"/>
    </w:pPr>
    <w:rPr>
      <w:rFonts w:asciiTheme="majorHAnsi" w:eastAsiaTheme="majorEastAsia" w:hAnsiTheme="majorHAnsi" w:cstheme="majorBidi"/>
      <w:color w:val="1F4D78" w:themeColor="accent1" w:themeShade="7F"/>
      <w:kern w:val="2"/>
      <w:sz w:val="24"/>
      <w:szCs w:val="24"/>
      <w:lang w:val="es-MX"/>
      <w14:ligatures w14:val="standardContextual"/>
    </w:rPr>
  </w:style>
  <w:style w:type="paragraph" w:styleId="Ttulo7">
    <w:name w:val="heading 7"/>
    <w:basedOn w:val="Normal"/>
    <w:next w:val="Normal"/>
    <w:link w:val="Ttulo7Car"/>
    <w:uiPriority w:val="9"/>
    <w:semiHidden/>
    <w:unhideWhenUsed/>
    <w:qFormat/>
    <w:rsid w:val="0045554B"/>
    <w:pPr>
      <w:keepNext/>
      <w:keepLines/>
      <w:numPr>
        <w:ilvl w:val="6"/>
        <w:numId w:val="1"/>
      </w:numPr>
      <w:spacing w:before="40" w:after="0" w:line="288" w:lineRule="auto"/>
      <w:outlineLvl w:val="6"/>
    </w:pPr>
    <w:rPr>
      <w:rFonts w:asciiTheme="majorHAnsi" w:eastAsiaTheme="majorEastAsia" w:hAnsiTheme="majorHAnsi" w:cstheme="majorBidi"/>
      <w:i/>
      <w:iCs/>
      <w:color w:val="1F4D78" w:themeColor="accent1" w:themeShade="7F"/>
      <w:kern w:val="2"/>
      <w:sz w:val="24"/>
      <w:szCs w:val="24"/>
      <w:lang w:val="es-MX"/>
      <w14:ligatures w14:val="standardContextual"/>
    </w:rPr>
  </w:style>
  <w:style w:type="paragraph" w:styleId="Ttulo8">
    <w:name w:val="heading 8"/>
    <w:basedOn w:val="Normal"/>
    <w:next w:val="Normal"/>
    <w:link w:val="Ttulo8Car"/>
    <w:uiPriority w:val="9"/>
    <w:semiHidden/>
    <w:unhideWhenUsed/>
    <w:qFormat/>
    <w:rsid w:val="0045554B"/>
    <w:pPr>
      <w:keepNext/>
      <w:keepLines/>
      <w:numPr>
        <w:ilvl w:val="7"/>
        <w:numId w:val="1"/>
      </w:numPr>
      <w:spacing w:before="40" w:after="0" w:line="288" w:lineRule="auto"/>
      <w:outlineLvl w:val="7"/>
    </w:pPr>
    <w:rPr>
      <w:rFonts w:asciiTheme="majorHAnsi" w:eastAsiaTheme="majorEastAsia" w:hAnsiTheme="majorHAnsi" w:cstheme="majorBidi"/>
      <w:color w:val="272727" w:themeColor="text1" w:themeTint="D8"/>
      <w:kern w:val="2"/>
      <w:sz w:val="21"/>
      <w:szCs w:val="21"/>
      <w:lang w:val="es-MX"/>
      <w14:ligatures w14:val="standardContextual"/>
    </w:rPr>
  </w:style>
  <w:style w:type="paragraph" w:styleId="Ttulo9">
    <w:name w:val="heading 9"/>
    <w:basedOn w:val="Normal"/>
    <w:next w:val="Normal"/>
    <w:link w:val="Ttulo9Car"/>
    <w:uiPriority w:val="9"/>
    <w:semiHidden/>
    <w:unhideWhenUsed/>
    <w:qFormat/>
    <w:rsid w:val="0045554B"/>
    <w:pPr>
      <w:keepNext/>
      <w:keepLines/>
      <w:numPr>
        <w:ilvl w:val="8"/>
        <w:numId w:val="1"/>
      </w:numPr>
      <w:spacing w:before="40" w:after="0" w:line="288" w:lineRule="auto"/>
      <w:outlineLvl w:val="8"/>
    </w:pPr>
    <w:rPr>
      <w:rFonts w:asciiTheme="majorHAnsi" w:eastAsiaTheme="majorEastAsia" w:hAnsiTheme="majorHAnsi" w:cstheme="majorBidi"/>
      <w:i/>
      <w:iCs/>
      <w:color w:val="272727" w:themeColor="text1" w:themeTint="D8"/>
      <w:kern w:val="2"/>
      <w:sz w:val="21"/>
      <w:szCs w:val="21"/>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32F"/>
    <w:rPr>
      <w:rFonts w:ascii="Exo" w:eastAsiaTheme="majorEastAsia" w:hAnsi="Exo" w:cs="Arial"/>
      <w:b/>
      <w:bCs/>
      <w:kern w:val="2"/>
      <w:sz w:val="28"/>
      <w:szCs w:val="23"/>
      <w14:ligatures w14:val="standardContextual"/>
    </w:rPr>
  </w:style>
  <w:style w:type="character" w:customStyle="1" w:styleId="Ttulo2Car">
    <w:name w:val="Título 2 Car"/>
    <w:basedOn w:val="Fuentedeprrafopredeter"/>
    <w:link w:val="Ttulo2"/>
    <w:uiPriority w:val="9"/>
    <w:rsid w:val="0045554B"/>
    <w:rPr>
      <w:rFonts w:ascii="Exo" w:eastAsiaTheme="majorEastAsia" w:hAnsi="Exo" w:cs="Arial"/>
      <w:b/>
      <w:bCs/>
      <w:kern w:val="2"/>
      <w:sz w:val="23"/>
      <w:szCs w:val="23"/>
      <w14:ligatures w14:val="standardContextual"/>
    </w:rPr>
  </w:style>
  <w:style w:type="character" w:customStyle="1" w:styleId="Ttulo3Car">
    <w:name w:val="Título 3 Car"/>
    <w:basedOn w:val="Fuentedeprrafopredeter"/>
    <w:link w:val="Ttulo3"/>
    <w:uiPriority w:val="9"/>
    <w:rsid w:val="0045554B"/>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45554B"/>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45554B"/>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45554B"/>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45554B"/>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45554B"/>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45554B"/>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45554B"/>
    <w:pPr>
      <w:ind w:left="720"/>
      <w:contextualSpacing/>
    </w:pPr>
  </w:style>
  <w:style w:type="paragraph" w:styleId="Encabezado">
    <w:name w:val="header"/>
    <w:basedOn w:val="Normal"/>
    <w:link w:val="EncabezadoCar"/>
    <w:uiPriority w:val="99"/>
    <w:unhideWhenUsed/>
    <w:rsid w:val="0094632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4632F"/>
    <w:rPr>
      <w:rFonts w:ascii="Exo" w:hAnsi="Exo"/>
      <w:sz w:val="23"/>
      <w:szCs w:val="23"/>
      <w:lang w:val="es-ES"/>
    </w:rPr>
  </w:style>
  <w:style w:type="paragraph" w:styleId="Piedepgina">
    <w:name w:val="footer"/>
    <w:basedOn w:val="Normal"/>
    <w:link w:val="PiedepginaCar"/>
    <w:uiPriority w:val="99"/>
    <w:unhideWhenUsed/>
    <w:rsid w:val="0094632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4632F"/>
    <w:rPr>
      <w:rFonts w:ascii="Exo" w:hAnsi="Exo"/>
      <w:sz w:val="23"/>
      <w:szCs w:val="23"/>
      <w:lang w:val="es-ES"/>
    </w:rPr>
  </w:style>
  <w:style w:type="table" w:styleId="Tablaconcuadrcula">
    <w:name w:val="Table Grid"/>
    <w:basedOn w:val="Tablanormal"/>
    <w:uiPriority w:val="39"/>
    <w:rsid w:val="0094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573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7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2110</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cp:revision>
  <cp:lastPrinted>2024-05-09T20:52:00Z</cp:lastPrinted>
  <dcterms:created xsi:type="dcterms:W3CDTF">2024-05-07T19:46:00Z</dcterms:created>
  <dcterms:modified xsi:type="dcterms:W3CDTF">2024-05-10T01:57:00Z</dcterms:modified>
</cp:coreProperties>
</file>