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D001B" w14:textId="3ECE5299" w:rsidR="00E12E8C" w:rsidRPr="006224D9" w:rsidRDefault="00E12E8C" w:rsidP="005907B4">
      <w:pPr>
        <w:spacing w:before="240"/>
        <w:rPr>
          <w:b/>
          <w:sz w:val="22"/>
        </w:rPr>
      </w:pPr>
      <w:r w:rsidRPr="006224D9">
        <w:rPr>
          <w:b/>
          <w:sz w:val="22"/>
        </w:rPr>
        <w:t xml:space="preserve">INFORME QUE, RINDE EL SECRETARIO EJECUTIVO, RESPECTO DE LA RECEPCIÓN Y TRÁMITE DE LOS MEDIOS DE IMPUGNACIÓN INTERPUESTOS EN EL MES DE JULIO DE DOS MIL VEINTITRÉS, EN CONTRA DE LOS ACTOS, OMISIONES O RESOLUCIONES DE LOS ÓRGANOS CENTRALES DEL INSTITUTO ELECTORAL Y DE PARTICIPACIÓN CIUDADANA DE TABASCO, ASÍ COMO DE LAS RESOLUCIONES DICTADAS POR LOS ÓRGANOS JURISDICCIONALES. </w:t>
      </w:r>
    </w:p>
    <w:p w14:paraId="27A9C342" w14:textId="77777777" w:rsidR="00E12E8C" w:rsidRPr="006224D9" w:rsidRDefault="00E12E8C" w:rsidP="005907B4">
      <w:pPr>
        <w:spacing w:before="240"/>
        <w:rPr>
          <w:sz w:val="22"/>
        </w:rPr>
      </w:pPr>
      <w:r w:rsidRPr="006224D9">
        <w:rPr>
          <w:sz w:val="22"/>
        </w:rPr>
        <w:t>En cumplimiento a lo establecido en el artículo 117, numeral 2, fracción IX y X de la Ley Electoral y de Partidos Políticos del Estado de Tabasco, rindo el informe de los medios de impugnación presentados en contra de los actos, omisiones o resoluciones de los órganos centrales de este Instituto Estatal y las resoluciones que corresponden dictadas por los órganos jurisdiccionales, de conformidad con lo siguiente:</w:t>
      </w:r>
    </w:p>
    <w:p w14:paraId="0B254096" w14:textId="77777777" w:rsidR="00E12E8C" w:rsidRPr="006224D9" w:rsidRDefault="00E12E8C" w:rsidP="005907B4">
      <w:pPr>
        <w:spacing w:before="240"/>
        <w:rPr>
          <w:b/>
          <w:sz w:val="22"/>
        </w:rPr>
      </w:pPr>
      <w:r w:rsidRPr="006224D9">
        <w:rPr>
          <w:b/>
          <w:sz w:val="22"/>
        </w:rPr>
        <w:t>1)  Medios de impugnación en instrucción:</w:t>
      </w:r>
    </w:p>
    <w:p w14:paraId="4E4CBBC3" w14:textId="77777777" w:rsidR="006224D9" w:rsidRPr="006224D9" w:rsidRDefault="00E12E8C" w:rsidP="005907B4">
      <w:pPr>
        <w:ind w:firstLine="357"/>
        <w:rPr>
          <w:b/>
          <w:sz w:val="22"/>
        </w:rPr>
      </w:pPr>
      <w:r w:rsidRPr="006224D9">
        <w:rPr>
          <w:b/>
          <w:sz w:val="22"/>
        </w:rPr>
        <w:t>I. Ante el Tribunal Electoral de Tabasco:</w:t>
      </w:r>
    </w:p>
    <w:p w14:paraId="33796E7C" w14:textId="0B797A12" w:rsidR="00E12E8C" w:rsidRPr="006224D9" w:rsidRDefault="00E12E8C" w:rsidP="005907B4">
      <w:pPr>
        <w:pStyle w:val="Prrafodelista"/>
        <w:spacing w:line="276" w:lineRule="auto"/>
      </w:pPr>
      <w:r w:rsidRPr="006224D9">
        <w:t xml:space="preserve">Juicio para la Protección de los Derecho Político- Electorales del Ciudadano TET-JDC-04/2023-I interpuesto por Jesús </w:t>
      </w:r>
      <w:proofErr w:type="spellStart"/>
      <w:r w:rsidRPr="006224D9">
        <w:t>Selván</w:t>
      </w:r>
      <w:proofErr w:type="spellEnd"/>
      <w:r w:rsidRPr="006224D9">
        <w:t xml:space="preserve"> García, en contra de la resolución emitida en el Procedimiento Especial Sancionador PES/013/2022.</w:t>
      </w:r>
    </w:p>
    <w:p w14:paraId="54906C3A" w14:textId="55C54C73" w:rsidR="00E12E8C" w:rsidRPr="006224D9" w:rsidRDefault="00E12E8C" w:rsidP="005907B4">
      <w:pPr>
        <w:pStyle w:val="Prrafodelista"/>
        <w:spacing w:line="276" w:lineRule="auto"/>
      </w:pPr>
      <w:r w:rsidRPr="006224D9">
        <w:t>Juicio para la protección de los derechos político-electorales del ciudadano TET-JDC-07/2023-III interpuesto por Juan José Jiménez Chan en contra de la resolución</w:t>
      </w:r>
      <w:r w:rsidR="001B7F4D" w:rsidRPr="006224D9">
        <w:t xml:space="preserve"> emitida </w:t>
      </w:r>
      <w:r w:rsidRPr="006224D9">
        <w:t>en el Procedimiento Especial Sancionador PES/011/2022.</w:t>
      </w:r>
    </w:p>
    <w:p w14:paraId="4394DD76" w14:textId="77777777" w:rsidR="00E12E8C" w:rsidRPr="006224D9" w:rsidRDefault="00E12E8C" w:rsidP="005907B4">
      <w:pPr>
        <w:pStyle w:val="Prrafodelista"/>
        <w:spacing w:line="276" w:lineRule="auto"/>
      </w:pPr>
      <w:r w:rsidRPr="006224D9">
        <w:t xml:space="preserve">Juicio Electoral TET-JE-03/2023-II interpuesto por Roberto González Pedraza y otros en contra del acuerdo CE/2023/012 mediante el cual se aprueba el programa para el otorgamiento de la titularidad y para la promoción en rango en el nivel del cargo o puesto que ocupe, al personal del servicio profesional electoral nacional del propio Instituto. </w:t>
      </w:r>
    </w:p>
    <w:p w14:paraId="4100E364" w14:textId="77777777" w:rsidR="00E12E8C" w:rsidRPr="006224D9" w:rsidRDefault="00E12E8C" w:rsidP="005907B4">
      <w:pPr>
        <w:pStyle w:val="Prrafodelista"/>
        <w:spacing w:line="276" w:lineRule="auto"/>
      </w:pPr>
      <w:r w:rsidRPr="006224D9">
        <w:t xml:space="preserve">Juicio Electoral TET-JE-04/2023-II interpuesto por Antonio Enrique Aguilar </w:t>
      </w:r>
      <w:proofErr w:type="spellStart"/>
      <w:r w:rsidRPr="006224D9">
        <w:t>Caraveo</w:t>
      </w:r>
      <w:proofErr w:type="spellEnd"/>
      <w:r w:rsidRPr="006224D9">
        <w:t xml:space="preserve"> en contra del acuerdo CE/2023/012 mediante el cual se aprueba el programa para el otorgamiento de la titularidad y para la promoción en rango en el nivel del cargo o puesto que ocupe, al personal del servicio profesional electoral nacional del propio Instituto. </w:t>
      </w:r>
    </w:p>
    <w:p w14:paraId="5A203FE7" w14:textId="77777777" w:rsidR="00E12E8C" w:rsidRPr="006224D9" w:rsidRDefault="00E12E8C" w:rsidP="005907B4">
      <w:pPr>
        <w:pStyle w:val="Prrafodelista"/>
        <w:spacing w:line="276" w:lineRule="auto"/>
      </w:pPr>
      <w:r w:rsidRPr="006224D9">
        <w:t>Juicio para la Protección de los Derechos Político-electorales del ciudadano TET-JDC-08/2023-III interpuesto por Alma Rosa Espadas Hernández en contra del acuerdo de fecha veinticinco de mayo emitido por la Secretaria Ejecutiva en el Procedimiento Especial Sancionador PES/017/2023.</w:t>
      </w:r>
    </w:p>
    <w:p w14:paraId="1E388781" w14:textId="1263434C" w:rsidR="00E12E8C" w:rsidRPr="006224D9" w:rsidRDefault="006224D9" w:rsidP="005907B4">
      <w:pPr>
        <w:pStyle w:val="Prrafodelista"/>
        <w:spacing w:line="276" w:lineRule="auto"/>
      </w:pPr>
      <w:r w:rsidRPr="006224D9">
        <w:lastRenderedPageBreak/>
        <w:t>Medio de impugnación TET-JDC-10/2023-II</w:t>
      </w:r>
      <w:r w:rsidR="00E12E8C" w:rsidRPr="006224D9">
        <w:t xml:space="preserve"> interpuesto por Alma Rosa Espadas </w:t>
      </w:r>
      <w:r w:rsidRPr="006224D9">
        <w:t>Hernández en</w:t>
      </w:r>
      <w:r w:rsidR="00E12E8C" w:rsidRPr="006224D9">
        <w:t xml:space="preserve"> contra del acuerdo de </w:t>
      </w:r>
      <w:r w:rsidR="001B7F4D" w:rsidRPr="006224D9">
        <w:t>fecha</w:t>
      </w:r>
      <w:r w:rsidR="00E12E8C" w:rsidRPr="006224D9">
        <w:t xml:space="preserve"> </w:t>
      </w:r>
      <w:r w:rsidR="001B7F4D" w:rsidRPr="006224D9">
        <w:t>veintitrés</w:t>
      </w:r>
      <w:r w:rsidR="00E12E8C" w:rsidRPr="006224D9">
        <w:t xml:space="preserve"> de junio </w:t>
      </w:r>
      <w:r w:rsidR="001B7F4D" w:rsidRPr="006224D9">
        <w:t xml:space="preserve">emitido por la Secretaria Ejecutiva en el </w:t>
      </w:r>
      <w:r w:rsidR="00E12E8C" w:rsidRPr="006224D9">
        <w:t>Procedimiento Especial Sancionador PES/020/2023</w:t>
      </w:r>
      <w:r w:rsidR="001B7F4D" w:rsidRPr="006224D9">
        <w:t>.</w:t>
      </w:r>
    </w:p>
    <w:p w14:paraId="22407330" w14:textId="77777777" w:rsidR="00E12E8C" w:rsidRPr="006224D9" w:rsidRDefault="00E12E8C" w:rsidP="005907B4">
      <w:pPr>
        <w:ind w:left="720"/>
        <w:rPr>
          <w:b/>
          <w:sz w:val="22"/>
        </w:rPr>
      </w:pPr>
      <w:r w:rsidRPr="006224D9">
        <w:rPr>
          <w:b/>
          <w:sz w:val="22"/>
        </w:rPr>
        <w:t>II. Ante la Sala Regional Xalapa:</w:t>
      </w:r>
    </w:p>
    <w:p w14:paraId="58154CC6" w14:textId="1C779072" w:rsidR="00E12E8C" w:rsidRPr="006224D9" w:rsidRDefault="00E12E8C" w:rsidP="005907B4">
      <w:pPr>
        <w:pStyle w:val="Prrafodelista"/>
        <w:numPr>
          <w:ilvl w:val="0"/>
          <w:numId w:val="10"/>
        </w:numPr>
        <w:spacing w:line="276" w:lineRule="auto"/>
      </w:pPr>
      <w:r w:rsidRPr="006224D9">
        <w:t xml:space="preserve">Juicio Electoral SX-JE-112/2023 interpuesto por Antonio Enrique Aguilar </w:t>
      </w:r>
      <w:proofErr w:type="spellStart"/>
      <w:r w:rsidRPr="006224D9">
        <w:t>Caraveo</w:t>
      </w:r>
      <w:proofErr w:type="spellEnd"/>
      <w:r w:rsidRPr="006224D9">
        <w:t xml:space="preserve"> en contra de la resolución de fecha veintidós de junio de dos mil veintitrés, emitida por el Tribunal Electoral de Tabasco, dentro del expediente TET-JE-05/2023-III.</w:t>
      </w:r>
    </w:p>
    <w:p w14:paraId="2544CD83" w14:textId="77777777" w:rsidR="006224D9" w:rsidRPr="006224D9" w:rsidRDefault="006224D9" w:rsidP="005907B4">
      <w:pPr>
        <w:ind w:left="720"/>
        <w:rPr>
          <w:b/>
          <w:sz w:val="22"/>
        </w:rPr>
      </w:pPr>
      <w:r w:rsidRPr="006224D9">
        <w:rPr>
          <w:b/>
          <w:sz w:val="22"/>
        </w:rPr>
        <w:t>III. Ante la Sala Superior:</w:t>
      </w:r>
    </w:p>
    <w:p w14:paraId="7830B827" w14:textId="217C13AB" w:rsidR="006224D9" w:rsidRDefault="006224D9" w:rsidP="005907B4">
      <w:pPr>
        <w:pStyle w:val="Prrafodelista"/>
        <w:numPr>
          <w:ilvl w:val="0"/>
          <w:numId w:val="11"/>
        </w:numPr>
        <w:spacing w:line="276" w:lineRule="auto"/>
      </w:pPr>
      <w:r w:rsidRPr="006224D9">
        <w:t>Juicio Electoral SUP-JE-1419/2023 interpuesto por Oscar Cantón Zetina en contra de la resolución de fecha veintidós de junio de dos mil veintitrés, emitida por el Tribunal Electoral de Tabasco, dentro del expediente TET-AP-08/2023-I.</w:t>
      </w:r>
    </w:p>
    <w:p w14:paraId="300B3B0C" w14:textId="5354D204" w:rsidR="005907B4" w:rsidRPr="005907B4" w:rsidRDefault="005907B4" w:rsidP="005907B4">
      <w:pPr>
        <w:rPr>
          <w:b/>
          <w:sz w:val="22"/>
        </w:rPr>
      </w:pPr>
      <w:r w:rsidRPr="005907B4">
        <w:rPr>
          <w:b/>
          <w:sz w:val="22"/>
        </w:rPr>
        <w:t>2)  Otros juicios:</w:t>
      </w:r>
    </w:p>
    <w:p w14:paraId="017A91FF" w14:textId="44D26FBC" w:rsidR="00E12E8C" w:rsidRPr="006224D9" w:rsidRDefault="00E12E8C" w:rsidP="005907B4">
      <w:pPr>
        <w:autoSpaceDE w:val="0"/>
        <w:autoSpaceDN w:val="0"/>
        <w:adjustRightInd w:val="0"/>
        <w:rPr>
          <w:sz w:val="22"/>
        </w:rPr>
      </w:pPr>
      <w:r w:rsidRPr="006224D9">
        <w:rPr>
          <w:sz w:val="22"/>
        </w:rPr>
        <w:t>En lo que respecta a otros juicios en los que están involucradas autoridades de este Instituto Electoral, se informa que, a la fecha existen los siguientes:</w:t>
      </w:r>
    </w:p>
    <w:p w14:paraId="563F905E" w14:textId="77777777" w:rsidR="00E12E8C" w:rsidRPr="006224D9" w:rsidRDefault="00E12E8C" w:rsidP="005907B4">
      <w:pPr>
        <w:pStyle w:val="Prrafodelista"/>
        <w:numPr>
          <w:ilvl w:val="0"/>
          <w:numId w:val="1"/>
        </w:numPr>
        <w:spacing w:line="276" w:lineRule="auto"/>
      </w:pPr>
      <w:r w:rsidRPr="006224D9">
        <w:t xml:space="preserve">Juicio Contencioso Administrativo 51/2022-S-E promovido por la Mtra. Blanca </w:t>
      </w:r>
      <w:proofErr w:type="spellStart"/>
      <w:r w:rsidRPr="006224D9">
        <w:t>Eni</w:t>
      </w:r>
      <w:proofErr w:type="spellEnd"/>
      <w:r w:rsidRPr="006224D9">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En el juicio se otorgó la suspensión a la actora, para efectos de que las autoridades involucradas se abstengan de ejecutar la sanción impuesta por el órgano de control. </w:t>
      </w:r>
    </w:p>
    <w:p w14:paraId="5F9250D9" w14:textId="77777777" w:rsidR="00E12E8C" w:rsidRPr="006224D9" w:rsidRDefault="00E12E8C" w:rsidP="005907B4">
      <w:pPr>
        <w:ind w:left="510"/>
        <w:rPr>
          <w:sz w:val="22"/>
        </w:rPr>
      </w:pPr>
      <w:r w:rsidRPr="006224D9">
        <w:rPr>
          <w:sz w:val="22"/>
        </w:rPr>
        <w:t>El 9 de enero de la presente anualidad, se notificó la admisión a trámite del Recurso de Reclamación con número 193/2022-P-3, promovido por la autoridad investigadora de la Contraloría General, el cual se resolvió el 20 de enero del año en cita por el Pleno del Tribunal de Justicia Administrativa, revocando la suspensión provisional ordenada por la Sala Especializada en Materia de Responsabilidades Administrativas del propio Tribunal.</w:t>
      </w:r>
    </w:p>
    <w:p w14:paraId="0B346CF4" w14:textId="77777777" w:rsidR="00E12E8C" w:rsidRPr="006224D9" w:rsidRDefault="00E12E8C" w:rsidP="005907B4">
      <w:pPr>
        <w:ind w:left="510"/>
        <w:rPr>
          <w:sz w:val="22"/>
        </w:rPr>
      </w:pPr>
      <w:r w:rsidRPr="006224D9">
        <w:rPr>
          <w:sz w:val="22"/>
        </w:rPr>
        <w:t>Derivado de lo anterior, la interesada promovió Juicio de Amparo, el cual se radicó en el Juzgado Segundo de Distrito, bajo el número 185/2023-VIII y se encuentra en sustanciación.</w:t>
      </w:r>
    </w:p>
    <w:p w14:paraId="75447121" w14:textId="77777777" w:rsidR="00E12E8C" w:rsidRPr="006224D9" w:rsidRDefault="00E12E8C" w:rsidP="005907B4">
      <w:pPr>
        <w:ind w:left="510"/>
        <w:rPr>
          <w:sz w:val="22"/>
        </w:rPr>
      </w:pPr>
      <w:r w:rsidRPr="006224D9">
        <w:rPr>
          <w:sz w:val="22"/>
        </w:rPr>
        <w:lastRenderedPageBreak/>
        <w:t>El 24 de febrero de la presente anualidad, se notificó la resolución aprobada por el Pleno de la Sala Superior del Tribunal de Justicia Administrativa del Estado, por la que se declaró improcedente el incidente de aclaración de la sentencia interlocutoria emitida en el Toca de Reclamación 193/2022-P3.</w:t>
      </w:r>
    </w:p>
    <w:p w14:paraId="5DB4EA6F" w14:textId="77777777" w:rsidR="00E12E8C" w:rsidRPr="006224D9" w:rsidRDefault="00E12E8C" w:rsidP="005907B4">
      <w:pPr>
        <w:pStyle w:val="Prrafodelista"/>
        <w:numPr>
          <w:ilvl w:val="0"/>
          <w:numId w:val="1"/>
        </w:numPr>
        <w:spacing w:line="276" w:lineRule="auto"/>
      </w:pPr>
      <w:r w:rsidRPr="006224D9">
        <w:t>Juicio Contencioso Administrativo 52/2022-S-E promovido por el licenciado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sustanciación.</w:t>
      </w:r>
    </w:p>
    <w:p w14:paraId="02D79961" w14:textId="77777777" w:rsidR="00291C9C" w:rsidRDefault="00291C9C" w:rsidP="005907B4">
      <w:pPr>
        <w:spacing w:before="240"/>
        <w:jc w:val="center"/>
        <w:rPr>
          <w:b/>
          <w:spacing w:val="60"/>
          <w:sz w:val="22"/>
        </w:rPr>
      </w:pPr>
    </w:p>
    <w:p w14:paraId="0FCEED06" w14:textId="1067C817" w:rsidR="00291C9C" w:rsidRDefault="00291C9C" w:rsidP="005907B4">
      <w:pPr>
        <w:spacing w:before="240"/>
        <w:jc w:val="center"/>
        <w:rPr>
          <w:b/>
          <w:spacing w:val="60"/>
          <w:sz w:val="22"/>
        </w:rPr>
      </w:pPr>
    </w:p>
    <w:p w14:paraId="7873C3B6" w14:textId="77777777" w:rsidR="00291C9C" w:rsidRDefault="00291C9C" w:rsidP="005907B4">
      <w:pPr>
        <w:spacing w:before="240"/>
        <w:jc w:val="center"/>
        <w:rPr>
          <w:b/>
          <w:spacing w:val="60"/>
          <w:sz w:val="22"/>
        </w:rPr>
      </w:pPr>
      <w:bookmarkStart w:id="0" w:name="_GoBack"/>
      <w:bookmarkEnd w:id="0"/>
    </w:p>
    <w:p w14:paraId="6A98872B" w14:textId="2423E32D" w:rsidR="006224D9" w:rsidRDefault="00E12E8C" w:rsidP="005907B4">
      <w:pPr>
        <w:spacing w:before="240"/>
        <w:jc w:val="center"/>
        <w:rPr>
          <w:b/>
          <w:spacing w:val="60"/>
          <w:sz w:val="22"/>
        </w:rPr>
      </w:pPr>
      <w:r w:rsidRPr="006224D9">
        <w:rPr>
          <w:b/>
          <w:spacing w:val="60"/>
          <w:sz w:val="22"/>
        </w:rPr>
        <w:t>Atentamente</w:t>
      </w:r>
    </w:p>
    <w:p w14:paraId="2E8A1BCA" w14:textId="77777777" w:rsidR="006224D9" w:rsidRPr="006224D9" w:rsidRDefault="006224D9" w:rsidP="005907B4">
      <w:pPr>
        <w:spacing w:before="240"/>
        <w:jc w:val="center"/>
        <w:rPr>
          <w:b/>
          <w:spacing w:val="60"/>
          <w:sz w:val="22"/>
        </w:rPr>
      </w:pPr>
    </w:p>
    <w:p w14:paraId="64F4FF65" w14:textId="77777777" w:rsidR="00E12E8C" w:rsidRPr="006224D9" w:rsidRDefault="00E12E8C" w:rsidP="005907B4">
      <w:pPr>
        <w:spacing w:after="0"/>
        <w:jc w:val="center"/>
        <w:rPr>
          <w:b/>
          <w:sz w:val="22"/>
        </w:rPr>
      </w:pPr>
      <w:r w:rsidRPr="006224D9">
        <w:rPr>
          <w:b/>
          <w:sz w:val="22"/>
        </w:rPr>
        <w:t>Lic. Jorge Alberto Zavala Frías</w:t>
      </w:r>
    </w:p>
    <w:p w14:paraId="7EB0DF15" w14:textId="0D12C27B" w:rsidR="00E12E8C" w:rsidRPr="006224D9" w:rsidRDefault="00E12E8C" w:rsidP="005907B4">
      <w:pPr>
        <w:spacing w:after="0"/>
        <w:jc w:val="center"/>
        <w:rPr>
          <w:b/>
          <w:sz w:val="22"/>
        </w:rPr>
      </w:pPr>
      <w:r w:rsidRPr="006224D9">
        <w:rPr>
          <w:b/>
          <w:sz w:val="22"/>
        </w:rPr>
        <w:t>Secretario Ejecutivo</w:t>
      </w:r>
    </w:p>
    <w:sectPr w:rsidR="00E12E8C" w:rsidRPr="006224D9" w:rsidSect="00D7095E">
      <w:headerReference w:type="default" r:id="rId7"/>
      <w:footerReference w:type="default" r:id="rId8"/>
      <w:pgSz w:w="12240" w:h="15840" w:code="1"/>
      <w:pgMar w:top="1417" w:right="1701" w:bottom="1276" w:left="1701" w:header="425" w:footer="2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C1656" w14:textId="77777777" w:rsidR="000D3730" w:rsidRDefault="000D3730">
      <w:pPr>
        <w:spacing w:after="0" w:line="240" w:lineRule="auto"/>
      </w:pPr>
      <w:r>
        <w:separator/>
      </w:r>
    </w:p>
  </w:endnote>
  <w:endnote w:type="continuationSeparator" w:id="0">
    <w:p w14:paraId="58CCA407" w14:textId="77777777" w:rsidR="000D3730" w:rsidRDefault="000D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C48B" w14:textId="77777777" w:rsidR="00682F72" w:rsidRDefault="00291C9C" w:rsidP="00682F72">
    <w:pPr>
      <w:pStyle w:val="Piedepgina"/>
      <w:jc w:val="center"/>
      <w:rPr>
        <w:rFonts w:ascii="Arial Narrow" w:hAnsi="Arial Narrow"/>
        <w:sz w:val="16"/>
        <w:szCs w:val="16"/>
      </w:rPr>
    </w:pPr>
  </w:p>
  <w:p w14:paraId="2D9FEF26" w14:textId="77777777" w:rsidR="00C42B5E" w:rsidRPr="00914176" w:rsidRDefault="00291C9C">
    <w:pPr>
      <w:pStyle w:val="Piedepgina"/>
      <w:jc w:val="right"/>
      <w:rPr>
        <w:rFonts w:ascii="Arial Narrow" w:hAnsi="Arial Narrow"/>
      </w:rPr>
    </w:pPr>
  </w:p>
  <w:p w14:paraId="6BA658CC" w14:textId="77777777" w:rsidR="00C42B5E" w:rsidRPr="00CB1930" w:rsidRDefault="00291C9C" w:rsidP="00CB1930">
    <w:pPr>
      <w:pStyle w:val="Piedepgina"/>
      <w:jc w:val="center"/>
      <w:rPr>
        <w:rFonts w:ascii="Arial Narrow" w:hAnsi="Arial Narrow"/>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4B38E" w14:textId="77777777" w:rsidR="000D3730" w:rsidRDefault="000D3730">
      <w:pPr>
        <w:spacing w:after="0" w:line="240" w:lineRule="auto"/>
      </w:pPr>
      <w:r>
        <w:separator/>
      </w:r>
    </w:p>
  </w:footnote>
  <w:footnote w:type="continuationSeparator" w:id="0">
    <w:p w14:paraId="48E8D6C1" w14:textId="77777777" w:rsidR="000D3730" w:rsidRDefault="000D3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7101"/>
    </w:tblGrid>
    <w:tr w:rsidR="009A15B5" w:rsidRPr="004570CE" w14:paraId="71CC4D7B" w14:textId="77777777" w:rsidTr="00F62782">
      <w:tc>
        <w:tcPr>
          <w:tcW w:w="1025" w:type="pct"/>
          <w:tcBorders>
            <w:bottom w:val="single" w:sz="4" w:space="0" w:color="auto"/>
          </w:tcBorders>
        </w:tcPr>
        <w:p w14:paraId="2FEB9955" w14:textId="77777777" w:rsidR="009A15B5" w:rsidRPr="004570CE" w:rsidRDefault="000D3730" w:rsidP="00F62782">
          <w:pPr>
            <w:pStyle w:val="Encabezado"/>
            <w:spacing w:before="360"/>
          </w:pPr>
          <w:r w:rsidRPr="004570CE">
            <w:rPr>
              <w:noProof/>
              <w:lang w:eastAsia="es-MX"/>
            </w:rPr>
            <w:drawing>
              <wp:inline distT="0" distB="0" distL="0" distR="0" wp14:anchorId="6BFB69F3" wp14:editId="271C8D02">
                <wp:extent cx="923365" cy="72162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940309" cy="734862"/>
                        </a:xfrm>
                        <a:prstGeom prst="rect">
                          <a:avLst/>
                        </a:prstGeom>
                      </pic:spPr>
                    </pic:pic>
                  </a:graphicData>
                </a:graphic>
              </wp:inline>
            </w:drawing>
          </w:r>
        </w:p>
      </w:tc>
      <w:tc>
        <w:tcPr>
          <w:tcW w:w="3975" w:type="pct"/>
          <w:tcBorders>
            <w:bottom w:val="single" w:sz="4" w:space="0" w:color="auto"/>
          </w:tcBorders>
        </w:tcPr>
        <w:p w14:paraId="7C661D54" w14:textId="77777777" w:rsidR="009A15B5" w:rsidRPr="004570CE" w:rsidRDefault="000D3730" w:rsidP="00F62782">
          <w:pPr>
            <w:pStyle w:val="Encabezado"/>
            <w:spacing w:before="720"/>
            <w:ind w:left="-448" w:firstLine="448"/>
            <w:jc w:val="right"/>
            <w:rPr>
              <w:b/>
              <w:spacing w:val="-4"/>
              <w:sz w:val="28"/>
            </w:rPr>
          </w:pPr>
          <w:r w:rsidRPr="004570CE">
            <w:rPr>
              <w:b/>
              <w:spacing w:val="-4"/>
              <w:sz w:val="28"/>
            </w:rPr>
            <w:t>INSTITUTO ELECTORAL Y DE PARTICIPACIÓN CIUDADANA DE TABASCO</w:t>
          </w:r>
        </w:p>
        <w:p w14:paraId="74801C58" w14:textId="77777777" w:rsidR="009A15B5" w:rsidRPr="004570CE" w:rsidRDefault="00291C9C" w:rsidP="00F62782">
          <w:pPr>
            <w:pStyle w:val="Encabezado"/>
            <w:jc w:val="right"/>
            <w:rPr>
              <w:sz w:val="28"/>
            </w:rPr>
          </w:pPr>
        </w:p>
      </w:tc>
    </w:tr>
    <w:tr w:rsidR="009A15B5" w:rsidRPr="004570CE" w14:paraId="274D4A7B" w14:textId="77777777" w:rsidTr="00F62782">
      <w:tc>
        <w:tcPr>
          <w:tcW w:w="1025" w:type="pct"/>
          <w:tcBorders>
            <w:top w:val="single" w:sz="4" w:space="0" w:color="auto"/>
          </w:tcBorders>
        </w:tcPr>
        <w:p w14:paraId="45C56F14" w14:textId="77777777" w:rsidR="009A15B5" w:rsidRPr="004570CE" w:rsidRDefault="00291C9C" w:rsidP="00F62782">
          <w:pPr>
            <w:pStyle w:val="Encabezado"/>
            <w:rPr>
              <w:noProof/>
              <w:lang w:eastAsia="es-MX"/>
            </w:rPr>
          </w:pPr>
        </w:p>
      </w:tc>
      <w:tc>
        <w:tcPr>
          <w:tcW w:w="3975" w:type="pct"/>
          <w:tcBorders>
            <w:top w:val="single" w:sz="4" w:space="0" w:color="auto"/>
          </w:tcBorders>
        </w:tcPr>
        <w:p w14:paraId="424334CC" w14:textId="77777777" w:rsidR="009A15B5" w:rsidRPr="004570CE" w:rsidRDefault="000D3730" w:rsidP="00F62782">
          <w:pPr>
            <w:pStyle w:val="Encabezado"/>
            <w:spacing w:before="60"/>
            <w:jc w:val="right"/>
            <w:rPr>
              <w:b/>
              <w:spacing w:val="-4"/>
            </w:rPr>
          </w:pPr>
          <w:r w:rsidRPr="004570CE">
            <w:rPr>
              <w:sz w:val="20"/>
            </w:rPr>
            <w:t>SECRETARÍA EJECUTIVA</w:t>
          </w:r>
        </w:p>
      </w:tc>
    </w:tr>
  </w:tbl>
  <w:p w14:paraId="5B2F1863" w14:textId="77777777" w:rsidR="009A15B5" w:rsidRDefault="00291C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89B"/>
    <w:multiLevelType w:val="hybridMultilevel"/>
    <w:tmpl w:val="C1F67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BBDEEE28"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010CD0"/>
    <w:multiLevelType w:val="hybridMultilevel"/>
    <w:tmpl w:val="656E83CE"/>
    <w:lvl w:ilvl="0" w:tplc="088AE00C">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3B5B64CB"/>
    <w:multiLevelType w:val="hybridMultilevel"/>
    <w:tmpl w:val="6F8CCAB2"/>
    <w:lvl w:ilvl="0" w:tplc="9B106030">
      <w:start w:val="1"/>
      <w:numFmt w:val="decimal"/>
      <w:lvlText w:val="%1."/>
      <w:lvlJc w:val="left"/>
      <w:pPr>
        <w:ind w:left="1506" w:hanging="36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3" w15:restartNumberingAfterBreak="0">
    <w:nsid w:val="3E592665"/>
    <w:multiLevelType w:val="hybridMultilevel"/>
    <w:tmpl w:val="360E1908"/>
    <w:lvl w:ilvl="0" w:tplc="060A0AC4">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0CC668D"/>
    <w:multiLevelType w:val="hybridMultilevel"/>
    <w:tmpl w:val="2CC01566"/>
    <w:lvl w:ilvl="0" w:tplc="4BFEA502">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5745B2"/>
    <w:multiLevelType w:val="hybridMultilevel"/>
    <w:tmpl w:val="90B26F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0CB5CA7"/>
    <w:multiLevelType w:val="hybridMultilevel"/>
    <w:tmpl w:val="9B463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3"/>
  </w:num>
  <w:num w:numId="10">
    <w:abstractNumId w:val="4"/>
    <w:lvlOverride w:ilvl="0">
      <w:startOverride w:val="1"/>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8C"/>
    <w:rsid w:val="000D3730"/>
    <w:rsid w:val="001B7F4D"/>
    <w:rsid w:val="00291C9C"/>
    <w:rsid w:val="005907B4"/>
    <w:rsid w:val="006224D9"/>
    <w:rsid w:val="00864282"/>
    <w:rsid w:val="00A46C6D"/>
    <w:rsid w:val="00E12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1675"/>
  <w15:chartTrackingRefBased/>
  <w15:docId w15:val="{F10F827F-C42F-42D1-99FC-27B315EE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E8C"/>
    <w:pPr>
      <w:spacing w:after="240" w:line="276" w:lineRule="auto"/>
      <w:jc w:val="both"/>
    </w:pPr>
    <w:rPr>
      <w:rFonts w:ascii="Arial" w:hAnsi="Arial" w:cs="Arial"/>
      <w:kern w:val="0"/>
      <w:sz w:val="24"/>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34"/>
    <w:qFormat/>
    <w:rsid w:val="006224D9"/>
    <w:pPr>
      <w:numPr>
        <w:numId w:val="8"/>
      </w:numPr>
      <w:spacing w:before="240" w:line="360" w:lineRule="auto"/>
    </w:pPr>
    <w:rPr>
      <w:rFonts w:eastAsia="Calibri"/>
      <w:bCs/>
      <w:sz w:val="22"/>
      <w:lang w:eastAsia="es-MX"/>
    </w:rPr>
  </w:style>
  <w:style w:type="paragraph" w:styleId="Encabezado">
    <w:name w:val="header"/>
    <w:basedOn w:val="Normal"/>
    <w:link w:val="EncabezadoCar"/>
    <w:uiPriority w:val="99"/>
    <w:unhideWhenUsed/>
    <w:rsid w:val="00E12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2E8C"/>
    <w:rPr>
      <w:rFonts w:ascii="Arial" w:hAnsi="Arial" w:cs="Arial"/>
      <w:kern w:val="0"/>
      <w:sz w:val="24"/>
      <w:lang w:val="es-MX"/>
      <w14:ligatures w14:val="none"/>
    </w:rPr>
  </w:style>
  <w:style w:type="paragraph" w:styleId="Piedepgina">
    <w:name w:val="footer"/>
    <w:basedOn w:val="Normal"/>
    <w:link w:val="PiedepginaCar"/>
    <w:uiPriority w:val="99"/>
    <w:unhideWhenUsed/>
    <w:rsid w:val="00E12E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2E8C"/>
    <w:rPr>
      <w:rFonts w:ascii="Arial" w:hAnsi="Arial" w:cs="Arial"/>
      <w:kern w:val="0"/>
      <w:sz w:val="24"/>
      <w:lang w:val="es-MX"/>
      <w14:ligatures w14:val="none"/>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6224D9"/>
    <w:rPr>
      <w:rFonts w:ascii="Arial" w:eastAsia="Calibri" w:hAnsi="Arial" w:cs="Arial"/>
      <w:bCs/>
      <w:kern w:val="0"/>
      <w:lang w:val="es-MX" w:eastAsia="es-MX"/>
      <w14:ligatures w14:val="none"/>
    </w:rPr>
  </w:style>
  <w:style w:type="table" w:styleId="Tablaconcuadrcula">
    <w:name w:val="Table Grid"/>
    <w:basedOn w:val="Tablanormal"/>
    <w:uiPriority w:val="59"/>
    <w:rsid w:val="00E12E8C"/>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24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4D9"/>
    <w:rPr>
      <w:rFonts w:ascii="Segoe UI" w:hAnsi="Segoe UI" w:cs="Segoe UI"/>
      <w:kern w:val="0"/>
      <w:sz w:val="18"/>
      <w:szCs w:val="18"/>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4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4681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 Morales</dc:creator>
  <cp:keywords/>
  <dc:description/>
  <cp:lastModifiedBy>Jaqueline del Carmen Carrillo Llergo</cp:lastModifiedBy>
  <cp:revision>3</cp:revision>
  <cp:lastPrinted>2023-07-10T16:07:00Z</cp:lastPrinted>
  <dcterms:created xsi:type="dcterms:W3CDTF">2023-07-10T16:17:00Z</dcterms:created>
  <dcterms:modified xsi:type="dcterms:W3CDTF">2023-07-14T19:50:00Z</dcterms:modified>
</cp:coreProperties>
</file>