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C7A4" w14:textId="046C7A77" w:rsidR="00997D6A" w:rsidRPr="007A0AEA" w:rsidRDefault="007A0AEA" w:rsidP="007A0A20">
      <w:pPr>
        <w:spacing w:line="276" w:lineRule="auto"/>
        <w:rPr>
          <w:b/>
          <w:bCs/>
          <w:sz w:val="24"/>
          <w:szCs w:val="24"/>
        </w:rPr>
      </w:pPr>
      <w:r w:rsidRPr="007A0AEA">
        <w:rPr>
          <w:b/>
          <w:bCs/>
          <w:sz w:val="24"/>
          <w:szCs w:val="24"/>
        </w:rPr>
        <w:t>ACUERDO QUE EMITE EL CONSEJO ESTATAL DEL INSTITUTO ELECTORAL Y DE PARTICIPACIÓN CIUDADANA DE TABASCO, MEDIANTE EL CUAL APRUEBA EL PROGRAMA DE PROMOCIÓN DE LA PARTICIPACIÓN CIUDADANA PARA EL EJERCICIO DEL DERECHO AL SUFRAGIO EN EL PROCESO ELECTORAL LOCAL ORDINARIO 2023-2024, PROPUESTO POR LA COMISIÓN PERMANENTE DE ORGANIZACIÓN ELECTORAL Y EDUCACIÓN CÍVICA</w:t>
      </w:r>
    </w:p>
    <w:p w14:paraId="7CD30899" w14:textId="77777777" w:rsidR="007A0A20" w:rsidRDefault="007A0A20" w:rsidP="004A09E1">
      <w:r w:rsidRPr="007A0A20">
        <w:t>Para efectos del presente acuerdo se usarán las abreviaturas y definiciones siguientes:</w:t>
      </w:r>
    </w:p>
    <w:tbl>
      <w:tblPr>
        <w:tblStyle w:val="Tablaconcuadrcula"/>
        <w:tblW w:w="3773"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721"/>
        <w:gridCol w:w="3941"/>
      </w:tblGrid>
      <w:tr w:rsidR="007A0A20" w:rsidRPr="007A0A20" w14:paraId="495DAFF1" w14:textId="77777777" w:rsidTr="00564F93">
        <w:trPr>
          <w:jc w:val="center"/>
        </w:trPr>
        <w:tc>
          <w:tcPr>
            <w:tcW w:w="2042" w:type="pct"/>
            <w:vAlign w:val="center"/>
          </w:tcPr>
          <w:p w14:paraId="6E7C8465" w14:textId="77777777" w:rsidR="007A0A20" w:rsidRPr="007A0AEA" w:rsidRDefault="007A0A20" w:rsidP="007A0A20">
            <w:pPr>
              <w:spacing w:before="60" w:after="60" w:line="276" w:lineRule="auto"/>
              <w:rPr>
                <w:b/>
                <w:bCs/>
                <w:sz w:val="20"/>
                <w:szCs w:val="20"/>
              </w:rPr>
            </w:pPr>
            <w:r w:rsidRPr="007A0AEA">
              <w:rPr>
                <w:b/>
                <w:bCs/>
                <w:sz w:val="20"/>
                <w:szCs w:val="20"/>
              </w:rPr>
              <w:t>Comisión:</w:t>
            </w:r>
          </w:p>
        </w:tc>
        <w:tc>
          <w:tcPr>
            <w:tcW w:w="2958" w:type="pct"/>
            <w:vAlign w:val="center"/>
          </w:tcPr>
          <w:p w14:paraId="39F00E34" w14:textId="1BFF00C6" w:rsidR="007A0A20" w:rsidRPr="007A0AEA" w:rsidRDefault="007A0A20" w:rsidP="007A0A20">
            <w:pPr>
              <w:spacing w:before="60" w:after="60" w:line="276" w:lineRule="auto"/>
              <w:rPr>
                <w:sz w:val="20"/>
                <w:szCs w:val="20"/>
              </w:rPr>
            </w:pPr>
            <w:r w:rsidRPr="007A0AEA">
              <w:rPr>
                <w:sz w:val="20"/>
                <w:szCs w:val="20"/>
              </w:rPr>
              <w:t>Comisión Permanente de Organización Electoral y Educación Cívica.</w:t>
            </w:r>
          </w:p>
        </w:tc>
      </w:tr>
      <w:tr w:rsidR="007A0A20" w:rsidRPr="007A0A20" w14:paraId="5017DC0E" w14:textId="77777777" w:rsidTr="00564F93">
        <w:trPr>
          <w:jc w:val="center"/>
        </w:trPr>
        <w:tc>
          <w:tcPr>
            <w:tcW w:w="2042" w:type="pct"/>
            <w:vAlign w:val="center"/>
          </w:tcPr>
          <w:p w14:paraId="2A337C3B" w14:textId="77777777" w:rsidR="007A0A20" w:rsidRPr="007A0AEA" w:rsidRDefault="007A0A20" w:rsidP="007A0A20">
            <w:pPr>
              <w:spacing w:before="60" w:after="60" w:line="276" w:lineRule="auto"/>
              <w:rPr>
                <w:b/>
                <w:bCs/>
                <w:sz w:val="20"/>
                <w:szCs w:val="20"/>
              </w:rPr>
            </w:pPr>
            <w:r w:rsidRPr="007A0AEA">
              <w:rPr>
                <w:b/>
                <w:bCs/>
                <w:sz w:val="20"/>
                <w:szCs w:val="20"/>
              </w:rPr>
              <w:t>Consejo Estatal:</w:t>
            </w:r>
          </w:p>
        </w:tc>
        <w:tc>
          <w:tcPr>
            <w:tcW w:w="2958" w:type="pct"/>
            <w:vAlign w:val="center"/>
          </w:tcPr>
          <w:p w14:paraId="1431A872" w14:textId="77777777" w:rsidR="007A0A20" w:rsidRPr="007A0AEA" w:rsidRDefault="007A0A20" w:rsidP="007A0A20">
            <w:pPr>
              <w:spacing w:before="60" w:after="60" w:line="276" w:lineRule="auto"/>
              <w:rPr>
                <w:sz w:val="20"/>
                <w:szCs w:val="20"/>
              </w:rPr>
            </w:pPr>
            <w:r w:rsidRPr="007A0AEA">
              <w:rPr>
                <w:sz w:val="20"/>
                <w:szCs w:val="20"/>
              </w:rPr>
              <w:t>Consejo Estatal del Instituto Electoral y de Participación Ciudadana de Tabasco.</w:t>
            </w:r>
          </w:p>
        </w:tc>
      </w:tr>
      <w:tr w:rsidR="007A0A20" w:rsidRPr="007A0A20" w14:paraId="492D1E44" w14:textId="77777777" w:rsidTr="00564F93">
        <w:trPr>
          <w:jc w:val="center"/>
        </w:trPr>
        <w:tc>
          <w:tcPr>
            <w:tcW w:w="2042" w:type="pct"/>
            <w:vAlign w:val="center"/>
          </w:tcPr>
          <w:p w14:paraId="3E61D93B" w14:textId="77777777" w:rsidR="007A0A20" w:rsidRPr="007A0AEA" w:rsidRDefault="007A0A20" w:rsidP="007A0A20">
            <w:pPr>
              <w:spacing w:before="60" w:after="60" w:line="276" w:lineRule="auto"/>
              <w:rPr>
                <w:b/>
                <w:bCs/>
                <w:sz w:val="20"/>
                <w:szCs w:val="20"/>
              </w:rPr>
            </w:pPr>
            <w:r w:rsidRPr="007A0AEA">
              <w:rPr>
                <w:b/>
                <w:bCs/>
                <w:sz w:val="20"/>
                <w:szCs w:val="20"/>
              </w:rPr>
              <w:t>Constitución Federal:</w:t>
            </w:r>
          </w:p>
        </w:tc>
        <w:tc>
          <w:tcPr>
            <w:tcW w:w="2958" w:type="pct"/>
            <w:vAlign w:val="center"/>
          </w:tcPr>
          <w:p w14:paraId="4AD78599" w14:textId="77777777" w:rsidR="007A0A20" w:rsidRPr="007A0AEA" w:rsidRDefault="007A0A20" w:rsidP="007A0A20">
            <w:pPr>
              <w:spacing w:before="60" w:after="60" w:line="276" w:lineRule="auto"/>
              <w:rPr>
                <w:sz w:val="20"/>
                <w:szCs w:val="20"/>
              </w:rPr>
            </w:pPr>
            <w:r w:rsidRPr="007A0AEA">
              <w:rPr>
                <w:sz w:val="20"/>
                <w:szCs w:val="20"/>
              </w:rPr>
              <w:t>Constitución Política de los Estados Unidos Mexicanos.</w:t>
            </w:r>
          </w:p>
        </w:tc>
      </w:tr>
      <w:tr w:rsidR="007A0A20" w:rsidRPr="007A0A20" w14:paraId="31678587" w14:textId="77777777" w:rsidTr="00564F93">
        <w:trPr>
          <w:jc w:val="center"/>
        </w:trPr>
        <w:tc>
          <w:tcPr>
            <w:tcW w:w="2042" w:type="pct"/>
            <w:vAlign w:val="center"/>
          </w:tcPr>
          <w:p w14:paraId="62EEEED1" w14:textId="77777777" w:rsidR="007A0A20" w:rsidRPr="007A0AEA" w:rsidRDefault="007A0A20" w:rsidP="007A0A20">
            <w:pPr>
              <w:spacing w:before="60" w:after="60" w:line="276" w:lineRule="auto"/>
              <w:rPr>
                <w:b/>
                <w:bCs/>
                <w:sz w:val="20"/>
                <w:szCs w:val="20"/>
              </w:rPr>
            </w:pPr>
            <w:r w:rsidRPr="007A0AEA">
              <w:rPr>
                <w:b/>
                <w:bCs/>
                <w:sz w:val="20"/>
                <w:szCs w:val="20"/>
              </w:rPr>
              <w:t>Constitución Local:</w:t>
            </w:r>
          </w:p>
        </w:tc>
        <w:tc>
          <w:tcPr>
            <w:tcW w:w="2958" w:type="pct"/>
            <w:vAlign w:val="center"/>
          </w:tcPr>
          <w:p w14:paraId="034CB925" w14:textId="77777777" w:rsidR="007A0A20" w:rsidRPr="007A0AEA" w:rsidRDefault="007A0A20" w:rsidP="007A0A20">
            <w:pPr>
              <w:spacing w:before="60" w:after="60" w:line="276" w:lineRule="auto"/>
              <w:rPr>
                <w:sz w:val="20"/>
                <w:szCs w:val="20"/>
              </w:rPr>
            </w:pPr>
            <w:r w:rsidRPr="007A0AEA">
              <w:rPr>
                <w:sz w:val="20"/>
                <w:szCs w:val="20"/>
              </w:rPr>
              <w:t>Constitución Política del Estado Libre y Soberano de Tabasco.</w:t>
            </w:r>
          </w:p>
        </w:tc>
      </w:tr>
      <w:tr w:rsidR="007A0A20" w:rsidRPr="007A0A20" w14:paraId="38F32F36" w14:textId="77777777" w:rsidTr="00564F93">
        <w:trPr>
          <w:jc w:val="center"/>
        </w:trPr>
        <w:tc>
          <w:tcPr>
            <w:tcW w:w="2042" w:type="pct"/>
            <w:vAlign w:val="center"/>
          </w:tcPr>
          <w:p w14:paraId="6B7A51A7" w14:textId="77777777" w:rsidR="007A0A20" w:rsidRPr="007A0AEA" w:rsidRDefault="007A0A20" w:rsidP="007A0A20">
            <w:pPr>
              <w:spacing w:before="60" w:after="60" w:line="276" w:lineRule="auto"/>
              <w:rPr>
                <w:b/>
                <w:bCs/>
                <w:sz w:val="20"/>
                <w:szCs w:val="20"/>
              </w:rPr>
            </w:pPr>
            <w:r w:rsidRPr="007A0AEA">
              <w:rPr>
                <w:b/>
                <w:bCs/>
                <w:sz w:val="20"/>
                <w:szCs w:val="20"/>
              </w:rPr>
              <w:t>INE:</w:t>
            </w:r>
          </w:p>
        </w:tc>
        <w:tc>
          <w:tcPr>
            <w:tcW w:w="2958" w:type="pct"/>
            <w:vAlign w:val="center"/>
          </w:tcPr>
          <w:p w14:paraId="4E9B5AB2" w14:textId="77777777" w:rsidR="007A0A20" w:rsidRPr="007A0AEA" w:rsidRDefault="007A0A20" w:rsidP="007A0A20">
            <w:pPr>
              <w:spacing w:before="60" w:after="60" w:line="276" w:lineRule="auto"/>
              <w:rPr>
                <w:sz w:val="20"/>
                <w:szCs w:val="20"/>
              </w:rPr>
            </w:pPr>
            <w:r w:rsidRPr="007A0AEA">
              <w:rPr>
                <w:sz w:val="20"/>
                <w:szCs w:val="20"/>
              </w:rPr>
              <w:t>Instituto Nacional Electoral.</w:t>
            </w:r>
          </w:p>
        </w:tc>
      </w:tr>
      <w:tr w:rsidR="007A0A20" w:rsidRPr="007A0A20" w14:paraId="7C6E44F9" w14:textId="77777777" w:rsidTr="00564F93">
        <w:trPr>
          <w:jc w:val="center"/>
        </w:trPr>
        <w:tc>
          <w:tcPr>
            <w:tcW w:w="2042" w:type="pct"/>
            <w:vAlign w:val="center"/>
          </w:tcPr>
          <w:p w14:paraId="64670E92" w14:textId="77777777" w:rsidR="007A0A20" w:rsidRPr="007A0AEA" w:rsidRDefault="007A0A20" w:rsidP="007A0A20">
            <w:pPr>
              <w:spacing w:before="60" w:after="60" w:line="276" w:lineRule="auto"/>
              <w:rPr>
                <w:b/>
                <w:bCs/>
                <w:sz w:val="20"/>
                <w:szCs w:val="20"/>
              </w:rPr>
            </w:pPr>
            <w:r w:rsidRPr="007A0AEA">
              <w:rPr>
                <w:b/>
                <w:bCs/>
                <w:sz w:val="20"/>
                <w:szCs w:val="20"/>
              </w:rPr>
              <w:t>Instituto:</w:t>
            </w:r>
          </w:p>
        </w:tc>
        <w:tc>
          <w:tcPr>
            <w:tcW w:w="2958" w:type="pct"/>
            <w:vAlign w:val="center"/>
          </w:tcPr>
          <w:p w14:paraId="60A6DCB7" w14:textId="77777777" w:rsidR="007A0A20" w:rsidRPr="007A0AEA" w:rsidRDefault="007A0A20" w:rsidP="007A0A20">
            <w:pPr>
              <w:spacing w:before="60" w:after="60" w:line="276" w:lineRule="auto"/>
              <w:rPr>
                <w:sz w:val="20"/>
                <w:szCs w:val="20"/>
              </w:rPr>
            </w:pPr>
            <w:r w:rsidRPr="007A0AEA">
              <w:rPr>
                <w:sz w:val="20"/>
                <w:szCs w:val="20"/>
              </w:rPr>
              <w:t>Instituto Electoral y de Participación Ciudadana de Tabasco.</w:t>
            </w:r>
          </w:p>
        </w:tc>
      </w:tr>
      <w:tr w:rsidR="007A0A20" w:rsidRPr="007A0A20" w14:paraId="6277298F" w14:textId="77777777" w:rsidTr="00564F93">
        <w:trPr>
          <w:jc w:val="center"/>
        </w:trPr>
        <w:tc>
          <w:tcPr>
            <w:tcW w:w="2042" w:type="pct"/>
            <w:vAlign w:val="center"/>
          </w:tcPr>
          <w:p w14:paraId="2D590543" w14:textId="77777777" w:rsidR="007A0A20" w:rsidRPr="007A0AEA" w:rsidRDefault="007A0A20" w:rsidP="007A0A20">
            <w:pPr>
              <w:spacing w:before="60" w:after="60" w:line="276" w:lineRule="auto"/>
              <w:rPr>
                <w:b/>
                <w:bCs/>
                <w:sz w:val="20"/>
                <w:szCs w:val="20"/>
              </w:rPr>
            </w:pPr>
            <w:r w:rsidRPr="007A0AEA">
              <w:rPr>
                <w:b/>
                <w:bCs/>
                <w:sz w:val="20"/>
                <w:szCs w:val="20"/>
              </w:rPr>
              <w:t>Ley de Partidos:</w:t>
            </w:r>
          </w:p>
        </w:tc>
        <w:tc>
          <w:tcPr>
            <w:tcW w:w="2958" w:type="pct"/>
            <w:vAlign w:val="center"/>
          </w:tcPr>
          <w:p w14:paraId="4B2B981B" w14:textId="77777777" w:rsidR="007A0A20" w:rsidRPr="007A0AEA" w:rsidRDefault="007A0A20" w:rsidP="007A0A20">
            <w:pPr>
              <w:spacing w:before="60" w:after="60" w:line="276" w:lineRule="auto"/>
              <w:rPr>
                <w:sz w:val="20"/>
                <w:szCs w:val="20"/>
              </w:rPr>
            </w:pPr>
            <w:r w:rsidRPr="007A0AEA">
              <w:rPr>
                <w:sz w:val="20"/>
                <w:szCs w:val="20"/>
              </w:rPr>
              <w:t>Ley General de Partidos Políticos.</w:t>
            </w:r>
          </w:p>
        </w:tc>
      </w:tr>
      <w:tr w:rsidR="007A0A20" w:rsidRPr="007A0A20" w14:paraId="15E25016" w14:textId="77777777" w:rsidTr="00564F93">
        <w:trPr>
          <w:jc w:val="center"/>
        </w:trPr>
        <w:tc>
          <w:tcPr>
            <w:tcW w:w="2042" w:type="pct"/>
            <w:vAlign w:val="center"/>
          </w:tcPr>
          <w:p w14:paraId="1082466B" w14:textId="77777777" w:rsidR="007A0A20" w:rsidRPr="007A0AEA" w:rsidRDefault="007A0A20" w:rsidP="007A0A20">
            <w:pPr>
              <w:spacing w:before="60" w:after="60" w:line="276" w:lineRule="auto"/>
              <w:rPr>
                <w:b/>
                <w:bCs/>
                <w:sz w:val="20"/>
                <w:szCs w:val="20"/>
              </w:rPr>
            </w:pPr>
            <w:r w:rsidRPr="007A0AEA">
              <w:rPr>
                <w:b/>
                <w:bCs/>
                <w:sz w:val="20"/>
                <w:szCs w:val="20"/>
              </w:rPr>
              <w:t>Ley Electoral:</w:t>
            </w:r>
          </w:p>
        </w:tc>
        <w:tc>
          <w:tcPr>
            <w:tcW w:w="2958" w:type="pct"/>
            <w:vAlign w:val="center"/>
          </w:tcPr>
          <w:p w14:paraId="70D426D3" w14:textId="77777777" w:rsidR="007A0A20" w:rsidRPr="007A0AEA" w:rsidRDefault="007A0A20" w:rsidP="007A0A20">
            <w:pPr>
              <w:spacing w:before="60" w:after="60" w:line="276" w:lineRule="auto"/>
              <w:rPr>
                <w:sz w:val="20"/>
                <w:szCs w:val="20"/>
              </w:rPr>
            </w:pPr>
            <w:r w:rsidRPr="007A0AEA">
              <w:rPr>
                <w:sz w:val="20"/>
                <w:szCs w:val="20"/>
              </w:rPr>
              <w:t>Ley Electoral y de Partidos Políticos del Estado de Tabasco.</w:t>
            </w:r>
          </w:p>
        </w:tc>
      </w:tr>
      <w:tr w:rsidR="007A0A20" w:rsidRPr="007A0A20" w14:paraId="20F38FE8" w14:textId="77777777" w:rsidTr="00564F93">
        <w:trPr>
          <w:jc w:val="center"/>
        </w:trPr>
        <w:tc>
          <w:tcPr>
            <w:tcW w:w="2042" w:type="pct"/>
            <w:vAlign w:val="center"/>
          </w:tcPr>
          <w:p w14:paraId="262710F8" w14:textId="77777777" w:rsidR="007A0A20" w:rsidRPr="007A0AEA" w:rsidRDefault="007A0A20" w:rsidP="007A0A20">
            <w:pPr>
              <w:spacing w:before="60" w:after="60" w:line="276" w:lineRule="auto"/>
              <w:rPr>
                <w:b/>
                <w:bCs/>
                <w:sz w:val="20"/>
                <w:szCs w:val="20"/>
              </w:rPr>
            </w:pPr>
            <w:r w:rsidRPr="007A0AEA">
              <w:rPr>
                <w:b/>
                <w:bCs/>
                <w:sz w:val="20"/>
                <w:szCs w:val="20"/>
              </w:rPr>
              <w:t>Ley General:</w:t>
            </w:r>
          </w:p>
        </w:tc>
        <w:tc>
          <w:tcPr>
            <w:tcW w:w="2958" w:type="pct"/>
            <w:vAlign w:val="center"/>
          </w:tcPr>
          <w:p w14:paraId="43C2BDAE" w14:textId="77777777" w:rsidR="007A0A20" w:rsidRPr="007A0AEA" w:rsidRDefault="007A0A20" w:rsidP="007A0A20">
            <w:pPr>
              <w:spacing w:before="60" w:after="60" w:line="276" w:lineRule="auto"/>
              <w:rPr>
                <w:sz w:val="20"/>
                <w:szCs w:val="20"/>
              </w:rPr>
            </w:pPr>
            <w:r w:rsidRPr="007A0AEA">
              <w:rPr>
                <w:sz w:val="20"/>
                <w:szCs w:val="20"/>
              </w:rPr>
              <w:t>Ley General de Instituciones y Procedimientos Electorales.</w:t>
            </w:r>
          </w:p>
        </w:tc>
      </w:tr>
      <w:tr w:rsidR="007A0A20" w:rsidRPr="007A0A20" w14:paraId="026EA13B" w14:textId="77777777" w:rsidTr="00564F93">
        <w:trPr>
          <w:jc w:val="center"/>
        </w:trPr>
        <w:tc>
          <w:tcPr>
            <w:tcW w:w="2042" w:type="pct"/>
            <w:vAlign w:val="center"/>
          </w:tcPr>
          <w:p w14:paraId="3AE48D00" w14:textId="77777777" w:rsidR="007A0A20" w:rsidRPr="007A0AEA" w:rsidRDefault="007A0A20" w:rsidP="007A0A20">
            <w:pPr>
              <w:spacing w:before="60" w:after="60" w:line="276" w:lineRule="auto"/>
              <w:rPr>
                <w:b/>
                <w:bCs/>
                <w:sz w:val="20"/>
                <w:szCs w:val="20"/>
              </w:rPr>
            </w:pPr>
            <w:r w:rsidRPr="007A0AEA">
              <w:rPr>
                <w:b/>
                <w:bCs/>
                <w:sz w:val="20"/>
                <w:szCs w:val="20"/>
              </w:rPr>
              <w:t>Organismo electoral:</w:t>
            </w:r>
          </w:p>
        </w:tc>
        <w:tc>
          <w:tcPr>
            <w:tcW w:w="2958" w:type="pct"/>
            <w:vAlign w:val="center"/>
          </w:tcPr>
          <w:p w14:paraId="6D020B0B" w14:textId="77777777" w:rsidR="007A0A20" w:rsidRPr="007A0AEA" w:rsidRDefault="007A0A20" w:rsidP="007A0A20">
            <w:pPr>
              <w:spacing w:before="60" w:after="60" w:line="276" w:lineRule="auto"/>
              <w:rPr>
                <w:sz w:val="20"/>
                <w:szCs w:val="20"/>
              </w:rPr>
            </w:pPr>
            <w:r w:rsidRPr="007A0AEA">
              <w:rPr>
                <w:sz w:val="20"/>
                <w:szCs w:val="20"/>
              </w:rPr>
              <w:t xml:space="preserve">Organismo(s) público(s) local(es) electoral(es). </w:t>
            </w:r>
          </w:p>
        </w:tc>
      </w:tr>
      <w:tr w:rsidR="007A0A20" w:rsidRPr="007A0A20" w14:paraId="0E2F9DA3" w14:textId="77777777" w:rsidTr="00564F93">
        <w:trPr>
          <w:jc w:val="center"/>
        </w:trPr>
        <w:tc>
          <w:tcPr>
            <w:tcW w:w="2042" w:type="pct"/>
            <w:vAlign w:val="center"/>
          </w:tcPr>
          <w:p w14:paraId="692C0E33" w14:textId="77777777" w:rsidR="007A0A20" w:rsidRPr="007A0AEA" w:rsidRDefault="007A0A20" w:rsidP="007A0A20">
            <w:pPr>
              <w:spacing w:before="60" w:after="60" w:line="276" w:lineRule="auto"/>
              <w:rPr>
                <w:b/>
                <w:bCs/>
                <w:sz w:val="20"/>
                <w:szCs w:val="20"/>
              </w:rPr>
            </w:pPr>
            <w:r w:rsidRPr="007A0AEA">
              <w:rPr>
                <w:b/>
                <w:bCs/>
                <w:sz w:val="20"/>
                <w:szCs w:val="20"/>
              </w:rPr>
              <w:t>Proceso Electoral:</w:t>
            </w:r>
          </w:p>
        </w:tc>
        <w:tc>
          <w:tcPr>
            <w:tcW w:w="2958" w:type="pct"/>
            <w:vAlign w:val="center"/>
          </w:tcPr>
          <w:p w14:paraId="5A29BC74" w14:textId="77777777" w:rsidR="007A0A20" w:rsidRPr="007A0AEA" w:rsidRDefault="007A0A20" w:rsidP="007A0A20">
            <w:pPr>
              <w:spacing w:before="60" w:after="60" w:line="276" w:lineRule="auto"/>
              <w:rPr>
                <w:sz w:val="20"/>
                <w:szCs w:val="20"/>
              </w:rPr>
            </w:pPr>
            <w:r w:rsidRPr="007A0AEA">
              <w:rPr>
                <w:sz w:val="20"/>
                <w:szCs w:val="20"/>
              </w:rPr>
              <w:t>Proceso Electoral Local Ordinario 2023 – 2024.</w:t>
            </w:r>
          </w:p>
        </w:tc>
      </w:tr>
      <w:tr w:rsidR="007A0A20" w:rsidRPr="007A0A20" w14:paraId="48C72C65" w14:textId="77777777" w:rsidTr="00564F93">
        <w:trPr>
          <w:jc w:val="center"/>
        </w:trPr>
        <w:tc>
          <w:tcPr>
            <w:tcW w:w="2042" w:type="pct"/>
            <w:vAlign w:val="center"/>
          </w:tcPr>
          <w:p w14:paraId="554B7141" w14:textId="77777777" w:rsidR="007A0A20" w:rsidRPr="007A0A20" w:rsidRDefault="007A0A20" w:rsidP="007A0A20">
            <w:pPr>
              <w:spacing w:before="60" w:after="60" w:line="276" w:lineRule="auto"/>
              <w:rPr>
                <w:b/>
                <w:bCs/>
                <w:sz w:val="22"/>
                <w:szCs w:val="22"/>
              </w:rPr>
            </w:pPr>
            <w:r w:rsidRPr="007A0A20">
              <w:rPr>
                <w:b/>
                <w:bCs/>
                <w:sz w:val="22"/>
                <w:szCs w:val="22"/>
              </w:rPr>
              <w:t>Secretaría Ejecutiva:</w:t>
            </w:r>
          </w:p>
        </w:tc>
        <w:tc>
          <w:tcPr>
            <w:tcW w:w="2958" w:type="pct"/>
            <w:vAlign w:val="center"/>
          </w:tcPr>
          <w:p w14:paraId="4A44B456" w14:textId="77777777" w:rsidR="007A0A20" w:rsidRPr="007A0A20" w:rsidRDefault="007A0A20" w:rsidP="007A0A20">
            <w:pPr>
              <w:spacing w:before="60" w:after="60" w:line="276" w:lineRule="auto"/>
              <w:rPr>
                <w:sz w:val="22"/>
                <w:szCs w:val="22"/>
              </w:rPr>
            </w:pPr>
            <w:r w:rsidRPr="007A0A20">
              <w:rPr>
                <w:sz w:val="22"/>
                <w:szCs w:val="22"/>
              </w:rPr>
              <w:t>La persona titular de la Secretaría Ejecutiva del Instituto Electoral y de Participación Ciudadana de Tabasco.</w:t>
            </w:r>
          </w:p>
        </w:tc>
      </w:tr>
      <w:tr w:rsidR="001A7FE2" w:rsidRPr="007A0A20" w14:paraId="0D50BD24" w14:textId="77777777" w:rsidTr="00564F93">
        <w:trPr>
          <w:jc w:val="center"/>
        </w:trPr>
        <w:tc>
          <w:tcPr>
            <w:tcW w:w="2042" w:type="pct"/>
            <w:vAlign w:val="center"/>
          </w:tcPr>
          <w:p w14:paraId="5045C31F" w14:textId="3BC97BE5" w:rsidR="001A7FE2" w:rsidRPr="007A0AEA" w:rsidRDefault="001A7FE2" w:rsidP="007A0A20">
            <w:pPr>
              <w:spacing w:before="60" w:after="60" w:line="276" w:lineRule="auto"/>
              <w:rPr>
                <w:b/>
                <w:bCs/>
                <w:sz w:val="20"/>
                <w:szCs w:val="20"/>
              </w:rPr>
            </w:pPr>
            <w:r w:rsidRPr="007A0AEA">
              <w:rPr>
                <w:b/>
                <w:bCs/>
                <w:sz w:val="20"/>
                <w:szCs w:val="20"/>
              </w:rPr>
              <w:lastRenderedPageBreak/>
              <w:t>Programa de Promoción:</w:t>
            </w:r>
          </w:p>
        </w:tc>
        <w:tc>
          <w:tcPr>
            <w:tcW w:w="2958" w:type="pct"/>
            <w:vAlign w:val="center"/>
          </w:tcPr>
          <w:p w14:paraId="1F5B5175" w14:textId="07434C0E" w:rsidR="001A7FE2" w:rsidRPr="007A0AEA" w:rsidRDefault="001A7FE2" w:rsidP="001A7FE2">
            <w:pPr>
              <w:rPr>
                <w:sz w:val="20"/>
                <w:szCs w:val="20"/>
              </w:rPr>
            </w:pPr>
            <w:r w:rsidRPr="007A0AEA">
              <w:rPr>
                <w:sz w:val="20"/>
                <w:szCs w:val="20"/>
              </w:rPr>
              <w:t>Programa de Promoción de la Participación Ciudadana para el Ejercicio del Derecho al Sufragio en el Proceso Electoral Local Ordinario 2023-2024.</w:t>
            </w:r>
          </w:p>
        </w:tc>
      </w:tr>
    </w:tbl>
    <w:p w14:paraId="6A5EB50F" w14:textId="77777777" w:rsidR="0005329C" w:rsidRDefault="0005329C" w:rsidP="0005329C"/>
    <w:p w14:paraId="281E4BD3" w14:textId="3E9B60D3" w:rsidR="004A09E1" w:rsidRPr="007A0AEA" w:rsidRDefault="004A09E1" w:rsidP="00BF7CFA">
      <w:pPr>
        <w:pStyle w:val="Ttulo1"/>
        <w:rPr>
          <w:sz w:val="24"/>
          <w:szCs w:val="24"/>
        </w:rPr>
      </w:pPr>
      <w:r w:rsidRPr="007A0AEA">
        <w:rPr>
          <w:sz w:val="24"/>
          <w:szCs w:val="24"/>
        </w:rPr>
        <w:t>Antecedentes</w:t>
      </w:r>
    </w:p>
    <w:p w14:paraId="091DC054" w14:textId="77777777" w:rsidR="004A09E1" w:rsidRPr="007A0AEA" w:rsidRDefault="004A09E1" w:rsidP="00AC3D71">
      <w:pPr>
        <w:pStyle w:val="Ttulo2"/>
        <w:rPr>
          <w:sz w:val="23"/>
          <w:szCs w:val="23"/>
        </w:rPr>
      </w:pPr>
      <w:r w:rsidRPr="007A0AEA">
        <w:rPr>
          <w:sz w:val="23"/>
          <w:szCs w:val="23"/>
        </w:rPr>
        <w:t>Modificación de la circunscripción plurinominal</w:t>
      </w:r>
    </w:p>
    <w:p w14:paraId="5567FB9B" w14:textId="77777777" w:rsidR="004A09E1" w:rsidRPr="007A0AEA" w:rsidRDefault="004A09E1" w:rsidP="004A09E1">
      <w:r w:rsidRPr="007A0AEA">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12C3FC7" w14:textId="77777777" w:rsidR="004A09E1" w:rsidRPr="007A0AEA" w:rsidRDefault="004A09E1" w:rsidP="004A09E1">
      <w:r w:rsidRPr="007A0AEA">
        <w:t>En ese sentido, 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65D5542F" w14:textId="77777777" w:rsidR="004A09E1" w:rsidRPr="007A0AEA" w:rsidRDefault="004A09E1" w:rsidP="00AC3D71">
      <w:pPr>
        <w:pStyle w:val="Ttulo2"/>
        <w:rPr>
          <w:sz w:val="23"/>
          <w:szCs w:val="23"/>
        </w:rPr>
      </w:pPr>
      <w:r w:rsidRPr="007A0AEA">
        <w:rPr>
          <w:sz w:val="23"/>
          <w:szCs w:val="23"/>
        </w:rPr>
        <w:t>Distritación Electoral</w:t>
      </w:r>
    </w:p>
    <w:p w14:paraId="440B81CA" w14:textId="77777777" w:rsidR="004A09E1" w:rsidRPr="007A0AEA" w:rsidRDefault="004A09E1" w:rsidP="004A09E1">
      <w:r w:rsidRPr="007A0AEA">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87EFFBF" w14:textId="77777777" w:rsidR="004A09E1" w:rsidRPr="007A0AEA" w:rsidRDefault="004A09E1" w:rsidP="00AC3D71">
      <w:pPr>
        <w:pStyle w:val="Ttulo2"/>
        <w:rPr>
          <w:sz w:val="23"/>
          <w:szCs w:val="23"/>
        </w:rPr>
      </w:pPr>
      <w:r w:rsidRPr="007A0AEA">
        <w:rPr>
          <w:sz w:val="23"/>
          <w:szCs w:val="23"/>
        </w:rPr>
        <w:lastRenderedPageBreak/>
        <w:t>Homologación de plazos y fechas en los procesos electorales locales concurrentes</w:t>
      </w:r>
    </w:p>
    <w:p w14:paraId="0B26024E" w14:textId="77777777" w:rsidR="004A09E1" w:rsidRPr="007A0AEA" w:rsidRDefault="004A09E1" w:rsidP="004A09E1">
      <w:r w:rsidRPr="007A0AEA">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4C331B7D" w14:textId="77777777" w:rsidR="004A09E1" w:rsidRPr="007A0AEA" w:rsidRDefault="004A09E1" w:rsidP="00AC3D71">
      <w:pPr>
        <w:pStyle w:val="Ttulo2"/>
        <w:rPr>
          <w:sz w:val="23"/>
          <w:szCs w:val="23"/>
        </w:rPr>
      </w:pPr>
      <w:r w:rsidRPr="007A0AEA">
        <w:rPr>
          <w:sz w:val="23"/>
          <w:szCs w:val="23"/>
        </w:rPr>
        <w:t xml:space="preserve">Plan Integral y Calendario de Coordinación </w:t>
      </w:r>
    </w:p>
    <w:p w14:paraId="5FB26A3E" w14:textId="77777777" w:rsidR="004A09E1" w:rsidRPr="007A0AEA" w:rsidRDefault="004A09E1" w:rsidP="004A09E1">
      <w:r w:rsidRPr="007A0AEA">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15683095" w14:textId="77777777" w:rsidR="004A09E1" w:rsidRPr="007A0AEA" w:rsidRDefault="004A09E1" w:rsidP="00AC3D71">
      <w:pPr>
        <w:pStyle w:val="Ttulo2"/>
        <w:rPr>
          <w:sz w:val="23"/>
          <w:szCs w:val="23"/>
        </w:rPr>
      </w:pPr>
      <w:r w:rsidRPr="007A0AEA">
        <w:rPr>
          <w:sz w:val="23"/>
          <w:szCs w:val="23"/>
        </w:rPr>
        <w:t>Calendario Electoral</w:t>
      </w:r>
    </w:p>
    <w:p w14:paraId="591C805F" w14:textId="43B36C2B" w:rsidR="004A09E1" w:rsidRPr="007A0AEA" w:rsidRDefault="004A09E1" w:rsidP="004A09E1">
      <w:r w:rsidRPr="007A0AEA">
        <w:t>El 29 de septiembre de 2023, mediante acuerdo CE/2023/021, el Consejo Estatal aprobó el calendario electoral para el Proceso Electoral.</w:t>
      </w:r>
    </w:p>
    <w:p w14:paraId="00463266" w14:textId="7586F92C" w:rsidR="004A09E1" w:rsidRPr="007A0AEA" w:rsidRDefault="004A09E1" w:rsidP="00AC3D71">
      <w:pPr>
        <w:pStyle w:val="Ttulo2"/>
        <w:rPr>
          <w:sz w:val="23"/>
          <w:szCs w:val="23"/>
        </w:rPr>
      </w:pPr>
      <w:r w:rsidRPr="007A0AEA">
        <w:rPr>
          <w:sz w:val="23"/>
          <w:szCs w:val="23"/>
        </w:rPr>
        <w:t>Nueva integración de las Comisiones</w:t>
      </w:r>
    </w:p>
    <w:p w14:paraId="0A0744DA" w14:textId="53499EE1" w:rsidR="004A09E1" w:rsidRPr="007A0AEA" w:rsidRDefault="004A09E1" w:rsidP="004A09E1">
      <w:r w:rsidRPr="007A0AEA">
        <w:t>El 5 de octubre de 2023, mediante acuerdo CE/2023/31, el Consejo Estatal determinó la nueva integración de las Comisiones Permanentes de Vinculación con el Instituto Nacional Electoral, de Organización Electoral y Educación Cívica, de Denuncias y Quejas, de Seguimiento al Servicio Profesional Electoral Nacional con carácter Administrativa, y de Igualdad de Género y No Discriminación y constituyó la Comisión Temporal de Debates con motivo del Proceso Electoral Local Ordinario 2023 – 2024.</w:t>
      </w:r>
    </w:p>
    <w:p w14:paraId="0787BD9A" w14:textId="34A6FEE9" w:rsidR="004A09E1" w:rsidRDefault="004A09E1" w:rsidP="004A09E1">
      <w:r w:rsidRPr="007A0AEA">
        <w:t>A partir de lo anterior, la Comisión Permanente de Organización Electoral y Educación Cívica quedó integrada de la siguiente forma:</w:t>
      </w:r>
    </w:p>
    <w:p w14:paraId="058DF97B" w14:textId="77777777" w:rsidR="007A0AEA" w:rsidRPr="007A0AEA" w:rsidRDefault="007A0AEA" w:rsidP="004A09E1"/>
    <w:tbl>
      <w:tblPr>
        <w:tblStyle w:val="Tablaconcuadrcula"/>
        <w:tblW w:w="0" w:type="auto"/>
        <w:tblLook w:val="04A0" w:firstRow="1" w:lastRow="0" w:firstColumn="1" w:lastColumn="0" w:noHBand="0" w:noVBand="1"/>
      </w:tblPr>
      <w:tblGrid>
        <w:gridCol w:w="1838"/>
        <w:gridCol w:w="6990"/>
      </w:tblGrid>
      <w:tr w:rsidR="004A09E1" w:rsidRPr="007A0AEA" w14:paraId="461DDBC4" w14:textId="77777777" w:rsidTr="004A09E1">
        <w:tc>
          <w:tcPr>
            <w:tcW w:w="8828" w:type="dxa"/>
            <w:gridSpan w:val="2"/>
            <w:tcBorders>
              <w:top w:val="nil"/>
              <w:left w:val="nil"/>
              <w:bottom w:val="single" w:sz="4" w:space="0" w:color="A6A6A6" w:themeColor="background1" w:themeShade="A6"/>
              <w:right w:val="nil"/>
            </w:tcBorders>
            <w:vAlign w:val="center"/>
          </w:tcPr>
          <w:p w14:paraId="7F24E97A" w14:textId="77777777" w:rsidR="004A09E1" w:rsidRPr="007A0AEA" w:rsidRDefault="004A09E1" w:rsidP="004A09E1">
            <w:pPr>
              <w:widowControl w:val="0"/>
              <w:spacing w:before="0" w:after="60" w:line="288" w:lineRule="auto"/>
              <w:jc w:val="center"/>
              <w:rPr>
                <w:b/>
                <w:bCs/>
              </w:rPr>
            </w:pPr>
            <w:r w:rsidRPr="007A0AEA">
              <w:rPr>
                <w:b/>
                <w:bCs/>
                <w:color w:val="993366"/>
              </w:rPr>
              <w:lastRenderedPageBreak/>
              <w:t>Comisión Permanente de Organización Electoral y Educación Cívica</w:t>
            </w:r>
          </w:p>
        </w:tc>
      </w:tr>
      <w:tr w:rsidR="004A09E1" w:rsidRPr="007A0AEA" w14:paraId="72AC22F1" w14:textId="77777777" w:rsidTr="004A09E1">
        <w:tc>
          <w:tcPr>
            <w:tcW w:w="18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84BE28" w14:textId="77777777" w:rsidR="004A09E1" w:rsidRPr="007A0AEA" w:rsidRDefault="004A09E1" w:rsidP="005165B8">
            <w:pPr>
              <w:widowControl w:val="0"/>
              <w:spacing w:before="60" w:after="60" w:line="288" w:lineRule="auto"/>
              <w:rPr>
                <w:b/>
                <w:bCs/>
              </w:rPr>
            </w:pPr>
            <w:r w:rsidRPr="007A0AEA">
              <w:rPr>
                <w:b/>
                <w:bCs/>
              </w:rPr>
              <w:t>Presidencia:</w:t>
            </w:r>
          </w:p>
        </w:tc>
        <w:tc>
          <w:tcPr>
            <w:tcW w:w="699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FB0BD" w14:textId="77777777" w:rsidR="004A09E1" w:rsidRPr="007A0AEA" w:rsidRDefault="004A09E1" w:rsidP="005165B8">
            <w:pPr>
              <w:widowControl w:val="0"/>
              <w:spacing w:before="60" w:after="60" w:line="288" w:lineRule="auto"/>
            </w:pPr>
            <w:r w:rsidRPr="007A0AEA">
              <w:t>Lic. Hernán González Sala</w:t>
            </w:r>
          </w:p>
        </w:tc>
      </w:tr>
      <w:tr w:rsidR="004A09E1" w:rsidRPr="007A0AEA" w14:paraId="616497D7" w14:textId="77777777" w:rsidTr="004A09E1">
        <w:tc>
          <w:tcPr>
            <w:tcW w:w="1838"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5780D" w14:textId="77777777" w:rsidR="004A09E1" w:rsidRPr="007A0AEA" w:rsidRDefault="004A09E1" w:rsidP="005165B8">
            <w:pPr>
              <w:widowControl w:val="0"/>
              <w:spacing w:before="60" w:after="60" w:line="288" w:lineRule="auto"/>
              <w:rPr>
                <w:b/>
                <w:bCs/>
              </w:rPr>
            </w:pPr>
            <w:r w:rsidRPr="007A0AEA">
              <w:rPr>
                <w:b/>
                <w:bCs/>
              </w:rPr>
              <w:t>Integrante:</w:t>
            </w:r>
          </w:p>
        </w:tc>
        <w:tc>
          <w:tcPr>
            <w:tcW w:w="6990" w:type="dxa"/>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9B7858" w14:textId="414803AC" w:rsidR="004A09E1" w:rsidRPr="007A0AEA" w:rsidRDefault="004A09E1" w:rsidP="005165B8">
            <w:pPr>
              <w:widowControl w:val="0"/>
              <w:spacing w:before="60" w:after="60" w:line="288" w:lineRule="auto"/>
            </w:pPr>
            <w:r w:rsidRPr="007A0AEA">
              <w:t xml:space="preserve">Dra. </w:t>
            </w:r>
            <w:proofErr w:type="spellStart"/>
            <w:r w:rsidRPr="007A0AEA">
              <w:t>Rosselvy</w:t>
            </w:r>
            <w:proofErr w:type="spellEnd"/>
            <w:r w:rsidRPr="007A0AEA">
              <w:t xml:space="preserve"> del Carmen Domínguez Arévalo</w:t>
            </w:r>
          </w:p>
        </w:tc>
      </w:tr>
      <w:tr w:rsidR="004A09E1" w:rsidRPr="007A0AEA" w14:paraId="368571AD" w14:textId="77777777" w:rsidTr="005165B8">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220512" w14:textId="77777777" w:rsidR="004A09E1" w:rsidRPr="007A0AEA" w:rsidRDefault="004A09E1" w:rsidP="005165B8">
            <w:pPr>
              <w:widowControl w:val="0"/>
              <w:spacing w:before="60" w:after="60" w:line="288" w:lineRule="auto"/>
              <w:rPr>
                <w:b/>
                <w:bCs/>
              </w:rPr>
            </w:pPr>
            <w:r w:rsidRPr="007A0AEA">
              <w:rPr>
                <w:b/>
                <w:bCs/>
              </w:rPr>
              <w:t>Integrante:</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2967F2" w14:textId="77777777" w:rsidR="004A09E1" w:rsidRPr="007A0AEA" w:rsidRDefault="004A09E1" w:rsidP="005165B8">
            <w:pPr>
              <w:widowControl w:val="0"/>
              <w:spacing w:before="60" w:after="60" w:line="288" w:lineRule="auto"/>
            </w:pPr>
            <w:r w:rsidRPr="007A0AEA">
              <w:t>Lic. María Elvia Magaña Sandoval</w:t>
            </w:r>
          </w:p>
        </w:tc>
      </w:tr>
    </w:tbl>
    <w:p w14:paraId="3575A35A" w14:textId="77777777" w:rsidR="004A09E1" w:rsidRPr="007A0AEA" w:rsidRDefault="004A09E1" w:rsidP="00AC3D71">
      <w:pPr>
        <w:pStyle w:val="Ttulo2"/>
        <w:rPr>
          <w:sz w:val="23"/>
          <w:szCs w:val="23"/>
        </w:rPr>
      </w:pPr>
      <w:r w:rsidRPr="007A0AEA">
        <w:rPr>
          <w:sz w:val="23"/>
          <w:szCs w:val="23"/>
        </w:rPr>
        <w:t>Inicio del Proceso Electoral</w:t>
      </w:r>
    </w:p>
    <w:p w14:paraId="7D0885F7" w14:textId="77777777" w:rsidR="004A09E1" w:rsidRPr="007A0AEA" w:rsidRDefault="004A09E1" w:rsidP="004A09E1">
      <w:r w:rsidRPr="007A0AEA">
        <w:t>El 6 de octubre de la presente anualidad, el Consejo Estatal de conformidad con el artículo 111 de la Ley Electoral declaró el inicio del Proceso Electoral por el que se renovarán los cargos relativos a la Gubernatura del Estado, diputaciones locales y presidencias municipales y regidurías.</w:t>
      </w:r>
    </w:p>
    <w:p w14:paraId="1C22ABE3" w14:textId="0BEEA3D5" w:rsidR="00AE5798" w:rsidRPr="007A0AEA" w:rsidRDefault="001A7FE2" w:rsidP="00AC3D71">
      <w:pPr>
        <w:pStyle w:val="Ttulo2"/>
        <w:rPr>
          <w:sz w:val="23"/>
          <w:szCs w:val="23"/>
        </w:rPr>
      </w:pPr>
      <w:r w:rsidRPr="007A0AEA">
        <w:rPr>
          <w:sz w:val="23"/>
          <w:szCs w:val="23"/>
        </w:rPr>
        <w:t>P</w:t>
      </w:r>
      <w:r w:rsidR="00AE5798" w:rsidRPr="007A0AEA">
        <w:rPr>
          <w:sz w:val="23"/>
          <w:szCs w:val="23"/>
        </w:rPr>
        <w:t xml:space="preserve">ropuesta </w:t>
      </w:r>
      <w:r w:rsidRPr="007A0AEA">
        <w:rPr>
          <w:sz w:val="23"/>
          <w:szCs w:val="23"/>
        </w:rPr>
        <w:t>del Programa de Promoción</w:t>
      </w:r>
    </w:p>
    <w:p w14:paraId="5645CA02" w14:textId="17E180FF" w:rsidR="00AE5798" w:rsidRPr="007A0AEA" w:rsidRDefault="00AE5798" w:rsidP="001A7FE2">
      <w:r w:rsidRPr="007A0AEA">
        <w:t>El 25 de octubre de 2023, la Comisión aprobó</w:t>
      </w:r>
      <w:r w:rsidR="00A31729" w:rsidRPr="007A0AEA">
        <w:t>, mediante acuerdo COEYEC/2023/0</w:t>
      </w:r>
      <w:r w:rsidR="001A7FE2" w:rsidRPr="007A0AEA">
        <w:t>4</w:t>
      </w:r>
      <w:r w:rsidR="00A31729" w:rsidRPr="007A0AEA">
        <w:t xml:space="preserve">, </w:t>
      </w:r>
      <w:r w:rsidRPr="007A0AEA">
        <w:t xml:space="preserve">la propuesta </w:t>
      </w:r>
      <w:r w:rsidR="001A7FE2" w:rsidRPr="007A0AEA">
        <w:t xml:space="preserve">para la </w:t>
      </w:r>
      <w:r w:rsidR="00280C7C" w:rsidRPr="007A0AEA">
        <w:t>promoción de la participación ciudadana para el ejercicio del derecho al sufragio en e</w:t>
      </w:r>
      <w:r w:rsidR="001A7FE2" w:rsidRPr="007A0AEA">
        <w:t xml:space="preserve">l Proceso Electoral. </w:t>
      </w:r>
    </w:p>
    <w:p w14:paraId="23A5DA04" w14:textId="77777777" w:rsidR="00AE5798" w:rsidRPr="007A0AEA" w:rsidRDefault="00AE5798" w:rsidP="00145AC8">
      <w:r w:rsidRPr="007A0AEA">
        <w:t>Mediante oficio COEYEC/ST/159/2023, la Secretaría Técnica de la Comisión, remitió la propuesta a la Presidencia del Consejo, para someterla a la deliberación y en su caso, aprobación del Consejo Estatal.</w:t>
      </w:r>
    </w:p>
    <w:p w14:paraId="4B083F81" w14:textId="77777777" w:rsidR="004A09E1" w:rsidRPr="007A0AEA" w:rsidRDefault="004A09E1" w:rsidP="00AC3D71">
      <w:pPr>
        <w:pStyle w:val="Ttulo2"/>
        <w:rPr>
          <w:sz w:val="23"/>
          <w:szCs w:val="23"/>
        </w:rPr>
      </w:pPr>
      <w:r w:rsidRPr="007A0AEA">
        <w:rPr>
          <w:sz w:val="23"/>
          <w:szCs w:val="23"/>
        </w:rPr>
        <w:t>Jornada Electoral</w:t>
      </w:r>
    </w:p>
    <w:p w14:paraId="16790B90" w14:textId="42D56911" w:rsidR="004A09E1" w:rsidRDefault="004A09E1" w:rsidP="004A09E1">
      <w:r w:rsidRPr="007A0AEA">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102C9788" w14:textId="176A9578" w:rsidR="007A0AEA" w:rsidRDefault="007A0AEA" w:rsidP="004A09E1"/>
    <w:p w14:paraId="6EF4CC78" w14:textId="1D3E8BC4" w:rsidR="007A0AEA" w:rsidRDefault="007A0AEA" w:rsidP="004A09E1"/>
    <w:p w14:paraId="0384A7F0" w14:textId="77777777" w:rsidR="007A0AEA" w:rsidRPr="007A0AEA" w:rsidRDefault="007A0AEA" w:rsidP="004A09E1"/>
    <w:p w14:paraId="71CDC585" w14:textId="2F9FE15A" w:rsidR="004A09E1" w:rsidRPr="007A0AEA" w:rsidRDefault="004A09E1" w:rsidP="00BF7CFA">
      <w:pPr>
        <w:pStyle w:val="Ttulo1"/>
        <w:numPr>
          <w:ilvl w:val="0"/>
          <w:numId w:val="9"/>
        </w:numPr>
        <w:rPr>
          <w:sz w:val="24"/>
          <w:szCs w:val="24"/>
        </w:rPr>
      </w:pPr>
      <w:r w:rsidRPr="007A0AEA">
        <w:rPr>
          <w:sz w:val="24"/>
          <w:szCs w:val="24"/>
        </w:rPr>
        <w:lastRenderedPageBreak/>
        <w:t>Considerando</w:t>
      </w:r>
    </w:p>
    <w:p w14:paraId="7E1F7C12" w14:textId="709C1A0A" w:rsidR="004A09E1" w:rsidRPr="007A0AEA" w:rsidRDefault="004A09E1" w:rsidP="00AC3D71">
      <w:pPr>
        <w:pStyle w:val="Ttulo2"/>
        <w:rPr>
          <w:sz w:val="23"/>
          <w:szCs w:val="23"/>
        </w:rPr>
      </w:pPr>
      <w:r w:rsidRPr="007A0AEA">
        <w:rPr>
          <w:sz w:val="23"/>
          <w:szCs w:val="23"/>
        </w:rPr>
        <w:t xml:space="preserve">Fines del Instituto </w:t>
      </w:r>
    </w:p>
    <w:p w14:paraId="18E7A904" w14:textId="77777777" w:rsidR="004A09E1" w:rsidRPr="007A0AEA" w:rsidRDefault="004A09E1" w:rsidP="004A09E1">
      <w:r w:rsidRPr="007A0AEA">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0A4BB647" w14:textId="77777777" w:rsidR="004A09E1" w:rsidRPr="007A0AEA" w:rsidRDefault="004A09E1" w:rsidP="004A09E1">
      <w:r w:rsidRPr="007A0AEA">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59C81A3" w14:textId="73DFED36" w:rsidR="004A09E1" w:rsidRPr="007A0AEA" w:rsidRDefault="004A09E1" w:rsidP="00AC3D71">
      <w:pPr>
        <w:pStyle w:val="Ttulo2"/>
        <w:rPr>
          <w:sz w:val="23"/>
          <w:szCs w:val="23"/>
        </w:rPr>
      </w:pPr>
      <w:r w:rsidRPr="007A0AEA">
        <w:rPr>
          <w:sz w:val="23"/>
          <w:szCs w:val="23"/>
        </w:rPr>
        <w:t xml:space="preserve">Órganos Centrales del Instituto </w:t>
      </w:r>
    </w:p>
    <w:p w14:paraId="3025F467" w14:textId="77777777" w:rsidR="004A09E1" w:rsidRPr="007A0AEA" w:rsidRDefault="004A09E1" w:rsidP="004A09E1">
      <w:r w:rsidRPr="007A0AEA">
        <w:t>Que, el artículo 105 de la Ley Electoral, señala que el Consejo Estatal; la Presidencia del Consejo Estatal; la Junta Estatal Ejecutiva, la Secretaría Ejecutiva y el Órgano Técnico de Fiscalización, constituyen los órganos centrales del Instituto.</w:t>
      </w:r>
    </w:p>
    <w:p w14:paraId="3B1DD102" w14:textId="1828E4D8" w:rsidR="004A09E1" w:rsidRPr="007A0AEA" w:rsidRDefault="004A09E1" w:rsidP="00AC3D71">
      <w:pPr>
        <w:pStyle w:val="Ttulo2"/>
        <w:rPr>
          <w:sz w:val="23"/>
          <w:szCs w:val="23"/>
        </w:rPr>
      </w:pPr>
      <w:r w:rsidRPr="007A0AEA">
        <w:rPr>
          <w:sz w:val="23"/>
          <w:szCs w:val="23"/>
        </w:rPr>
        <w:lastRenderedPageBreak/>
        <w:t xml:space="preserve">Órgano Superior de Dirección del Instituto </w:t>
      </w:r>
    </w:p>
    <w:p w14:paraId="01E81F69" w14:textId="77777777" w:rsidR="004A09E1" w:rsidRPr="007A0AEA" w:rsidRDefault="004A09E1" w:rsidP="004A09E1">
      <w:r w:rsidRPr="007A0AEA">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41099EEA" w14:textId="6815674D" w:rsidR="004A09E1" w:rsidRPr="007A0AEA" w:rsidRDefault="004A09E1" w:rsidP="00AC3D71">
      <w:pPr>
        <w:pStyle w:val="Ttulo2"/>
        <w:rPr>
          <w:sz w:val="23"/>
          <w:szCs w:val="23"/>
        </w:rPr>
      </w:pPr>
      <w:r w:rsidRPr="007A0AEA">
        <w:rPr>
          <w:sz w:val="23"/>
          <w:szCs w:val="23"/>
        </w:rPr>
        <w:t>Integración del Órgano de Dirección Superior</w:t>
      </w:r>
    </w:p>
    <w:p w14:paraId="29225173" w14:textId="77777777" w:rsidR="004A09E1" w:rsidRPr="007A0AEA" w:rsidRDefault="004A09E1" w:rsidP="004A09E1">
      <w:r w:rsidRPr="007A0AEA">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249B7C79" w14:textId="0D0A8823" w:rsidR="004A09E1" w:rsidRPr="007A0AEA" w:rsidRDefault="004A09E1" w:rsidP="00AC3D71">
      <w:pPr>
        <w:pStyle w:val="Ttulo2"/>
        <w:rPr>
          <w:sz w:val="23"/>
          <w:szCs w:val="23"/>
        </w:rPr>
      </w:pPr>
      <w:r w:rsidRPr="007A0AEA">
        <w:rPr>
          <w:sz w:val="23"/>
          <w:szCs w:val="23"/>
        </w:rPr>
        <w:t>Competencia del Consejo Estatal</w:t>
      </w:r>
    </w:p>
    <w:p w14:paraId="0F08D6F8" w14:textId="56D23534" w:rsidR="0069711E" w:rsidRPr="007A0AEA" w:rsidRDefault="004A09E1" w:rsidP="00C32061">
      <w:r w:rsidRPr="007A0AEA">
        <w:t xml:space="preserve">Que, de conformidad con </w:t>
      </w:r>
      <w:r w:rsidR="0069711E" w:rsidRPr="007A0AEA">
        <w:t>el</w:t>
      </w:r>
      <w:r w:rsidRPr="007A0AEA">
        <w:t xml:space="preserve"> artículo 115 numeral 1</w:t>
      </w:r>
      <w:r w:rsidR="00C32061" w:rsidRPr="007A0AEA">
        <w:t xml:space="preserve"> </w:t>
      </w:r>
      <w:r w:rsidR="0069711E" w:rsidRPr="007A0AEA">
        <w:t xml:space="preserve">fracciones XI y XII de </w:t>
      </w:r>
      <w:r w:rsidR="00C32061" w:rsidRPr="007A0AEA">
        <w:t xml:space="preserve">la Ley Electoral, </w:t>
      </w:r>
      <w:r w:rsidR="0069711E" w:rsidRPr="007A0AEA">
        <w:t>a</w:t>
      </w:r>
      <w:r w:rsidR="00C32061" w:rsidRPr="007A0AEA">
        <w:t xml:space="preserve">l Consejo Estatal </w:t>
      </w:r>
      <w:r w:rsidR="0069711E" w:rsidRPr="007A0AEA">
        <w:t xml:space="preserve">le corresponde desarrollar y ejecutar los programas en el Estado, de educación cívica, paridad de género y respeto de los derechos humanos de las mujeres en el ámbito político electoral; y, orientar a </w:t>
      </w:r>
      <w:r w:rsidR="00785832" w:rsidRPr="007A0AEA">
        <w:t>la ciudadanía</w:t>
      </w:r>
      <w:r w:rsidR="0069711E" w:rsidRPr="007A0AEA">
        <w:t xml:space="preserve"> en la entidad para el ejercicio de sus derechos y cumplimiento de sus obligaciones político-electorales.</w:t>
      </w:r>
    </w:p>
    <w:p w14:paraId="22598EB4" w14:textId="1AB0D5E6" w:rsidR="004A09E1" w:rsidRPr="007A0AEA" w:rsidRDefault="004A09E1" w:rsidP="004A09E1">
      <w:r w:rsidRPr="007A0AEA">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28CF066" w14:textId="3AA0D817" w:rsidR="00C32061" w:rsidRPr="007A0AEA" w:rsidRDefault="00C32061" w:rsidP="00AC3D71">
      <w:pPr>
        <w:pStyle w:val="Ttulo2"/>
        <w:rPr>
          <w:sz w:val="23"/>
          <w:szCs w:val="23"/>
        </w:rPr>
      </w:pPr>
      <w:r w:rsidRPr="007A0AEA">
        <w:rPr>
          <w:sz w:val="23"/>
          <w:szCs w:val="23"/>
        </w:rPr>
        <w:lastRenderedPageBreak/>
        <w:t>Comisiones permanentes y temporales</w:t>
      </w:r>
    </w:p>
    <w:p w14:paraId="23EF74C3" w14:textId="77777777" w:rsidR="00C32061" w:rsidRPr="007A0AEA" w:rsidRDefault="00C32061" w:rsidP="00C32061">
      <w:r w:rsidRPr="007A0AEA">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 Estatal.</w:t>
      </w:r>
    </w:p>
    <w:p w14:paraId="345F327C" w14:textId="77777777" w:rsidR="00C32061" w:rsidRPr="007A0AEA" w:rsidRDefault="00C32061" w:rsidP="00C32061">
      <w:r w:rsidRPr="007A0AEA">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43208A20" w14:textId="0AF89D04" w:rsidR="00C32061" w:rsidRPr="007A0AEA" w:rsidRDefault="00C32061" w:rsidP="00AC3D71">
      <w:pPr>
        <w:pStyle w:val="Ttulo2"/>
        <w:rPr>
          <w:sz w:val="23"/>
          <w:szCs w:val="23"/>
        </w:rPr>
      </w:pPr>
      <w:r w:rsidRPr="007A0AEA">
        <w:rPr>
          <w:sz w:val="23"/>
          <w:szCs w:val="23"/>
        </w:rPr>
        <w:t xml:space="preserve"> Atribuciones de la Comisión </w:t>
      </w:r>
    </w:p>
    <w:p w14:paraId="47D33E02" w14:textId="525FC79D" w:rsidR="00C32061" w:rsidRPr="007A0AEA" w:rsidRDefault="00C32061" w:rsidP="00C32061">
      <w:r w:rsidRPr="007A0AEA">
        <w:t>Que, de la interpretación sistemática y funcional de los artículos 38 y 113, numerales 1 y 3 de la Ley Electoral; y 14, numeral 1 del Reglamento de Comisiones, la Comisión, es el órgano auxiliar del Consejo Estatal, que tiene entre otras funciones, la de proponer al Consejo, políticas y programas generales en materia de Organización Electoral, Educación Cívica o Participación Ciudadana.</w:t>
      </w:r>
    </w:p>
    <w:p w14:paraId="0645171F" w14:textId="77777777" w:rsidR="008F1AE6" w:rsidRPr="007A0AEA" w:rsidRDefault="008F1AE6" w:rsidP="00AC3D71">
      <w:pPr>
        <w:pStyle w:val="Ttulo2"/>
        <w:rPr>
          <w:sz w:val="23"/>
          <w:szCs w:val="23"/>
        </w:rPr>
      </w:pPr>
      <w:r w:rsidRPr="007A0AEA">
        <w:rPr>
          <w:sz w:val="23"/>
          <w:szCs w:val="23"/>
        </w:rPr>
        <w:t>Órgano responsable de la administración de los tiempos en radio y televisión</w:t>
      </w:r>
    </w:p>
    <w:p w14:paraId="192ADD92" w14:textId="68E3F7AA" w:rsidR="008F1AE6" w:rsidRPr="007A0AEA" w:rsidRDefault="008F1AE6" w:rsidP="008F1AE6">
      <w:pPr>
        <w:widowControl w:val="0"/>
        <w:spacing w:line="288" w:lineRule="auto"/>
      </w:pPr>
      <w:r w:rsidRPr="007A0AEA">
        <w:t>Que, los artículos 41 41, base III, apartados “A” y “B” de la Constitución Federal y 9 apartado “B” de la Constitución Local, establecen que el INE será autoridad única para la administración del tiempo que corresponda al Estado en radio y televisión destinado a sus propios fines y al ejercicio del derecho de los partidos políticos nacionales; asimismo, para fines electorales en las entidades federativas, el INE administrará los tiempos que correspondan al Estado en radio y televisión en las estaciones y canales de cobertura en la entidad de que se trate; en los términos que establezca la propia Constitución Federal y las leyes.</w:t>
      </w:r>
    </w:p>
    <w:p w14:paraId="273F0AB2" w14:textId="32BD7228" w:rsidR="008F1AE6" w:rsidRPr="007A0AEA" w:rsidRDefault="008F1AE6" w:rsidP="00AC3D71">
      <w:pPr>
        <w:pStyle w:val="Ttulo2"/>
        <w:rPr>
          <w:sz w:val="23"/>
          <w:szCs w:val="23"/>
        </w:rPr>
      </w:pPr>
      <w:r w:rsidRPr="007A0AEA">
        <w:rPr>
          <w:sz w:val="23"/>
          <w:szCs w:val="23"/>
        </w:rPr>
        <w:lastRenderedPageBreak/>
        <w:t xml:space="preserve">Tiempo de acceso a la radio y televisión requeridos por el Instituto para el cumplimiento de sus fines. </w:t>
      </w:r>
    </w:p>
    <w:p w14:paraId="4A4DC4C7" w14:textId="2A6F825B" w:rsidR="008F1AE6" w:rsidRPr="007A0AEA" w:rsidRDefault="008F1AE6" w:rsidP="008F1AE6">
      <w:pPr>
        <w:widowControl w:val="0"/>
        <w:spacing w:line="288" w:lineRule="auto"/>
      </w:pPr>
      <w:r w:rsidRPr="007A0AEA">
        <w:t>Que, la Ley Electoral, en su artículo 67, prevé que el Instituto, solicitará al INE el tiempo de acceso a la radio y televisión que requiera para el cumplimiento de sus fines y hará uso del tiempo que les corresponde, de acuerdo a las normas que establece la Ley General y las reglas que apruebe el Consejo General del INE; de igual manera propondrán al INE las pautas que correspondan a los tiempos que éste les asigne para el cumplimiento de sus fines y le entregarán los materiales con los mensajes para la difusión de sus actividades.</w:t>
      </w:r>
    </w:p>
    <w:p w14:paraId="5B5276B3" w14:textId="0B276C2B" w:rsidR="008F1AE6" w:rsidRPr="007A0AEA" w:rsidRDefault="008F1AE6" w:rsidP="00AC3D71">
      <w:pPr>
        <w:pStyle w:val="Ttulo2"/>
        <w:rPr>
          <w:sz w:val="23"/>
          <w:szCs w:val="23"/>
        </w:rPr>
      </w:pPr>
      <w:r w:rsidRPr="007A0AEA">
        <w:rPr>
          <w:sz w:val="23"/>
          <w:szCs w:val="23"/>
        </w:rPr>
        <w:t>Reconocimiento de los Derechos Humanos</w:t>
      </w:r>
    </w:p>
    <w:p w14:paraId="7D57DD29" w14:textId="7F85984F" w:rsidR="008F1AE6" w:rsidRPr="007A0AEA" w:rsidRDefault="008F1AE6" w:rsidP="008F1AE6">
      <w:pPr>
        <w:widowControl w:val="0"/>
        <w:spacing w:line="288" w:lineRule="auto"/>
      </w:pPr>
      <w:r w:rsidRPr="007A0AEA">
        <w:t>Que, los artículos 23 de  la Convención Americana sobre Derechos Humanos y 25 del Pacto Internacional sobre Derechos Civiles y Políticos establecen el derecho de toda la ciudadanía de participar en la dirección de los asuntos públicos, directamente o por medio de representantes libremente elegidos; de votar y ser elegidos en elecciones periódicas auténticas, realizadas por sufragio universal e igual y por voto secreto que garantice la libre expresión de la voluntad de los electores, y de tener acceso, en condiciones generales de igualdad, a las funciones públicas de su país.</w:t>
      </w:r>
    </w:p>
    <w:p w14:paraId="2ECC5838" w14:textId="0A73EF0E" w:rsidR="008F1AE6" w:rsidRPr="007A0AEA" w:rsidRDefault="008F1AE6" w:rsidP="00AC3D71">
      <w:pPr>
        <w:pStyle w:val="Ttulo2"/>
        <w:rPr>
          <w:sz w:val="23"/>
          <w:szCs w:val="23"/>
        </w:rPr>
      </w:pPr>
      <w:r w:rsidRPr="007A0AEA">
        <w:rPr>
          <w:sz w:val="23"/>
          <w:szCs w:val="23"/>
        </w:rPr>
        <w:t xml:space="preserve">Derechos políticos de la ciudadanía </w:t>
      </w:r>
    </w:p>
    <w:p w14:paraId="6A8D907C" w14:textId="4EA79670" w:rsidR="008F1AE6" w:rsidRPr="007A0AEA" w:rsidRDefault="008F1AE6" w:rsidP="008F1AE6">
      <w:pPr>
        <w:widowControl w:val="0"/>
        <w:spacing w:line="288" w:lineRule="auto"/>
      </w:pPr>
      <w:r w:rsidRPr="007A0AEA">
        <w:t>Que, los artículos 35 fracciones I, II y VII; y, 41 fracción VI apartado “C” de la Constitución Federal, consagran los derechos políticos de la ciudadanía para participar en los asuntos públicos del país, así como las atribuciones que tienen los organismos públicos locales electorales en materia de educación cívica y promoción de la participación ciudadana.</w:t>
      </w:r>
    </w:p>
    <w:p w14:paraId="38BBDF96" w14:textId="49878A4D" w:rsidR="008F1AE6" w:rsidRPr="007A0AEA" w:rsidRDefault="008F1AE6" w:rsidP="00AC3D71">
      <w:pPr>
        <w:pStyle w:val="Ttulo2"/>
        <w:rPr>
          <w:sz w:val="23"/>
          <w:szCs w:val="23"/>
        </w:rPr>
      </w:pPr>
      <w:r w:rsidRPr="007A0AEA">
        <w:rPr>
          <w:sz w:val="23"/>
          <w:szCs w:val="23"/>
        </w:rPr>
        <w:t xml:space="preserve">Reconocimiento a la participación de la ciudadanía en las elecciones a través del sufragio </w:t>
      </w:r>
    </w:p>
    <w:p w14:paraId="24E1D214" w14:textId="76DEAFA0" w:rsidR="008F1AE6" w:rsidRPr="007A0AEA" w:rsidRDefault="008F1AE6" w:rsidP="008F1AE6">
      <w:r w:rsidRPr="007A0AEA">
        <w:t xml:space="preserve">Que, los artículos 7 párrafos 1 y 2 de la Ley General; 7 fracción I de la Constitución Local establecen que, las elecciones constituyen un derecho y una obligación que se ejerce para integrar órganos del Estado de elección popular, lo que paralelamente establece el derecho de los ciudadanos y obligación para los partidos políticos la </w:t>
      </w:r>
      <w:r w:rsidRPr="007A0AEA">
        <w:lastRenderedPageBreak/>
        <w:t>igualdad de oportunidades y la paridad entre hombres y mujeres para tener acceso a cargos de elección popular. Asimismo, refieren que el voto es universal, libre, secreto, directo, personal e intransferible y que están prohibidos los actos que generen presión o coacción a los electores.</w:t>
      </w:r>
    </w:p>
    <w:p w14:paraId="7142439E" w14:textId="3FF83989" w:rsidR="00B1131F" w:rsidRPr="007A0AEA" w:rsidRDefault="00B1131F" w:rsidP="00AC3D71">
      <w:pPr>
        <w:pStyle w:val="Ttulo2"/>
        <w:rPr>
          <w:sz w:val="23"/>
          <w:szCs w:val="23"/>
        </w:rPr>
      </w:pPr>
      <w:r w:rsidRPr="007A0AEA">
        <w:rPr>
          <w:sz w:val="23"/>
          <w:szCs w:val="23"/>
        </w:rPr>
        <w:t>Promoción de la participación ciudadana para el ejercicio del derecho al sufragio</w:t>
      </w:r>
    </w:p>
    <w:p w14:paraId="10B616DD" w14:textId="6C257AE2" w:rsidR="00B1131F" w:rsidRPr="007A0AEA" w:rsidRDefault="00B1131F" w:rsidP="00B1131F">
      <w:r w:rsidRPr="007A0AEA">
        <w:t>Que, el artículo 4 numeral 2 de la Ley Electoral establece que la promoción de la participación ciudadana para el ejercicio del derecho al sufragio corresponde al Instituto, a los partidos políticos y a las y los candidatos. Asimismo, el Instituto emitirá las reglas a las que se sujetarán las campañas de promoción del voto que realicen otras organizaciones.</w:t>
      </w:r>
    </w:p>
    <w:p w14:paraId="7349966B" w14:textId="6C0F5821" w:rsidR="00B1131F" w:rsidRPr="007A0AEA" w:rsidRDefault="00B1131F" w:rsidP="00AC3D71">
      <w:pPr>
        <w:pStyle w:val="Ttulo2"/>
        <w:rPr>
          <w:sz w:val="23"/>
          <w:szCs w:val="23"/>
        </w:rPr>
      </w:pPr>
      <w:r w:rsidRPr="007A0AEA">
        <w:rPr>
          <w:sz w:val="23"/>
          <w:szCs w:val="23"/>
        </w:rPr>
        <w:t>Derecho y obligación de votar en las elecciones</w:t>
      </w:r>
    </w:p>
    <w:p w14:paraId="7B4C647B" w14:textId="083AF6C7" w:rsidR="00B1131F" w:rsidRPr="007A0AEA" w:rsidRDefault="00B1131F" w:rsidP="00B1131F">
      <w:r w:rsidRPr="007A0AEA">
        <w:t>Que, de conformidad con el artículo 5 numeral 1 de la Ley Electoral votar en las elecciones constituye un derecho y una obligación que se ejerce para integrar los órganos de elección popular del Estado y de los Municipios. Asimismo, es derecho de la ciudadanía y obligación para los partidos políticos la igualdad de oportunidades y la paridad entre hombres y mujeres para tener acceso a cargos de elección popular.</w:t>
      </w:r>
    </w:p>
    <w:p w14:paraId="0502AE0D" w14:textId="77777777" w:rsidR="00B1131F" w:rsidRPr="007A0AEA" w:rsidRDefault="00B1131F" w:rsidP="00B1131F">
      <w:r w:rsidRPr="007A0AEA">
        <w:t>Dicho artículo, en su numerales 2 y 3 establece que el voto es universal, libre, secreto, directo, personal e intransferible y su ejercicio corresponde a la ciudadanía que se encuentre en pleno ejercicio de sus derechos políticos, estén inscritos en el padrón electoral correspondiente, cuenten con la credencial para votar y no tengan impedimento legal para el ejercicio de ese derecho.</w:t>
      </w:r>
    </w:p>
    <w:p w14:paraId="31464630" w14:textId="77777777" w:rsidR="00B1131F" w:rsidRPr="007A0AEA" w:rsidRDefault="00B1131F" w:rsidP="00B1131F">
      <w:r w:rsidRPr="007A0AEA">
        <w:t>Por su parte, el artículo 5, numeral 4, refiere que, quedan prohibidos los actos que generen presión o coacción a los electores; y en su caso, tales actos serán sancionados conforme a lo dispuesto en las leyes respectivas.</w:t>
      </w:r>
    </w:p>
    <w:p w14:paraId="3F3E5A9B" w14:textId="5909540B" w:rsidR="00CE1427" w:rsidRPr="007A0AEA" w:rsidRDefault="00CE1427" w:rsidP="00AC3D71">
      <w:pPr>
        <w:pStyle w:val="Ttulo2"/>
        <w:rPr>
          <w:sz w:val="23"/>
          <w:szCs w:val="23"/>
        </w:rPr>
      </w:pPr>
      <w:r w:rsidRPr="007A0AEA">
        <w:rPr>
          <w:sz w:val="23"/>
          <w:szCs w:val="23"/>
        </w:rPr>
        <w:lastRenderedPageBreak/>
        <w:t xml:space="preserve">Programa de Promoción </w:t>
      </w:r>
    </w:p>
    <w:p w14:paraId="005148F0" w14:textId="2A5E402B" w:rsidR="00CE1427" w:rsidRPr="007A0AEA" w:rsidRDefault="00CE1427" w:rsidP="00CE1427">
      <w:r w:rsidRPr="007A0AEA">
        <w:t>Que, para efectos de dar cumplimiento a lo establecido en el artículo 4 numeral 2 y 101 numeral 1, fracción VI de la Ley Electoral, la Comisión con apego estricto a las normas, principios, valores y prácticas democráticas, elaboró un Programa de Promoción al Voto que contiene, entre otras cosas, un diagnóstico institucional, los objetivos generales y particulares, y las acciones tendentes a promover el voto y la participación ciudadana con motivo del Proceso Electoral.</w:t>
      </w:r>
    </w:p>
    <w:p w14:paraId="38B0E43C" w14:textId="3C818882" w:rsidR="00CE1427" w:rsidRPr="007A0AEA" w:rsidRDefault="00CE1427" w:rsidP="00CE1427">
      <w:r w:rsidRPr="007A0AEA">
        <w:t>En ese sentido, el Programa de Promoción al Voto es el documento en que se delimitan los marcos teóricos y conceptuales en materia de comunicación política institucional, el cual se conforma por un conjunto de acciones de comunicación educativa orientadas a sensibilizar a la ciudadanía para su participación efectiva en el Proceso Electoral con el objetivo de difundir la educación cívica y al mismo tiempo brindar elementos de información y reflexión; para un voto razonado y efectivo.</w:t>
      </w:r>
    </w:p>
    <w:p w14:paraId="65EACCC2" w14:textId="1972CA80" w:rsidR="00CE1427" w:rsidRPr="007A0AEA" w:rsidRDefault="00CE1427" w:rsidP="00CE1427">
      <w:r w:rsidRPr="007A0AEA">
        <w:t xml:space="preserve">Es por lo que, la propuesta formulada por la Comisión contribuirá a cumplir uno de los fines institucionales, pues con la información oportuna y veraz con que cuente la ciudadanía, se fortalecerán las elecciones y con ello, la renovación de los cargos relativos a la Gubernatura, Diputaciones, Presidencias Municipales y Regidurías en el Estado de Tabasco cumplirá con los principios de certeza, legalidad, independencia, imparcialidad, máxima publicidad y objetividad. </w:t>
      </w:r>
    </w:p>
    <w:p w14:paraId="22847BE0" w14:textId="77777777" w:rsidR="009577D2" w:rsidRPr="007A0AEA" w:rsidRDefault="009577D2" w:rsidP="009577D2">
      <w:r w:rsidRPr="007A0AEA">
        <w:t>Sobre la base de las consideraciones señaladas, este Consejo Estatal emite el siguiente:</w:t>
      </w:r>
    </w:p>
    <w:p w14:paraId="4F90FFB0" w14:textId="13C74FC4" w:rsidR="009577D2" w:rsidRPr="007A0AEA" w:rsidRDefault="009577D2" w:rsidP="00BF7CFA">
      <w:pPr>
        <w:pStyle w:val="Ttulo1"/>
        <w:rPr>
          <w:sz w:val="24"/>
          <w:szCs w:val="24"/>
        </w:rPr>
      </w:pPr>
      <w:r w:rsidRPr="007A0AEA">
        <w:rPr>
          <w:sz w:val="24"/>
          <w:szCs w:val="24"/>
        </w:rPr>
        <w:t>Acuerdo</w:t>
      </w:r>
    </w:p>
    <w:p w14:paraId="28910196" w14:textId="1A738738" w:rsidR="00CE1427" w:rsidRPr="007A0AEA" w:rsidRDefault="009577D2" w:rsidP="009577D2">
      <w:r w:rsidRPr="009577D2">
        <w:rPr>
          <w:b/>
          <w:bCs/>
        </w:rPr>
        <w:t>Primero.</w:t>
      </w:r>
      <w:r>
        <w:t xml:space="preserve"> </w:t>
      </w:r>
      <w:r w:rsidRPr="007A0AEA">
        <w:t>Se aprueba</w:t>
      </w:r>
      <w:r w:rsidR="00CE1427" w:rsidRPr="007A0AEA">
        <w:t xml:space="preserve"> el Programa de Promoción de la Participación Ciudadana para el Ejercicio del Derecho al Sufragio en el Proceso Electoral Local Ordinario 2023-2024 relativo a la elección de la Gubernatura, Diputaciones, Presidencias Municipales y Regidurías en el Estado de Tabasco que se anexa al presente acuerdo.</w:t>
      </w:r>
    </w:p>
    <w:p w14:paraId="45F18F0A" w14:textId="269AC3AF" w:rsidR="00AA26A1" w:rsidRPr="007A0AEA" w:rsidRDefault="00C723FA" w:rsidP="00C723FA">
      <w:r w:rsidRPr="007A0AEA">
        <w:rPr>
          <w:b/>
          <w:bCs/>
        </w:rPr>
        <w:t>Segundo.</w:t>
      </w:r>
      <w:r w:rsidRPr="007A0AEA">
        <w:t xml:space="preserve"> </w:t>
      </w:r>
      <w:r w:rsidR="00AA26A1" w:rsidRPr="007A0AEA">
        <w:t xml:space="preserve">Se instruye al Secretario Ejecutivo para que, en términos de lo dispuesto por el artículo 117 numeral 2 fracción XVIII de la Ley Electoral, provea de los elementos </w:t>
      </w:r>
      <w:r w:rsidR="00AA26A1" w:rsidRPr="007A0AEA">
        <w:lastRenderedPageBreak/>
        <w:t>primordiales para el cumplimiento de las actividades que conforman el programa que es aprobado.</w:t>
      </w:r>
    </w:p>
    <w:p w14:paraId="7C5DC991" w14:textId="4CB499A5" w:rsidR="00C723FA" w:rsidRPr="007A0AEA" w:rsidRDefault="00AA26A1" w:rsidP="00C723FA">
      <w:r w:rsidRPr="007A0AEA">
        <w:rPr>
          <w:b/>
          <w:bCs/>
        </w:rPr>
        <w:t>Tercero.</w:t>
      </w:r>
      <w:r w:rsidRPr="007A0AEA">
        <w:t xml:space="preserve"> Asimismo, s</w:t>
      </w:r>
      <w:r w:rsidR="00C723FA" w:rsidRPr="007A0AEA">
        <w:t>e instruye a la Secretaría Ejecutiva para que, por conducto de la Coordinación de Vinculación con el INE notifique el presente acuerdo al citado organismo nacional, a través de su Unidad Técnica de Vinculación con los Organismos Públicos Locales, para los efectos correspondientes.</w:t>
      </w:r>
    </w:p>
    <w:p w14:paraId="64A6619B" w14:textId="3AC6C346" w:rsidR="009577D2" w:rsidRPr="007A0AEA" w:rsidRDefault="00AA26A1" w:rsidP="009577D2">
      <w:r w:rsidRPr="007A0AEA">
        <w:rPr>
          <w:b/>
          <w:bCs/>
        </w:rPr>
        <w:t>Cuarto</w:t>
      </w:r>
      <w:r w:rsidR="00C723FA" w:rsidRPr="007A0AEA">
        <w:rPr>
          <w:b/>
          <w:bCs/>
        </w:rPr>
        <w:t>.</w:t>
      </w:r>
      <w:r w:rsidR="00C723FA" w:rsidRPr="007A0AEA">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2F431FC" w14:textId="693F5E00" w:rsidR="000C3638" w:rsidRPr="007A0AEA" w:rsidRDefault="000C3638" w:rsidP="007A0AEA">
      <w:pPr>
        <w:tabs>
          <w:tab w:val="left" w:pos="2694"/>
        </w:tabs>
      </w:pPr>
      <w:r w:rsidRPr="007A0AEA">
        <w:t xml:space="preserve">El presente acuerdo fue </w:t>
      </w:r>
      <w:r w:rsidR="007A0AEA">
        <w:t xml:space="preserve">aprobado en sesión </w:t>
      </w:r>
      <w:r w:rsidRPr="007A0AEA">
        <w:t>efectuada el</w:t>
      </w:r>
      <w:r w:rsidR="007A0AEA">
        <w:t xml:space="preserve"> treinta y uno</w:t>
      </w:r>
      <w:r w:rsidRPr="007A0AEA">
        <w:t xml:space="preserve"> </w:t>
      </w:r>
      <w:r w:rsidR="007A0AEA">
        <w:t>octubre</w:t>
      </w:r>
      <w:bookmarkStart w:id="0" w:name="_GoBack"/>
      <w:bookmarkEnd w:id="0"/>
      <w:r w:rsidRPr="007A0AEA">
        <w:t xml:space="preserve">  del año dos mil veintitrés, por votación</w:t>
      </w:r>
      <w:r w:rsidR="007A0AEA">
        <w:t xml:space="preserve"> unánime</w:t>
      </w:r>
      <w:r w:rsidRPr="007A0AEA">
        <w:t xml:space="preserve"> de las y los Consejeros Electorales del Consejo del Instituto Electoral y de Participación Ciudadana de Tabasco: </w:t>
      </w:r>
      <w:r w:rsidR="00B36998">
        <w:t>Dra</w:t>
      </w:r>
      <w:r w:rsidRPr="007A0AEA">
        <w:t xml:space="preserve">. </w:t>
      </w:r>
      <w:proofErr w:type="spellStart"/>
      <w:r w:rsidRPr="007A0AEA">
        <w:t>Rosselvy</w:t>
      </w:r>
      <w:proofErr w:type="spellEnd"/>
      <w:r w:rsidRPr="007A0AEA">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690F4AB7" w14:textId="77777777" w:rsidR="00931336" w:rsidRPr="007A0AEA" w:rsidRDefault="00931336" w:rsidP="009577D2"/>
    <w:p w14:paraId="75142628" w14:textId="77777777" w:rsidR="00931336" w:rsidRPr="007A0AEA" w:rsidRDefault="00931336" w:rsidP="009577D2"/>
    <w:p w14:paraId="6A0A9563" w14:textId="77777777" w:rsidR="00931336" w:rsidRPr="007A0AEA" w:rsidRDefault="00931336" w:rsidP="009577D2"/>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0C3638" w:rsidRPr="007A0AEA" w14:paraId="10FC7EAA" w14:textId="77777777" w:rsidTr="005165B8">
        <w:tc>
          <w:tcPr>
            <w:tcW w:w="4248" w:type="dxa"/>
          </w:tcPr>
          <w:p w14:paraId="23081D65" w14:textId="77777777" w:rsidR="000C3638" w:rsidRPr="007A0AEA" w:rsidRDefault="000C3638" w:rsidP="000C3638">
            <w:pPr>
              <w:spacing w:before="0" w:after="0"/>
              <w:jc w:val="center"/>
              <w:rPr>
                <w:b/>
                <w:bCs/>
              </w:rPr>
            </w:pPr>
            <w:r w:rsidRPr="007A0AEA">
              <w:rPr>
                <w:b/>
                <w:bCs/>
              </w:rPr>
              <w:t>MTRA. ELIZABETH NAVA GUTIÉRREZ</w:t>
            </w:r>
          </w:p>
          <w:p w14:paraId="095C60F8" w14:textId="77777777" w:rsidR="000C3638" w:rsidRPr="007A0AEA" w:rsidRDefault="000C3638" w:rsidP="000C3638">
            <w:pPr>
              <w:spacing w:before="0" w:after="0"/>
              <w:jc w:val="center"/>
              <w:rPr>
                <w:b/>
                <w:bCs/>
              </w:rPr>
            </w:pPr>
            <w:r w:rsidRPr="007A0AEA">
              <w:rPr>
                <w:b/>
                <w:bCs/>
              </w:rPr>
              <w:t>CONSEJERA PRESIDENTA</w:t>
            </w:r>
          </w:p>
        </w:tc>
        <w:tc>
          <w:tcPr>
            <w:tcW w:w="283" w:type="dxa"/>
          </w:tcPr>
          <w:p w14:paraId="3800C331" w14:textId="77777777" w:rsidR="000C3638" w:rsidRPr="007A0AEA" w:rsidRDefault="000C3638" w:rsidP="000C3638">
            <w:pPr>
              <w:spacing w:before="0" w:after="0"/>
              <w:rPr>
                <w:b/>
                <w:bCs/>
              </w:rPr>
            </w:pPr>
          </w:p>
        </w:tc>
        <w:tc>
          <w:tcPr>
            <w:tcW w:w="4297" w:type="dxa"/>
          </w:tcPr>
          <w:p w14:paraId="104CF204" w14:textId="77777777" w:rsidR="000C3638" w:rsidRPr="007A0AEA" w:rsidRDefault="000C3638" w:rsidP="000C3638">
            <w:pPr>
              <w:spacing w:before="0" w:after="0"/>
              <w:jc w:val="center"/>
              <w:rPr>
                <w:b/>
                <w:bCs/>
              </w:rPr>
            </w:pPr>
            <w:r w:rsidRPr="007A0AEA">
              <w:rPr>
                <w:b/>
                <w:bCs/>
              </w:rPr>
              <w:t>LIC. JORGE ALBERTO ZAVALA FRÍAS</w:t>
            </w:r>
          </w:p>
          <w:p w14:paraId="72ED344E" w14:textId="77777777" w:rsidR="000C3638" w:rsidRPr="007A0AEA" w:rsidRDefault="000C3638" w:rsidP="000C3638">
            <w:pPr>
              <w:spacing w:before="0" w:after="0"/>
              <w:jc w:val="center"/>
              <w:rPr>
                <w:b/>
                <w:bCs/>
              </w:rPr>
            </w:pPr>
            <w:r w:rsidRPr="007A0AEA">
              <w:rPr>
                <w:b/>
                <w:bCs/>
              </w:rPr>
              <w:t>SECRETARIO DEL CONSEJO</w:t>
            </w:r>
          </w:p>
        </w:tc>
      </w:tr>
    </w:tbl>
    <w:p w14:paraId="677F8B19" w14:textId="77777777" w:rsidR="000C3638" w:rsidRDefault="000C3638" w:rsidP="009577D2"/>
    <w:sectPr w:rsidR="000C3638" w:rsidSect="001727B0">
      <w:headerReference w:type="default" r:id="rId7"/>
      <w:footerReference w:type="default" r:id="rId8"/>
      <w:pgSz w:w="12240" w:h="15840" w:code="1"/>
      <w:pgMar w:top="2694" w:right="1701" w:bottom="1560"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1111" w14:textId="77777777" w:rsidR="0098395E" w:rsidRDefault="0098395E" w:rsidP="007A0A20">
      <w:pPr>
        <w:spacing w:before="0" w:after="0" w:line="240" w:lineRule="auto"/>
      </w:pPr>
      <w:r>
        <w:separator/>
      </w:r>
    </w:p>
  </w:endnote>
  <w:endnote w:type="continuationSeparator" w:id="0">
    <w:p w14:paraId="4DBDFC7D" w14:textId="77777777" w:rsidR="0098395E" w:rsidRDefault="0098395E" w:rsidP="007A0A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color w:val="993366"/>
        <w:sz w:val="22"/>
        <w:szCs w:val="22"/>
      </w:rPr>
      <w:id w:val="-1769616900"/>
      <w:docPartObj>
        <w:docPartGallery w:val="Page Numbers (Top of Page)"/>
        <w:docPartUnique/>
      </w:docPartObj>
    </w:sdtPr>
    <w:sdtEndPr/>
    <w:sdtContent>
      <w:p w14:paraId="65ADF2CB" w14:textId="7248FEE6" w:rsidR="007A0A20" w:rsidRPr="007A0A20" w:rsidRDefault="007A0A20" w:rsidP="007A0A20">
        <w:pPr>
          <w:pStyle w:val="Piedepgina"/>
          <w:jc w:val="right"/>
          <w:rPr>
            <w:b/>
            <w:bCs/>
            <w:color w:val="993366"/>
            <w:sz w:val="22"/>
            <w:szCs w:val="22"/>
          </w:rPr>
        </w:pPr>
        <w:r w:rsidRPr="007A0A20">
          <w:rPr>
            <w:b/>
            <w:bCs/>
            <w:color w:val="993366"/>
            <w:sz w:val="22"/>
            <w:szCs w:val="22"/>
            <w:lang w:val="es-ES"/>
          </w:rPr>
          <w:t xml:space="preserve">Página </w:t>
        </w:r>
        <w:r w:rsidRPr="007A0A20">
          <w:rPr>
            <w:b/>
            <w:bCs/>
            <w:color w:val="993366"/>
            <w:sz w:val="22"/>
            <w:szCs w:val="22"/>
          </w:rPr>
          <w:fldChar w:fldCharType="begin"/>
        </w:r>
        <w:r w:rsidRPr="007A0A20">
          <w:rPr>
            <w:b/>
            <w:bCs/>
            <w:color w:val="993366"/>
            <w:sz w:val="22"/>
            <w:szCs w:val="22"/>
          </w:rPr>
          <w:instrText>PAGE</w:instrText>
        </w:r>
        <w:r w:rsidRPr="007A0A20">
          <w:rPr>
            <w:b/>
            <w:bCs/>
            <w:color w:val="993366"/>
            <w:sz w:val="22"/>
            <w:szCs w:val="22"/>
          </w:rPr>
          <w:fldChar w:fldCharType="separate"/>
        </w:r>
        <w:r w:rsidR="005B1763">
          <w:rPr>
            <w:b/>
            <w:bCs/>
            <w:noProof/>
            <w:color w:val="993366"/>
            <w:sz w:val="22"/>
            <w:szCs w:val="22"/>
          </w:rPr>
          <w:t>11</w:t>
        </w:r>
        <w:r w:rsidRPr="007A0A20">
          <w:rPr>
            <w:b/>
            <w:bCs/>
            <w:color w:val="993366"/>
            <w:sz w:val="22"/>
            <w:szCs w:val="22"/>
          </w:rPr>
          <w:fldChar w:fldCharType="end"/>
        </w:r>
        <w:r w:rsidRPr="007A0A20">
          <w:rPr>
            <w:b/>
            <w:bCs/>
            <w:color w:val="993366"/>
            <w:sz w:val="22"/>
            <w:szCs w:val="22"/>
            <w:lang w:val="es-ES"/>
          </w:rPr>
          <w:t xml:space="preserve"> de </w:t>
        </w:r>
        <w:r w:rsidRPr="007A0A20">
          <w:rPr>
            <w:b/>
            <w:bCs/>
            <w:color w:val="993366"/>
            <w:sz w:val="22"/>
            <w:szCs w:val="22"/>
          </w:rPr>
          <w:fldChar w:fldCharType="begin"/>
        </w:r>
        <w:r w:rsidRPr="007A0A20">
          <w:rPr>
            <w:b/>
            <w:bCs/>
            <w:color w:val="993366"/>
            <w:sz w:val="22"/>
            <w:szCs w:val="22"/>
          </w:rPr>
          <w:instrText>NUMPAGES</w:instrText>
        </w:r>
        <w:r w:rsidRPr="007A0A20">
          <w:rPr>
            <w:b/>
            <w:bCs/>
            <w:color w:val="993366"/>
            <w:sz w:val="22"/>
            <w:szCs w:val="22"/>
          </w:rPr>
          <w:fldChar w:fldCharType="separate"/>
        </w:r>
        <w:r w:rsidR="005B1763">
          <w:rPr>
            <w:b/>
            <w:bCs/>
            <w:noProof/>
            <w:color w:val="993366"/>
            <w:sz w:val="22"/>
            <w:szCs w:val="22"/>
          </w:rPr>
          <w:t>11</w:t>
        </w:r>
        <w:r w:rsidRPr="007A0A20">
          <w:rPr>
            <w:b/>
            <w:bCs/>
            <w:color w:val="993366"/>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B6B26" w14:textId="77777777" w:rsidR="0098395E" w:rsidRDefault="0098395E" w:rsidP="007A0A20">
      <w:pPr>
        <w:spacing w:before="0" w:after="0" w:line="240" w:lineRule="auto"/>
      </w:pPr>
      <w:r>
        <w:separator/>
      </w:r>
    </w:p>
  </w:footnote>
  <w:footnote w:type="continuationSeparator" w:id="0">
    <w:p w14:paraId="62B3912D" w14:textId="77777777" w:rsidR="0098395E" w:rsidRDefault="0098395E" w:rsidP="007A0A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7A0A20" w:rsidRPr="00063338" w14:paraId="463FB922" w14:textId="77777777" w:rsidTr="005165B8">
      <w:tc>
        <w:tcPr>
          <w:tcW w:w="1418" w:type="dxa"/>
        </w:tcPr>
        <w:p w14:paraId="330CABD1" w14:textId="77777777" w:rsidR="007A0A20" w:rsidRPr="00063338" w:rsidRDefault="007A0A20" w:rsidP="007A0A20">
          <w:pPr>
            <w:pStyle w:val="Encabezado"/>
            <w:ind w:left="-170"/>
          </w:pPr>
          <w:r>
            <w:rPr>
              <w:b/>
              <w:noProof/>
              <w:sz w:val="32"/>
              <w:lang w:eastAsia="es-MX"/>
            </w:rPr>
            <w:drawing>
              <wp:inline distT="0" distB="0" distL="0" distR="0" wp14:anchorId="15AE2CE3" wp14:editId="55FCCAA5">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08284D9E" w14:textId="77777777" w:rsidR="007A0A20" w:rsidRPr="00C57E06" w:rsidRDefault="007A0A20" w:rsidP="007A0A20">
          <w:pPr>
            <w:pStyle w:val="Encabezado"/>
            <w:spacing w:before="720"/>
            <w:jc w:val="center"/>
            <w:rPr>
              <w:b/>
              <w:bCs/>
              <w:sz w:val="25"/>
              <w:szCs w:val="25"/>
            </w:rPr>
          </w:pPr>
          <w:r w:rsidRPr="00C57E06">
            <w:rPr>
              <w:b/>
              <w:bCs/>
              <w:sz w:val="25"/>
              <w:szCs w:val="25"/>
            </w:rPr>
            <w:t>INSTITUTO ELECTORAL Y DE PARTICIPACIÓN CIUDADANA DE TABASCO</w:t>
          </w:r>
        </w:p>
        <w:p w14:paraId="0D364DF7" w14:textId="77777777" w:rsidR="007A0A20" w:rsidRPr="00063338" w:rsidRDefault="007A0A20" w:rsidP="007A0A20">
          <w:pPr>
            <w:pStyle w:val="Encabezado"/>
            <w:jc w:val="center"/>
          </w:pPr>
          <w:r w:rsidRPr="00C57E06">
            <w:rPr>
              <w:sz w:val="26"/>
              <w:szCs w:val="26"/>
            </w:rPr>
            <w:t>CONSEJO ESTATAL</w:t>
          </w:r>
        </w:p>
      </w:tc>
      <w:tc>
        <w:tcPr>
          <w:tcW w:w="1701" w:type="dxa"/>
        </w:tcPr>
        <w:p w14:paraId="7759AC9B" w14:textId="77777777" w:rsidR="007A0A20" w:rsidRPr="00063338" w:rsidRDefault="007A0A20" w:rsidP="007A0A20">
          <w:pPr>
            <w:pStyle w:val="Encabezado"/>
            <w:spacing w:before="480"/>
          </w:pPr>
          <w:r w:rsidRPr="00063338">
            <w:rPr>
              <w:noProof/>
              <w:lang w:eastAsia="es-MX"/>
            </w:rPr>
            <w:drawing>
              <wp:inline distT="0" distB="0" distL="0" distR="0" wp14:anchorId="5DF6EF09" wp14:editId="653D16F7">
                <wp:extent cx="921600" cy="756000"/>
                <wp:effectExtent l="0" t="0" r="0" b="635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F8D1E07" w14:textId="19971ED2" w:rsidR="007A0A20" w:rsidRDefault="007A0AEA" w:rsidP="007A0AEA">
    <w:pPr>
      <w:pStyle w:val="Encabezado"/>
      <w:jc w:val="right"/>
      <w:rPr>
        <w:b/>
        <w:sz w:val="24"/>
        <w:szCs w:val="24"/>
      </w:rPr>
    </w:pPr>
    <w:r w:rsidRPr="007A0AEA">
      <w:rPr>
        <w:b/>
        <w:sz w:val="24"/>
        <w:szCs w:val="24"/>
      </w:rPr>
      <w:t>CE/2023/041</w:t>
    </w:r>
  </w:p>
  <w:p w14:paraId="55862FBC" w14:textId="77777777" w:rsidR="007A0AEA" w:rsidRPr="007A0AEA" w:rsidRDefault="007A0AEA" w:rsidP="007A0AEA">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5E6"/>
    <w:multiLevelType w:val="hybridMultilevel"/>
    <w:tmpl w:val="AC30344C"/>
    <w:lvl w:ilvl="0" w:tplc="FFFFFFFF">
      <w:start w:val="1"/>
      <w:numFmt w:val="lowerLetter"/>
      <w:lvlText w:val="%1)"/>
      <w:lvlJc w:val="left"/>
      <w:pPr>
        <w:ind w:left="720" w:hanging="360"/>
      </w:pPr>
    </w:lvl>
    <w:lvl w:ilvl="1" w:tplc="3FDA0D94">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286BD0"/>
    <w:multiLevelType w:val="hybridMultilevel"/>
    <w:tmpl w:val="8E1C45C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22441D"/>
    <w:multiLevelType w:val="hybridMultilevel"/>
    <w:tmpl w:val="9F10CC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E26FE6"/>
    <w:multiLevelType w:val="hybridMultilevel"/>
    <w:tmpl w:val="3C88A25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D088B"/>
    <w:multiLevelType w:val="multilevel"/>
    <w:tmpl w:val="77C6456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F9F2BFC"/>
    <w:multiLevelType w:val="hybridMultilevel"/>
    <w:tmpl w:val="49C2EB0C"/>
    <w:lvl w:ilvl="0" w:tplc="2AD46E0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A2278F"/>
    <w:multiLevelType w:val="hybridMultilevel"/>
    <w:tmpl w:val="AC1C49A8"/>
    <w:lvl w:ilvl="0" w:tplc="E2DA5A1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B3C288A"/>
    <w:multiLevelType w:val="hybridMultilevel"/>
    <w:tmpl w:val="DD50F3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481404"/>
    <w:multiLevelType w:val="hybridMultilevel"/>
    <w:tmpl w:val="6F42CD9A"/>
    <w:lvl w:ilvl="0" w:tplc="080A0017">
      <w:start w:val="1"/>
      <w:numFmt w:val="lowerLetter"/>
      <w:lvlText w:val="%1)"/>
      <w:lvlJc w:val="left"/>
      <w:pPr>
        <w:ind w:left="720" w:hanging="360"/>
      </w:pPr>
    </w:lvl>
    <w:lvl w:ilvl="1" w:tplc="4A04ED5A">
      <w:start w:val="1"/>
      <w:numFmt w:val="decimal"/>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74037F"/>
    <w:multiLevelType w:val="multilevel"/>
    <w:tmpl w:val="A28EC84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7AE73D01"/>
    <w:multiLevelType w:val="hybridMultilevel"/>
    <w:tmpl w:val="383E125C"/>
    <w:lvl w:ilvl="0" w:tplc="B3F8E59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8"/>
  </w:num>
  <w:num w:numId="5">
    <w:abstractNumId w:val="10"/>
  </w:num>
  <w:num w:numId="6">
    <w:abstractNumId w:val="7"/>
  </w:num>
  <w:num w:numId="7">
    <w:abstractNumId w:val="0"/>
  </w:num>
  <w:num w:numId="8">
    <w:abstractNumId w:val="2"/>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E1"/>
    <w:rsid w:val="000367B7"/>
    <w:rsid w:val="00051C10"/>
    <w:rsid w:val="0005329C"/>
    <w:rsid w:val="00066F0F"/>
    <w:rsid w:val="00090DE9"/>
    <w:rsid w:val="000C3638"/>
    <w:rsid w:val="00111078"/>
    <w:rsid w:val="00145AC8"/>
    <w:rsid w:val="001727B0"/>
    <w:rsid w:val="001A5C8C"/>
    <w:rsid w:val="001A7FE2"/>
    <w:rsid w:val="00274D99"/>
    <w:rsid w:val="00280C7C"/>
    <w:rsid w:val="004A09E1"/>
    <w:rsid w:val="00564F93"/>
    <w:rsid w:val="005B0AE1"/>
    <w:rsid w:val="005B1763"/>
    <w:rsid w:val="005E1E58"/>
    <w:rsid w:val="006677F5"/>
    <w:rsid w:val="0069711E"/>
    <w:rsid w:val="006C5E94"/>
    <w:rsid w:val="00723C2B"/>
    <w:rsid w:val="00785832"/>
    <w:rsid w:val="007A0A20"/>
    <w:rsid w:val="007A0AEA"/>
    <w:rsid w:val="008F1AE6"/>
    <w:rsid w:val="00931336"/>
    <w:rsid w:val="009577D2"/>
    <w:rsid w:val="0098395E"/>
    <w:rsid w:val="00997D6A"/>
    <w:rsid w:val="00A31729"/>
    <w:rsid w:val="00A73E39"/>
    <w:rsid w:val="00A835E4"/>
    <w:rsid w:val="00AA26A1"/>
    <w:rsid w:val="00AC3D71"/>
    <w:rsid w:val="00AE5798"/>
    <w:rsid w:val="00B1131F"/>
    <w:rsid w:val="00B36998"/>
    <w:rsid w:val="00B52423"/>
    <w:rsid w:val="00BF7CFA"/>
    <w:rsid w:val="00C32061"/>
    <w:rsid w:val="00C50DFB"/>
    <w:rsid w:val="00C6697D"/>
    <w:rsid w:val="00C71F78"/>
    <w:rsid w:val="00C723FA"/>
    <w:rsid w:val="00C94435"/>
    <w:rsid w:val="00CE1427"/>
    <w:rsid w:val="00D13FBE"/>
    <w:rsid w:val="00D93382"/>
    <w:rsid w:val="00DC305F"/>
    <w:rsid w:val="00E1626D"/>
    <w:rsid w:val="00F23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84D2"/>
  <w15:chartTrackingRefBased/>
  <w15:docId w15:val="{5F902793-4F1E-4059-BEC9-745D5E4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9E1"/>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BF7CFA"/>
    <w:pPr>
      <w:numPr>
        <w:numId w:val="11"/>
      </w:numPr>
      <w:spacing w:before="480" w:after="360"/>
      <w:jc w:val="center"/>
      <w:outlineLvl w:val="0"/>
    </w:pPr>
    <w:rPr>
      <w:rFonts w:ascii="Arial Negrita" w:hAnsi="Arial Negrita"/>
      <w:b/>
      <w:bCs/>
      <w:sz w:val="28"/>
      <w:szCs w:val="28"/>
    </w:rPr>
  </w:style>
  <w:style w:type="paragraph" w:styleId="Ttulo2">
    <w:name w:val="heading 2"/>
    <w:basedOn w:val="Normal"/>
    <w:next w:val="Normal"/>
    <w:link w:val="Ttulo2Car"/>
    <w:uiPriority w:val="9"/>
    <w:unhideWhenUsed/>
    <w:qFormat/>
    <w:rsid w:val="00AC3D71"/>
    <w:pPr>
      <w:keepNext/>
      <w:keepLines/>
      <w:numPr>
        <w:ilvl w:val="1"/>
        <w:numId w:val="11"/>
      </w:numPr>
      <w:spacing w:before="360"/>
      <w:outlineLvl w:val="1"/>
    </w:pPr>
    <w:rPr>
      <w:rFonts w:eastAsiaTheme="majorEastAsia"/>
      <w:b/>
      <w:bCs/>
      <w:sz w:val="24"/>
      <w:szCs w:val="24"/>
    </w:rPr>
  </w:style>
  <w:style w:type="paragraph" w:styleId="Ttulo3">
    <w:name w:val="heading 3"/>
    <w:basedOn w:val="Normal"/>
    <w:next w:val="Normal"/>
    <w:link w:val="Ttulo3Car"/>
    <w:uiPriority w:val="9"/>
    <w:semiHidden/>
    <w:unhideWhenUsed/>
    <w:qFormat/>
    <w:rsid w:val="005B0AE1"/>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5B0AE1"/>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B0AE1"/>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B0AE1"/>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B0AE1"/>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B0AE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B0AE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C3D71"/>
    <w:rPr>
      <w:rFonts w:ascii="Arial" w:eastAsiaTheme="majorEastAsia" w:hAnsi="Arial" w:cs="Arial"/>
      <w:b/>
      <w:bCs/>
      <w:sz w:val="24"/>
      <w:szCs w:val="24"/>
    </w:rPr>
  </w:style>
  <w:style w:type="character" w:customStyle="1" w:styleId="Ttulo1Car">
    <w:name w:val="Título 1 Car"/>
    <w:basedOn w:val="Fuentedeprrafopredeter"/>
    <w:link w:val="Ttulo1"/>
    <w:uiPriority w:val="9"/>
    <w:rsid w:val="00BF7CFA"/>
    <w:rPr>
      <w:rFonts w:ascii="Arial Negrita" w:hAnsi="Arial Negrita" w:cs="Arial"/>
      <w:b/>
      <w:bCs/>
      <w:sz w:val="28"/>
      <w:szCs w:val="28"/>
    </w:rPr>
  </w:style>
  <w:style w:type="table" w:styleId="Tablaconcuadrcula">
    <w:name w:val="Table Grid"/>
    <w:basedOn w:val="Tablanormal"/>
    <w:uiPriority w:val="39"/>
    <w:rsid w:val="004A09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32061"/>
    <w:pPr>
      <w:ind w:left="720"/>
      <w:contextualSpacing/>
    </w:pPr>
  </w:style>
  <w:style w:type="paragraph" w:styleId="Encabezado">
    <w:name w:val="header"/>
    <w:basedOn w:val="Normal"/>
    <w:link w:val="EncabezadoCar"/>
    <w:uiPriority w:val="99"/>
    <w:unhideWhenUsed/>
    <w:rsid w:val="007A0A2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A0A20"/>
    <w:rPr>
      <w:rFonts w:ascii="Arial" w:hAnsi="Arial" w:cs="Arial"/>
      <w:sz w:val="23"/>
      <w:szCs w:val="23"/>
    </w:rPr>
  </w:style>
  <w:style w:type="paragraph" w:styleId="Piedepgina">
    <w:name w:val="footer"/>
    <w:basedOn w:val="Normal"/>
    <w:link w:val="PiedepginaCar"/>
    <w:uiPriority w:val="99"/>
    <w:unhideWhenUsed/>
    <w:rsid w:val="007A0A2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A0A20"/>
    <w:rPr>
      <w:rFonts w:ascii="Arial" w:hAnsi="Arial" w:cs="Arial"/>
      <w:sz w:val="23"/>
      <w:szCs w:val="23"/>
    </w:rPr>
  </w:style>
  <w:style w:type="character" w:customStyle="1" w:styleId="Ttulo3Car">
    <w:name w:val="Título 3 Car"/>
    <w:basedOn w:val="Fuentedeprrafopredeter"/>
    <w:link w:val="Ttulo3"/>
    <w:uiPriority w:val="9"/>
    <w:semiHidden/>
    <w:rsid w:val="005B0AE1"/>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5B0AE1"/>
    <w:rPr>
      <w:rFonts w:asciiTheme="majorHAnsi" w:eastAsiaTheme="majorEastAsia" w:hAnsiTheme="majorHAnsi" w:cstheme="majorBidi"/>
      <w:i/>
      <w:iCs/>
      <w:color w:val="2F5496" w:themeColor="accent1" w:themeShade="BF"/>
      <w:sz w:val="23"/>
      <w:szCs w:val="23"/>
    </w:rPr>
  </w:style>
  <w:style w:type="character" w:customStyle="1" w:styleId="Ttulo5Car">
    <w:name w:val="Título 5 Car"/>
    <w:basedOn w:val="Fuentedeprrafopredeter"/>
    <w:link w:val="Ttulo5"/>
    <w:uiPriority w:val="9"/>
    <w:semiHidden/>
    <w:rsid w:val="005B0AE1"/>
    <w:rPr>
      <w:rFonts w:asciiTheme="majorHAnsi" w:eastAsiaTheme="majorEastAsia" w:hAnsiTheme="majorHAnsi" w:cstheme="majorBidi"/>
      <w:color w:val="2F5496" w:themeColor="accent1" w:themeShade="BF"/>
      <w:sz w:val="23"/>
      <w:szCs w:val="23"/>
    </w:rPr>
  </w:style>
  <w:style w:type="character" w:customStyle="1" w:styleId="Ttulo6Car">
    <w:name w:val="Título 6 Car"/>
    <w:basedOn w:val="Fuentedeprrafopredeter"/>
    <w:link w:val="Ttulo6"/>
    <w:uiPriority w:val="9"/>
    <w:semiHidden/>
    <w:rsid w:val="005B0AE1"/>
    <w:rPr>
      <w:rFonts w:asciiTheme="majorHAnsi" w:eastAsiaTheme="majorEastAsia" w:hAnsiTheme="majorHAnsi" w:cstheme="majorBidi"/>
      <w:color w:val="1F3763" w:themeColor="accent1" w:themeShade="7F"/>
      <w:sz w:val="23"/>
      <w:szCs w:val="23"/>
    </w:rPr>
  </w:style>
  <w:style w:type="character" w:customStyle="1" w:styleId="Ttulo7Car">
    <w:name w:val="Título 7 Car"/>
    <w:basedOn w:val="Fuentedeprrafopredeter"/>
    <w:link w:val="Ttulo7"/>
    <w:uiPriority w:val="9"/>
    <w:semiHidden/>
    <w:rsid w:val="005B0AE1"/>
    <w:rPr>
      <w:rFonts w:asciiTheme="majorHAnsi" w:eastAsiaTheme="majorEastAsia" w:hAnsiTheme="majorHAnsi" w:cstheme="majorBidi"/>
      <w:i/>
      <w:iCs/>
      <w:color w:val="1F3763" w:themeColor="accent1" w:themeShade="7F"/>
      <w:sz w:val="23"/>
      <w:szCs w:val="23"/>
    </w:rPr>
  </w:style>
  <w:style w:type="character" w:customStyle="1" w:styleId="Ttulo8Car">
    <w:name w:val="Título 8 Car"/>
    <w:basedOn w:val="Fuentedeprrafopredeter"/>
    <w:link w:val="Ttulo8"/>
    <w:uiPriority w:val="9"/>
    <w:semiHidden/>
    <w:rsid w:val="005B0AE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B0AE1"/>
    <w:rPr>
      <w:rFonts w:asciiTheme="majorHAnsi" w:eastAsiaTheme="majorEastAsia" w:hAnsiTheme="majorHAnsi" w:cstheme="majorBidi"/>
      <w:i/>
      <w:iCs/>
      <w:color w:val="272727" w:themeColor="text1" w:themeTint="D8"/>
      <w:sz w:val="21"/>
      <w:szCs w:val="21"/>
    </w:rPr>
  </w:style>
  <w:style w:type="paragraph" w:styleId="Textodeglobo">
    <w:name w:val="Balloon Text"/>
    <w:basedOn w:val="Normal"/>
    <w:link w:val="TextodegloboCar"/>
    <w:uiPriority w:val="99"/>
    <w:semiHidden/>
    <w:unhideWhenUsed/>
    <w:rsid w:val="00B36998"/>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9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2924</Words>
  <Characters>16083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Eduardo León Mayo</dc:creator>
  <cp:keywords/>
  <dc:description/>
  <cp:lastModifiedBy>Jaqueline del Carmen Carrillo Llergo</cp:lastModifiedBy>
  <cp:revision>48</cp:revision>
  <cp:lastPrinted>2023-11-01T02:42:00Z</cp:lastPrinted>
  <dcterms:created xsi:type="dcterms:W3CDTF">2023-10-26T02:07:00Z</dcterms:created>
  <dcterms:modified xsi:type="dcterms:W3CDTF">2023-11-01T23:41:00Z</dcterms:modified>
</cp:coreProperties>
</file>