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C145" w14:textId="57E7D01D" w:rsidR="00C413FD" w:rsidRPr="002D446B" w:rsidRDefault="00C413FD" w:rsidP="00C413FD">
      <w:pPr>
        <w:pStyle w:val="Ttulo"/>
        <w:spacing w:after="240"/>
        <w:jc w:val="right"/>
        <w:rPr>
          <w:rFonts w:cs="Arial"/>
          <w:szCs w:val="23"/>
        </w:rPr>
      </w:pPr>
      <w:r w:rsidRPr="002D446B">
        <w:rPr>
          <w:rFonts w:cs="Arial"/>
          <w:szCs w:val="23"/>
        </w:rPr>
        <w:t>CE/2023/</w:t>
      </w:r>
      <w:r w:rsidR="00B077FC" w:rsidRPr="002D446B">
        <w:rPr>
          <w:rFonts w:cs="Arial"/>
          <w:szCs w:val="23"/>
        </w:rPr>
        <w:t>009</w:t>
      </w:r>
    </w:p>
    <w:p w14:paraId="03D72CD6" w14:textId="5B25DD2D" w:rsidR="00DC5660" w:rsidRPr="002D446B" w:rsidRDefault="00504B8B" w:rsidP="00603E7C">
      <w:pPr>
        <w:pStyle w:val="Ttulo"/>
        <w:ind w:firstLine="1"/>
        <w:rPr>
          <w:rFonts w:cs="Arial"/>
          <w:sz w:val="24"/>
          <w:szCs w:val="23"/>
        </w:rPr>
      </w:pPr>
      <w:r w:rsidRPr="002D446B">
        <w:rPr>
          <w:rFonts w:cs="Arial"/>
          <w:sz w:val="24"/>
          <w:szCs w:val="23"/>
        </w:rPr>
        <w:t>A</w:t>
      </w:r>
      <w:r w:rsidR="00240065" w:rsidRPr="002D446B">
        <w:rPr>
          <w:rFonts w:cs="Arial"/>
          <w:sz w:val="24"/>
          <w:szCs w:val="23"/>
        </w:rPr>
        <w:t xml:space="preserve">cuerdo que emite el Consejo Estatal del Instituto Electoral y de Participación Ciudadana de Tabasco, mediante el cual </w:t>
      </w:r>
      <w:r w:rsidR="00DC5660" w:rsidRPr="002D446B">
        <w:rPr>
          <w:rFonts w:cs="Arial"/>
          <w:sz w:val="24"/>
          <w:szCs w:val="23"/>
        </w:rPr>
        <w:t xml:space="preserve">designa a las personas que se incorporan al propio Instituto con motivo de su acreditación </w:t>
      </w:r>
      <w:r w:rsidR="00867C47" w:rsidRPr="002D446B">
        <w:rPr>
          <w:rFonts w:cs="Arial"/>
          <w:sz w:val="24"/>
          <w:szCs w:val="23"/>
        </w:rPr>
        <w:t>en el Concurso Público 2022 – 2023</w:t>
      </w:r>
      <w:r w:rsidR="0016575F" w:rsidRPr="002D446B">
        <w:rPr>
          <w:rFonts w:cs="Arial"/>
          <w:sz w:val="24"/>
          <w:szCs w:val="23"/>
        </w:rPr>
        <w:t xml:space="preserve"> de ingreso</w:t>
      </w:r>
      <w:r w:rsidR="00867C47" w:rsidRPr="002D446B">
        <w:rPr>
          <w:rFonts w:cs="Arial"/>
          <w:sz w:val="24"/>
          <w:szCs w:val="23"/>
        </w:rPr>
        <w:t xml:space="preserve"> para ocupar cargos y puestos del Servicio Profesional Electoral Nacional del Sistema de los Organismos Públicos Locales Electorales</w:t>
      </w:r>
    </w:p>
    <w:p w14:paraId="177FF168" w14:textId="77777777" w:rsidR="007050DB" w:rsidRPr="002D446B" w:rsidRDefault="007050DB" w:rsidP="00B85DE8">
      <w:pPr>
        <w:ind w:left="0"/>
        <w:rPr>
          <w:sz w:val="23"/>
          <w:szCs w:val="23"/>
        </w:rPr>
      </w:pPr>
      <w:r w:rsidRPr="002D446B">
        <w:rPr>
          <w:sz w:val="23"/>
          <w:szCs w:val="23"/>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2D446B" w:rsidRPr="002D446B" w14:paraId="58148C5A" w14:textId="77777777" w:rsidTr="00594B1C">
        <w:trPr>
          <w:trHeight w:val="624"/>
          <w:jc w:val="center"/>
        </w:trPr>
        <w:tc>
          <w:tcPr>
            <w:tcW w:w="2042" w:type="pct"/>
            <w:shd w:val="clear" w:color="auto" w:fill="auto"/>
            <w:vAlign w:val="center"/>
          </w:tcPr>
          <w:p w14:paraId="58A808C2" w14:textId="77777777" w:rsidR="006F2FC4" w:rsidRPr="002D446B" w:rsidRDefault="006F2FC4" w:rsidP="00B7341E">
            <w:pPr>
              <w:spacing w:before="60" w:after="60"/>
              <w:ind w:left="57"/>
              <w:jc w:val="right"/>
              <w:rPr>
                <w:b/>
                <w:sz w:val="22"/>
                <w:szCs w:val="23"/>
              </w:rPr>
            </w:pPr>
            <w:r w:rsidRPr="002D446B">
              <w:rPr>
                <w:b/>
                <w:sz w:val="22"/>
                <w:szCs w:val="23"/>
              </w:rPr>
              <w:t>Comisión de Seguimiento:</w:t>
            </w:r>
          </w:p>
        </w:tc>
        <w:tc>
          <w:tcPr>
            <w:tcW w:w="2958" w:type="pct"/>
            <w:shd w:val="clear" w:color="auto" w:fill="auto"/>
            <w:vAlign w:val="center"/>
          </w:tcPr>
          <w:p w14:paraId="4164EE3E" w14:textId="77777777" w:rsidR="006F2FC4" w:rsidRPr="002D446B" w:rsidRDefault="006F2FC4" w:rsidP="00B7341E">
            <w:pPr>
              <w:spacing w:before="60" w:after="60"/>
              <w:ind w:left="57"/>
              <w:rPr>
                <w:sz w:val="22"/>
                <w:szCs w:val="23"/>
              </w:rPr>
            </w:pPr>
            <w:r w:rsidRPr="002D446B">
              <w:rPr>
                <w:sz w:val="22"/>
                <w:szCs w:val="23"/>
              </w:rPr>
              <w:t>Comisión de Seguimiento del Servicio Profesional Electoral del Instituto Electoral y de Participación Ciudadana de Tabasco.</w:t>
            </w:r>
          </w:p>
        </w:tc>
      </w:tr>
      <w:tr w:rsidR="002D446B" w:rsidRPr="002D446B" w14:paraId="55155180" w14:textId="77777777" w:rsidTr="00594B1C">
        <w:trPr>
          <w:trHeight w:val="624"/>
          <w:jc w:val="center"/>
        </w:trPr>
        <w:tc>
          <w:tcPr>
            <w:tcW w:w="2042" w:type="pct"/>
            <w:shd w:val="clear" w:color="auto" w:fill="auto"/>
            <w:vAlign w:val="center"/>
          </w:tcPr>
          <w:p w14:paraId="27592BA5" w14:textId="77777777" w:rsidR="006F2FC4" w:rsidRPr="002D446B" w:rsidRDefault="006F2FC4" w:rsidP="00B7341E">
            <w:pPr>
              <w:spacing w:before="60" w:after="60"/>
              <w:ind w:left="57"/>
              <w:jc w:val="right"/>
              <w:rPr>
                <w:b/>
                <w:sz w:val="22"/>
                <w:szCs w:val="23"/>
              </w:rPr>
            </w:pPr>
            <w:r w:rsidRPr="002D446B">
              <w:rPr>
                <w:b/>
                <w:sz w:val="22"/>
                <w:szCs w:val="23"/>
              </w:rPr>
              <w:t>Consejo Estatal:</w:t>
            </w:r>
          </w:p>
        </w:tc>
        <w:tc>
          <w:tcPr>
            <w:tcW w:w="2958" w:type="pct"/>
            <w:shd w:val="clear" w:color="auto" w:fill="auto"/>
            <w:vAlign w:val="center"/>
          </w:tcPr>
          <w:p w14:paraId="22EC0F57" w14:textId="77777777" w:rsidR="006F2FC4" w:rsidRPr="002D446B" w:rsidRDefault="006F2FC4" w:rsidP="00B7341E">
            <w:pPr>
              <w:spacing w:before="60" w:after="60"/>
              <w:ind w:left="57"/>
              <w:rPr>
                <w:sz w:val="22"/>
                <w:szCs w:val="23"/>
              </w:rPr>
            </w:pPr>
            <w:r w:rsidRPr="002D446B">
              <w:rPr>
                <w:sz w:val="22"/>
                <w:szCs w:val="23"/>
              </w:rPr>
              <w:t>Consejo Estatal del Instituto Electoral y de Participación Ciudadana de Tabasco.</w:t>
            </w:r>
          </w:p>
        </w:tc>
      </w:tr>
      <w:tr w:rsidR="002D446B" w:rsidRPr="002D446B" w14:paraId="696A4E71" w14:textId="77777777" w:rsidTr="00594B1C">
        <w:trPr>
          <w:trHeight w:val="624"/>
          <w:jc w:val="center"/>
        </w:trPr>
        <w:tc>
          <w:tcPr>
            <w:tcW w:w="2042" w:type="pct"/>
            <w:shd w:val="clear" w:color="auto" w:fill="auto"/>
            <w:vAlign w:val="center"/>
          </w:tcPr>
          <w:p w14:paraId="2DE46D9F" w14:textId="77777777" w:rsidR="006F2FC4" w:rsidRPr="002D446B" w:rsidRDefault="006F2FC4" w:rsidP="00B7341E">
            <w:pPr>
              <w:spacing w:before="60" w:after="60"/>
              <w:ind w:left="57"/>
              <w:jc w:val="right"/>
              <w:rPr>
                <w:b/>
                <w:sz w:val="22"/>
                <w:szCs w:val="23"/>
              </w:rPr>
            </w:pPr>
            <w:r w:rsidRPr="002D446B">
              <w:rPr>
                <w:b/>
                <w:sz w:val="22"/>
                <w:szCs w:val="23"/>
              </w:rPr>
              <w:t>Constitución Federal:</w:t>
            </w:r>
          </w:p>
        </w:tc>
        <w:tc>
          <w:tcPr>
            <w:tcW w:w="2958" w:type="pct"/>
            <w:shd w:val="clear" w:color="auto" w:fill="auto"/>
            <w:vAlign w:val="center"/>
          </w:tcPr>
          <w:p w14:paraId="2F4E4999" w14:textId="77777777" w:rsidR="006F2FC4" w:rsidRPr="002D446B" w:rsidRDefault="006F2FC4" w:rsidP="00B7341E">
            <w:pPr>
              <w:spacing w:before="60" w:after="60"/>
              <w:ind w:left="57"/>
              <w:rPr>
                <w:sz w:val="22"/>
                <w:szCs w:val="23"/>
              </w:rPr>
            </w:pPr>
            <w:r w:rsidRPr="002D446B">
              <w:rPr>
                <w:sz w:val="22"/>
                <w:szCs w:val="23"/>
              </w:rPr>
              <w:t>Constitución Política de los Estados Unidos Mexicanos.</w:t>
            </w:r>
          </w:p>
        </w:tc>
      </w:tr>
      <w:tr w:rsidR="002D446B" w:rsidRPr="002D446B" w14:paraId="57058F2F" w14:textId="77777777" w:rsidTr="00594B1C">
        <w:trPr>
          <w:trHeight w:val="624"/>
          <w:jc w:val="center"/>
        </w:trPr>
        <w:tc>
          <w:tcPr>
            <w:tcW w:w="2042" w:type="pct"/>
            <w:shd w:val="clear" w:color="auto" w:fill="auto"/>
            <w:vAlign w:val="center"/>
          </w:tcPr>
          <w:p w14:paraId="2E50396A" w14:textId="77777777" w:rsidR="006F2FC4" w:rsidRPr="002D446B" w:rsidRDefault="006F2FC4" w:rsidP="00B7341E">
            <w:pPr>
              <w:spacing w:before="60" w:after="60"/>
              <w:ind w:left="57"/>
              <w:jc w:val="right"/>
              <w:rPr>
                <w:b/>
                <w:sz w:val="22"/>
                <w:szCs w:val="23"/>
              </w:rPr>
            </w:pPr>
            <w:r w:rsidRPr="002D446B">
              <w:rPr>
                <w:b/>
                <w:sz w:val="22"/>
                <w:szCs w:val="23"/>
              </w:rPr>
              <w:t>Constitución Local:</w:t>
            </w:r>
          </w:p>
        </w:tc>
        <w:tc>
          <w:tcPr>
            <w:tcW w:w="2958" w:type="pct"/>
            <w:shd w:val="clear" w:color="auto" w:fill="auto"/>
            <w:vAlign w:val="center"/>
          </w:tcPr>
          <w:p w14:paraId="56B774B8" w14:textId="77777777" w:rsidR="006F2FC4" w:rsidRPr="002D446B" w:rsidRDefault="006F2FC4" w:rsidP="00B7341E">
            <w:pPr>
              <w:spacing w:before="60" w:after="60"/>
              <w:ind w:left="57"/>
              <w:rPr>
                <w:sz w:val="22"/>
                <w:szCs w:val="23"/>
              </w:rPr>
            </w:pPr>
            <w:r w:rsidRPr="002D446B">
              <w:rPr>
                <w:sz w:val="22"/>
                <w:szCs w:val="23"/>
              </w:rPr>
              <w:t>Constitución Política del Estado Libre y Soberano de Tabasco.</w:t>
            </w:r>
          </w:p>
        </w:tc>
      </w:tr>
      <w:tr w:rsidR="002D446B" w:rsidRPr="002D446B" w14:paraId="149882F7" w14:textId="77777777" w:rsidTr="00594B1C">
        <w:trPr>
          <w:trHeight w:val="624"/>
          <w:jc w:val="center"/>
        </w:trPr>
        <w:tc>
          <w:tcPr>
            <w:tcW w:w="2042" w:type="pct"/>
            <w:shd w:val="clear" w:color="auto" w:fill="auto"/>
            <w:vAlign w:val="center"/>
          </w:tcPr>
          <w:p w14:paraId="0B52DDD6" w14:textId="77777777" w:rsidR="006F2FC4" w:rsidRPr="002D446B" w:rsidRDefault="006F2FC4" w:rsidP="00B7341E">
            <w:pPr>
              <w:spacing w:before="60" w:after="60"/>
              <w:ind w:left="57"/>
              <w:jc w:val="right"/>
              <w:rPr>
                <w:b/>
                <w:sz w:val="22"/>
                <w:szCs w:val="23"/>
              </w:rPr>
            </w:pPr>
            <w:r w:rsidRPr="002D446B">
              <w:rPr>
                <w:b/>
                <w:sz w:val="22"/>
                <w:szCs w:val="23"/>
              </w:rPr>
              <w:t>DESPEN:</w:t>
            </w:r>
          </w:p>
        </w:tc>
        <w:tc>
          <w:tcPr>
            <w:tcW w:w="2958" w:type="pct"/>
            <w:shd w:val="clear" w:color="auto" w:fill="auto"/>
            <w:vAlign w:val="center"/>
          </w:tcPr>
          <w:p w14:paraId="05151378" w14:textId="77777777" w:rsidR="006F2FC4" w:rsidRPr="002D446B" w:rsidRDefault="006F2FC4" w:rsidP="00B7341E">
            <w:pPr>
              <w:spacing w:before="60" w:after="60"/>
              <w:ind w:left="57"/>
              <w:rPr>
                <w:sz w:val="22"/>
                <w:szCs w:val="23"/>
              </w:rPr>
            </w:pPr>
            <w:r w:rsidRPr="002D446B">
              <w:rPr>
                <w:sz w:val="22"/>
                <w:szCs w:val="23"/>
              </w:rPr>
              <w:t>Dirección Ejecutiva del Servicio Profesional Electoral Nacional.</w:t>
            </w:r>
          </w:p>
        </w:tc>
      </w:tr>
      <w:tr w:rsidR="002D446B" w:rsidRPr="002D446B" w14:paraId="3238563F" w14:textId="77777777" w:rsidTr="00594B1C">
        <w:trPr>
          <w:trHeight w:val="624"/>
          <w:jc w:val="center"/>
        </w:trPr>
        <w:tc>
          <w:tcPr>
            <w:tcW w:w="2042" w:type="pct"/>
            <w:shd w:val="clear" w:color="auto" w:fill="auto"/>
            <w:vAlign w:val="center"/>
          </w:tcPr>
          <w:p w14:paraId="39E50331" w14:textId="77777777" w:rsidR="006F2FC4" w:rsidRPr="002D446B" w:rsidRDefault="006F2FC4" w:rsidP="00B7341E">
            <w:pPr>
              <w:spacing w:before="60" w:after="60"/>
              <w:ind w:left="57"/>
              <w:jc w:val="right"/>
              <w:rPr>
                <w:b/>
                <w:sz w:val="22"/>
                <w:szCs w:val="23"/>
              </w:rPr>
            </w:pPr>
            <w:r w:rsidRPr="002D446B">
              <w:rPr>
                <w:b/>
                <w:sz w:val="22"/>
                <w:szCs w:val="23"/>
              </w:rPr>
              <w:t>Estatuto:</w:t>
            </w:r>
          </w:p>
        </w:tc>
        <w:tc>
          <w:tcPr>
            <w:tcW w:w="2958" w:type="pct"/>
            <w:shd w:val="clear" w:color="auto" w:fill="auto"/>
            <w:vAlign w:val="center"/>
          </w:tcPr>
          <w:p w14:paraId="21B830E4" w14:textId="77777777" w:rsidR="006F2FC4" w:rsidRPr="002D446B" w:rsidRDefault="006F2FC4" w:rsidP="00035CDF">
            <w:pPr>
              <w:spacing w:before="60" w:after="60"/>
              <w:ind w:left="57"/>
              <w:rPr>
                <w:sz w:val="22"/>
                <w:szCs w:val="23"/>
              </w:rPr>
            </w:pPr>
            <w:r w:rsidRPr="002D446B">
              <w:rPr>
                <w:sz w:val="22"/>
                <w:szCs w:val="23"/>
              </w:rPr>
              <w:t>Estatuto del Servicio Profesional Electoral Nacional y de la Rama Administrativa aprobado por el Instituto Nacional Electoral.</w:t>
            </w:r>
          </w:p>
        </w:tc>
      </w:tr>
      <w:tr w:rsidR="002D446B" w:rsidRPr="002D446B" w14:paraId="5E56E89E" w14:textId="77777777" w:rsidTr="00594B1C">
        <w:trPr>
          <w:trHeight w:val="624"/>
          <w:jc w:val="center"/>
        </w:trPr>
        <w:tc>
          <w:tcPr>
            <w:tcW w:w="2042" w:type="pct"/>
            <w:shd w:val="clear" w:color="auto" w:fill="auto"/>
            <w:vAlign w:val="center"/>
          </w:tcPr>
          <w:p w14:paraId="36518A4D" w14:textId="77777777" w:rsidR="006F2FC4" w:rsidRPr="002D446B" w:rsidRDefault="006F2FC4" w:rsidP="00B7341E">
            <w:pPr>
              <w:spacing w:before="60" w:after="60"/>
              <w:ind w:left="57"/>
              <w:jc w:val="right"/>
              <w:rPr>
                <w:b/>
                <w:sz w:val="22"/>
                <w:szCs w:val="23"/>
              </w:rPr>
            </w:pPr>
            <w:r w:rsidRPr="002D446B">
              <w:rPr>
                <w:b/>
                <w:sz w:val="22"/>
                <w:szCs w:val="23"/>
              </w:rPr>
              <w:t>INE:</w:t>
            </w:r>
          </w:p>
        </w:tc>
        <w:tc>
          <w:tcPr>
            <w:tcW w:w="2958" w:type="pct"/>
            <w:shd w:val="clear" w:color="auto" w:fill="auto"/>
            <w:vAlign w:val="center"/>
          </w:tcPr>
          <w:p w14:paraId="71337686" w14:textId="77777777" w:rsidR="006F2FC4" w:rsidRPr="002D446B" w:rsidRDefault="006F2FC4" w:rsidP="00B7341E">
            <w:pPr>
              <w:spacing w:before="60" w:after="60"/>
              <w:ind w:left="57"/>
              <w:rPr>
                <w:sz w:val="22"/>
                <w:szCs w:val="23"/>
              </w:rPr>
            </w:pPr>
            <w:r w:rsidRPr="002D446B">
              <w:rPr>
                <w:sz w:val="22"/>
                <w:szCs w:val="23"/>
              </w:rPr>
              <w:t>Instituto Nacional Electoral.</w:t>
            </w:r>
          </w:p>
        </w:tc>
      </w:tr>
      <w:tr w:rsidR="002D446B" w:rsidRPr="002D446B" w14:paraId="7C9C7203" w14:textId="77777777" w:rsidTr="00594B1C">
        <w:trPr>
          <w:trHeight w:val="624"/>
          <w:jc w:val="center"/>
        </w:trPr>
        <w:tc>
          <w:tcPr>
            <w:tcW w:w="2042" w:type="pct"/>
            <w:shd w:val="clear" w:color="auto" w:fill="auto"/>
            <w:vAlign w:val="center"/>
          </w:tcPr>
          <w:p w14:paraId="4726CBA4" w14:textId="77777777" w:rsidR="006F2FC4" w:rsidRPr="002D446B" w:rsidRDefault="006F2FC4" w:rsidP="00B7341E">
            <w:pPr>
              <w:spacing w:before="60" w:after="60"/>
              <w:ind w:left="57"/>
              <w:jc w:val="right"/>
              <w:rPr>
                <w:b/>
                <w:sz w:val="22"/>
                <w:szCs w:val="23"/>
              </w:rPr>
            </w:pPr>
            <w:r w:rsidRPr="002D446B">
              <w:rPr>
                <w:b/>
                <w:sz w:val="22"/>
                <w:szCs w:val="23"/>
              </w:rPr>
              <w:t>Instituto Electoral:</w:t>
            </w:r>
          </w:p>
        </w:tc>
        <w:tc>
          <w:tcPr>
            <w:tcW w:w="2958" w:type="pct"/>
            <w:shd w:val="clear" w:color="auto" w:fill="auto"/>
          </w:tcPr>
          <w:p w14:paraId="365F2F0A" w14:textId="77777777" w:rsidR="006F2FC4" w:rsidRPr="002D446B" w:rsidRDefault="006F2FC4" w:rsidP="00B7341E">
            <w:pPr>
              <w:spacing w:before="60" w:after="60"/>
              <w:ind w:left="57"/>
              <w:rPr>
                <w:sz w:val="22"/>
                <w:szCs w:val="23"/>
              </w:rPr>
            </w:pPr>
            <w:r w:rsidRPr="002D446B">
              <w:rPr>
                <w:sz w:val="22"/>
                <w:szCs w:val="23"/>
              </w:rPr>
              <w:t>Instituto Electoral y de Participación Ciudadana de Tabasco.</w:t>
            </w:r>
          </w:p>
        </w:tc>
      </w:tr>
      <w:tr w:rsidR="002D446B" w:rsidRPr="002D446B" w14:paraId="01C410F9" w14:textId="77777777" w:rsidTr="00594B1C">
        <w:trPr>
          <w:trHeight w:val="624"/>
          <w:jc w:val="center"/>
        </w:trPr>
        <w:tc>
          <w:tcPr>
            <w:tcW w:w="2042" w:type="pct"/>
            <w:shd w:val="clear" w:color="auto" w:fill="auto"/>
            <w:vAlign w:val="center"/>
          </w:tcPr>
          <w:p w14:paraId="18CEE610" w14:textId="77777777" w:rsidR="006F2FC4" w:rsidRPr="002D446B" w:rsidRDefault="006F2FC4" w:rsidP="00B7341E">
            <w:pPr>
              <w:spacing w:before="60" w:after="60"/>
              <w:ind w:left="57"/>
              <w:jc w:val="right"/>
              <w:rPr>
                <w:b/>
                <w:sz w:val="22"/>
                <w:szCs w:val="23"/>
              </w:rPr>
            </w:pPr>
            <w:r w:rsidRPr="002D446B">
              <w:rPr>
                <w:b/>
                <w:sz w:val="22"/>
                <w:szCs w:val="23"/>
              </w:rPr>
              <w:t>Ley Electoral:</w:t>
            </w:r>
          </w:p>
        </w:tc>
        <w:tc>
          <w:tcPr>
            <w:tcW w:w="2958" w:type="pct"/>
            <w:shd w:val="clear" w:color="auto" w:fill="auto"/>
            <w:vAlign w:val="center"/>
          </w:tcPr>
          <w:p w14:paraId="545CA8C9" w14:textId="77777777" w:rsidR="006F2FC4" w:rsidRPr="002D446B" w:rsidRDefault="006F2FC4" w:rsidP="00B7341E">
            <w:pPr>
              <w:spacing w:before="60" w:after="60"/>
              <w:ind w:left="57"/>
              <w:rPr>
                <w:sz w:val="22"/>
                <w:szCs w:val="23"/>
              </w:rPr>
            </w:pPr>
            <w:r w:rsidRPr="002D446B">
              <w:rPr>
                <w:sz w:val="22"/>
                <w:szCs w:val="23"/>
              </w:rPr>
              <w:t>Ley Electoral y de Partidos Políticos del Estado de Tabasco.</w:t>
            </w:r>
          </w:p>
        </w:tc>
      </w:tr>
      <w:tr w:rsidR="002D446B" w:rsidRPr="002D446B" w14:paraId="4A18927F" w14:textId="77777777" w:rsidTr="00594B1C">
        <w:trPr>
          <w:trHeight w:val="624"/>
          <w:jc w:val="center"/>
        </w:trPr>
        <w:tc>
          <w:tcPr>
            <w:tcW w:w="2042" w:type="pct"/>
            <w:shd w:val="clear" w:color="auto" w:fill="auto"/>
            <w:vAlign w:val="center"/>
          </w:tcPr>
          <w:p w14:paraId="59CBCDCA" w14:textId="77777777" w:rsidR="006F2FC4" w:rsidRPr="002D446B" w:rsidRDefault="006F2FC4" w:rsidP="00B7341E">
            <w:pPr>
              <w:spacing w:before="60" w:after="60"/>
              <w:ind w:left="57"/>
              <w:jc w:val="right"/>
              <w:rPr>
                <w:b/>
                <w:sz w:val="22"/>
                <w:szCs w:val="23"/>
              </w:rPr>
            </w:pPr>
            <w:r w:rsidRPr="002D446B">
              <w:rPr>
                <w:b/>
                <w:sz w:val="22"/>
                <w:szCs w:val="23"/>
              </w:rPr>
              <w:t>Ley General:</w:t>
            </w:r>
          </w:p>
        </w:tc>
        <w:tc>
          <w:tcPr>
            <w:tcW w:w="2958" w:type="pct"/>
            <w:shd w:val="clear" w:color="auto" w:fill="auto"/>
            <w:vAlign w:val="center"/>
          </w:tcPr>
          <w:p w14:paraId="7AA2941A" w14:textId="77777777" w:rsidR="006F2FC4" w:rsidRPr="002D446B" w:rsidRDefault="006F2FC4" w:rsidP="00B7341E">
            <w:pPr>
              <w:spacing w:before="60" w:after="60"/>
              <w:ind w:left="57"/>
              <w:rPr>
                <w:sz w:val="22"/>
                <w:szCs w:val="23"/>
              </w:rPr>
            </w:pPr>
            <w:r w:rsidRPr="002D446B">
              <w:rPr>
                <w:sz w:val="22"/>
                <w:szCs w:val="23"/>
              </w:rPr>
              <w:t>Ley General de Instituciones y Procedimientos Electorales.</w:t>
            </w:r>
          </w:p>
        </w:tc>
      </w:tr>
      <w:tr w:rsidR="002D446B" w:rsidRPr="002D446B" w14:paraId="0A7440F9" w14:textId="77777777" w:rsidTr="00594B1C">
        <w:trPr>
          <w:trHeight w:val="624"/>
          <w:jc w:val="center"/>
        </w:trPr>
        <w:tc>
          <w:tcPr>
            <w:tcW w:w="2042" w:type="pct"/>
            <w:shd w:val="clear" w:color="auto" w:fill="auto"/>
            <w:vAlign w:val="center"/>
          </w:tcPr>
          <w:p w14:paraId="2BB8DF17" w14:textId="77777777" w:rsidR="006F2FC4" w:rsidRPr="002D446B" w:rsidRDefault="006F2FC4" w:rsidP="00B7341E">
            <w:pPr>
              <w:spacing w:before="60" w:after="60"/>
              <w:ind w:left="57"/>
              <w:jc w:val="right"/>
              <w:rPr>
                <w:b/>
                <w:sz w:val="22"/>
                <w:szCs w:val="23"/>
              </w:rPr>
            </w:pPr>
            <w:r w:rsidRPr="002D446B">
              <w:rPr>
                <w:b/>
                <w:sz w:val="22"/>
                <w:szCs w:val="23"/>
              </w:rPr>
              <w:lastRenderedPageBreak/>
              <w:t>Lineamientos:</w:t>
            </w:r>
          </w:p>
        </w:tc>
        <w:tc>
          <w:tcPr>
            <w:tcW w:w="2958" w:type="pct"/>
            <w:shd w:val="clear" w:color="auto" w:fill="auto"/>
            <w:vAlign w:val="center"/>
          </w:tcPr>
          <w:p w14:paraId="6E533DBC" w14:textId="3B149EC7" w:rsidR="006F2FC4" w:rsidRPr="002D446B" w:rsidRDefault="00303577" w:rsidP="00B7341E">
            <w:pPr>
              <w:spacing w:before="60" w:after="60"/>
              <w:ind w:left="57"/>
              <w:rPr>
                <w:sz w:val="22"/>
                <w:szCs w:val="23"/>
              </w:rPr>
            </w:pPr>
            <w:r w:rsidRPr="002D446B">
              <w:rPr>
                <w:sz w:val="22"/>
                <w:szCs w:val="23"/>
              </w:rPr>
              <w:t>Lineamientos del Concurso Público para el ingreso al Servicio Profesional Electoral Nacional del Sistema de los Organismos Públicos Locales.</w:t>
            </w:r>
          </w:p>
        </w:tc>
      </w:tr>
      <w:tr w:rsidR="002D446B" w:rsidRPr="002D446B" w14:paraId="4C57796F" w14:textId="77777777" w:rsidTr="00594B1C">
        <w:trPr>
          <w:trHeight w:val="624"/>
          <w:jc w:val="center"/>
        </w:trPr>
        <w:tc>
          <w:tcPr>
            <w:tcW w:w="2042" w:type="pct"/>
            <w:shd w:val="clear" w:color="auto" w:fill="auto"/>
            <w:vAlign w:val="center"/>
          </w:tcPr>
          <w:p w14:paraId="28ED44AF" w14:textId="77777777" w:rsidR="006F2FC4" w:rsidRPr="002D446B" w:rsidRDefault="006F2FC4" w:rsidP="00B7341E">
            <w:pPr>
              <w:spacing w:before="60" w:after="60"/>
              <w:ind w:left="57"/>
              <w:jc w:val="right"/>
              <w:rPr>
                <w:b/>
                <w:sz w:val="22"/>
                <w:szCs w:val="23"/>
              </w:rPr>
            </w:pPr>
            <w:r w:rsidRPr="002D446B">
              <w:rPr>
                <w:b/>
                <w:sz w:val="22"/>
                <w:szCs w:val="23"/>
              </w:rPr>
              <w:t>Organismo electoral:</w:t>
            </w:r>
          </w:p>
        </w:tc>
        <w:tc>
          <w:tcPr>
            <w:tcW w:w="2958" w:type="pct"/>
            <w:shd w:val="clear" w:color="auto" w:fill="auto"/>
            <w:vAlign w:val="center"/>
          </w:tcPr>
          <w:p w14:paraId="3170B834" w14:textId="77777777" w:rsidR="006F2FC4" w:rsidRPr="002D446B" w:rsidRDefault="006F2FC4" w:rsidP="00B7341E">
            <w:pPr>
              <w:spacing w:before="60" w:after="60"/>
              <w:ind w:left="57"/>
              <w:rPr>
                <w:sz w:val="22"/>
                <w:szCs w:val="23"/>
              </w:rPr>
            </w:pPr>
            <w:r w:rsidRPr="002D446B">
              <w:rPr>
                <w:sz w:val="22"/>
                <w:szCs w:val="23"/>
              </w:rPr>
              <w:t xml:space="preserve">Organismo(s) público(s) local(es) electoral(es). </w:t>
            </w:r>
          </w:p>
        </w:tc>
      </w:tr>
      <w:tr w:rsidR="002D446B" w:rsidRPr="002D446B" w14:paraId="2E57FA55" w14:textId="77777777" w:rsidTr="00594B1C">
        <w:trPr>
          <w:trHeight w:val="624"/>
          <w:jc w:val="center"/>
        </w:trPr>
        <w:tc>
          <w:tcPr>
            <w:tcW w:w="2042" w:type="pct"/>
            <w:shd w:val="clear" w:color="auto" w:fill="auto"/>
            <w:vAlign w:val="center"/>
          </w:tcPr>
          <w:p w14:paraId="52DA694C" w14:textId="77777777" w:rsidR="006F2FC4" w:rsidRPr="002D446B" w:rsidRDefault="006F2FC4" w:rsidP="00B7341E">
            <w:pPr>
              <w:spacing w:before="60" w:after="60"/>
              <w:ind w:left="57"/>
              <w:jc w:val="right"/>
              <w:rPr>
                <w:b/>
                <w:sz w:val="22"/>
                <w:szCs w:val="23"/>
              </w:rPr>
            </w:pPr>
            <w:r w:rsidRPr="002D446B">
              <w:rPr>
                <w:b/>
                <w:sz w:val="22"/>
                <w:szCs w:val="23"/>
              </w:rPr>
              <w:t>Órgano de Enlace:</w:t>
            </w:r>
          </w:p>
        </w:tc>
        <w:tc>
          <w:tcPr>
            <w:tcW w:w="2958" w:type="pct"/>
            <w:shd w:val="clear" w:color="auto" w:fill="auto"/>
            <w:vAlign w:val="center"/>
          </w:tcPr>
          <w:p w14:paraId="20065783" w14:textId="77777777" w:rsidR="006F2FC4" w:rsidRPr="002D446B" w:rsidRDefault="006F2FC4" w:rsidP="00B7341E">
            <w:pPr>
              <w:spacing w:before="60" w:after="60"/>
              <w:ind w:left="57"/>
              <w:rPr>
                <w:sz w:val="22"/>
                <w:szCs w:val="23"/>
              </w:rPr>
            </w:pPr>
            <w:r w:rsidRPr="002D446B">
              <w:rPr>
                <w:sz w:val="22"/>
                <w:szCs w:val="23"/>
              </w:rPr>
              <w:t>Órgano de Enlace del SPEN del Instituto Electoral y de Participación Ciudadana de Tabasco.</w:t>
            </w:r>
          </w:p>
        </w:tc>
      </w:tr>
      <w:tr w:rsidR="002D446B" w:rsidRPr="002D446B" w14:paraId="5F4C1FB6" w14:textId="77777777" w:rsidTr="00594B1C">
        <w:trPr>
          <w:trHeight w:val="624"/>
          <w:jc w:val="center"/>
        </w:trPr>
        <w:tc>
          <w:tcPr>
            <w:tcW w:w="2042" w:type="pct"/>
            <w:shd w:val="clear" w:color="auto" w:fill="auto"/>
            <w:vAlign w:val="center"/>
          </w:tcPr>
          <w:p w14:paraId="002B5C22" w14:textId="77777777" w:rsidR="006F2FC4" w:rsidRPr="002D446B" w:rsidRDefault="006F2FC4" w:rsidP="00B7341E">
            <w:pPr>
              <w:spacing w:before="60" w:after="60"/>
              <w:ind w:left="57"/>
              <w:jc w:val="right"/>
              <w:rPr>
                <w:b/>
                <w:sz w:val="22"/>
                <w:szCs w:val="23"/>
              </w:rPr>
            </w:pPr>
            <w:r w:rsidRPr="002D446B">
              <w:rPr>
                <w:b/>
                <w:sz w:val="22"/>
                <w:szCs w:val="23"/>
              </w:rPr>
              <w:t>Reglamento de Comisiones:</w:t>
            </w:r>
          </w:p>
        </w:tc>
        <w:tc>
          <w:tcPr>
            <w:tcW w:w="2958" w:type="pct"/>
            <w:shd w:val="clear" w:color="auto" w:fill="auto"/>
            <w:vAlign w:val="center"/>
          </w:tcPr>
          <w:p w14:paraId="1A7A423F" w14:textId="77777777" w:rsidR="006F2FC4" w:rsidRPr="002D446B" w:rsidRDefault="006F2FC4" w:rsidP="00B7341E">
            <w:pPr>
              <w:spacing w:before="60" w:after="60"/>
              <w:ind w:left="57"/>
              <w:rPr>
                <w:sz w:val="22"/>
                <w:szCs w:val="23"/>
              </w:rPr>
            </w:pPr>
            <w:r w:rsidRPr="002D446B">
              <w:rPr>
                <w:sz w:val="22"/>
                <w:szCs w:val="23"/>
              </w:rPr>
              <w:t>Reglamento de Comisiones del Consejo Estatal.</w:t>
            </w:r>
          </w:p>
        </w:tc>
      </w:tr>
      <w:tr w:rsidR="002D446B" w:rsidRPr="002D446B" w14:paraId="61A5A791" w14:textId="77777777" w:rsidTr="00594B1C">
        <w:trPr>
          <w:trHeight w:val="624"/>
          <w:jc w:val="center"/>
        </w:trPr>
        <w:tc>
          <w:tcPr>
            <w:tcW w:w="2042" w:type="pct"/>
            <w:shd w:val="clear" w:color="auto" w:fill="auto"/>
            <w:vAlign w:val="center"/>
          </w:tcPr>
          <w:p w14:paraId="06697380" w14:textId="77777777" w:rsidR="006F2FC4" w:rsidRPr="002D446B" w:rsidRDefault="006F2FC4" w:rsidP="00B7341E">
            <w:pPr>
              <w:spacing w:before="60" w:after="60"/>
              <w:ind w:left="57"/>
              <w:jc w:val="right"/>
              <w:rPr>
                <w:b/>
                <w:sz w:val="22"/>
                <w:szCs w:val="23"/>
              </w:rPr>
            </w:pPr>
            <w:r w:rsidRPr="002D446B">
              <w:rPr>
                <w:b/>
                <w:sz w:val="22"/>
                <w:szCs w:val="23"/>
              </w:rPr>
              <w:t>Secretaría Ejecutiva:</w:t>
            </w:r>
          </w:p>
        </w:tc>
        <w:tc>
          <w:tcPr>
            <w:tcW w:w="2958" w:type="pct"/>
            <w:shd w:val="clear" w:color="auto" w:fill="auto"/>
            <w:vAlign w:val="center"/>
          </w:tcPr>
          <w:p w14:paraId="1680AE26" w14:textId="77777777" w:rsidR="006F2FC4" w:rsidRPr="002D446B" w:rsidRDefault="006F2FC4" w:rsidP="00B7341E">
            <w:pPr>
              <w:spacing w:before="60" w:after="60"/>
              <w:ind w:left="57"/>
              <w:rPr>
                <w:sz w:val="22"/>
                <w:szCs w:val="23"/>
              </w:rPr>
            </w:pPr>
            <w:r w:rsidRPr="002D446B">
              <w:rPr>
                <w:sz w:val="22"/>
                <w:szCs w:val="23"/>
              </w:rPr>
              <w:t>Secretaría Ejecutiva del Instituto Electoral y de Participación Ciudadana de Tabasco.</w:t>
            </w:r>
          </w:p>
        </w:tc>
      </w:tr>
      <w:tr w:rsidR="002D446B" w:rsidRPr="002D446B" w14:paraId="18F4E543" w14:textId="77777777" w:rsidTr="00594B1C">
        <w:trPr>
          <w:trHeight w:val="624"/>
          <w:jc w:val="center"/>
        </w:trPr>
        <w:tc>
          <w:tcPr>
            <w:tcW w:w="2042" w:type="pct"/>
            <w:shd w:val="clear" w:color="auto" w:fill="auto"/>
            <w:vAlign w:val="center"/>
          </w:tcPr>
          <w:p w14:paraId="2B1A559F" w14:textId="77777777" w:rsidR="006F2FC4" w:rsidRPr="002D446B" w:rsidRDefault="006F2FC4" w:rsidP="00B7341E">
            <w:pPr>
              <w:spacing w:before="60" w:after="60"/>
              <w:ind w:left="57"/>
              <w:jc w:val="right"/>
              <w:rPr>
                <w:b/>
                <w:sz w:val="22"/>
                <w:szCs w:val="23"/>
              </w:rPr>
            </w:pPr>
            <w:r w:rsidRPr="002D446B">
              <w:rPr>
                <w:b/>
                <w:sz w:val="22"/>
                <w:szCs w:val="23"/>
              </w:rPr>
              <w:t>Servicio Profesional:</w:t>
            </w:r>
          </w:p>
        </w:tc>
        <w:tc>
          <w:tcPr>
            <w:tcW w:w="2958" w:type="pct"/>
            <w:shd w:val="clear" w:color="auto" w:fill="auto"/>
            <w:vAlign w:val="center"/>
          </w:tcPr>
          <w:p w14:paraId="2C53767A" w14:textId="77777777" w:rsidR="006F2FC4" w:rsidRPr="002D446B" w:rsidRDefault="006F2FC4" w:rsidP="00B7341E">
            <w:pPr>
              <w:spacing w:before="60" w:after="60"/>
              <w:ind w:left="57"/>
              <w:rPr>
                <w:sz w:val="22"/>
                <w:szCs w:val="23"/>
              </w:rPr>
            </w:pPr>
            <w:r w:rsidRPr="002D446B">
              <w:rPr>
                <w:sz w:val="22"/>
                <w:szCs w:val="23"/>
              </w:rPr>
              <w:t>Servicio Profesional Electoral Nacional.</w:t>
            </w:r>
          </w:p>
        </w:tc>
      </w:tr>
      <w:tr w:rsidR="002D446B" w:rsidRPr="002D446B" w14:paraId="0216D76E" w14:textId="77777777" w:rsidTr="00594B1C">
        <w:trPr>
          <w:trHeight w:val="624"/>
          <w:jc w:val="center"/>
        </w:trPr>
        <w:tc>
          <w:tcPr>
            <w:tcW w:w="2042" w:type="pct"/>
            <w:shd w:val="clear" w:color="auto" w:fill="auto"/>
            <w:vAlign w:val="center"/>
          </w:tcPr>
          <w:p w14:paraId="36E0A8F0" w14:textId="6853EC3C" w:rsidR="007038A6" w:rsidRPr="002D446B" w:rsidRDefault="007038A6" w:rsidP="00B7341E">
            <w:pPr>
              <w:spacing w:before="60" w:after="60"/>
              <w:ind w:left="57"/>
              <w:jc w:val="right"/>
              <w:rPr>
                <w:b/>
                <w:sz w:val="22"/>
                <w:szCs w:val="23"/>
              </w:rPr>
            </w:pPr>
            <w:r w:rsidRPr="002D446B">
              <w:rPr>
                <w:b/>
                <w:sz w:val="22"/>
                <w:szCs w:val="23"/>
              </w:rPr>
              <w:t>Concurso Público:</w:t>
            </w:r>
          </w:p>
        </w:tc>
        <w:tc>
          <w:tcPr>
            <w:tcW w:w="2958" w:type="pct"/>
            <w:shd w:val="clear" w:color="auto" w:fill="auto"/>
            <w:vAlign w:val="center"/>
          </w:tcPr>
          <w:p w14:paraId="63BDC40B" w14:textId="404F6464" w:rsidR="007038A6" w:rsidRPr="002D446B" w:rsidRDefault="007038A6" w:rsidP="00B7341E">
            <w:pPr>
              <w:spacing w:before="60" w:after="60"/>
              <w:ind w:left="57"/>
              <w:rPr>
                <w:sz w:val="22"/>
                <w:szCs w:val="23"/>
              </w:rPr>
            </w:pPr>
            <w:r w:rsidRPr="002D446B">
              <w:rPr>
                <w:sz w:val="22"/>
                <w:szCs w:val="23"/>
              </w:rPr>
              <w:t xml:space="preserve">Concurso Público 2022 </w:t>
            </w:r>
            <w:r w:rsidR="00896C8C" w:rsidRPr="002D446B">
              <w:rPr>
                <w:sz w:val="22"/>
                <w:szCs w:val="23"/>
              </w:rPr>
              <w:t>–</w:t>
            </w:r>
            <w:r w:rsidRPr="002D446B">
              <w:rPr>
                <w:sz w:val="22"/>
                <w:szCs w:val="23"/>
              </w:rPr>
              <w:t xml:space="preserve"> 2023</w:t>
            </w:r>
            <w:r w:rsidR="00896C8C" w:rsidRPr="002D446B">
              <w:rPr>
                <w:sz w:val="22"/>
                <w:szCs w:val="23"/>
              </w:rPr>
              <w:t xml:space="preserve"> de ingreso</w:t>
            </w:r>
            <w:r w:rsidRPr="002D446B">
              <w:rPr>
                <w:sz w:val="22"/>
                <w:szCs w:val="23"/>
              </w:rPr>
              <w:t xml:space="preserve"> para ocupar cargos y puestos del Servicio Profesional Electoral Nacional del sistema de los Organismos Públicos Locales.</w:t>
            </w:r>
          </w:p>
        </w:tc>
      </w:tr>
      <w:tr w:rsidR="002D446B" w:rsidRPr="002D446B" w14:paraId="5D3E30F0" w14:textId="77777777" w:rsidTr="00594B1C">
        <w:trPr>
          <w:trHeight w:val="624"/>
          <w:jc w:val="center"/>
        </w:trPr>
        <w:tc>
          <w:tcPr>
            <w:tcW w:w="2042" w:type="pct"/>
            <w:shd w:val="clear" w:color="auto" w:fill="auto"/>
            <w:vAlign w:val="center"/>
          </w:tcPr>
          <w:p w14:paraId="4BA0DF85" w14:textId="65C51A1E" w:rsidR="00896C8C" w:rsidRPr="002D446B" w:rsidRDefault="00896C8C" w:rsidP="00B7341E">
            <w:pPr>
              <w:spacing w:before="60" w:after="60"/>
              <w:ind w:left="57"/>
              <w:jc w:val="right"/>
              <w:rPr>
                <w:b/>
                <w:sz w:val="22"/>
                <w:szCs w:val="23"/>
              </w:rPr>
            </w:pPr>
            <w:r w:rsidRPr="002D446B">
              <w:rPr>
                <w:b/>
                <w:sz w:val="22"/>
                <w:szCs w:val="23"/>
              </w:rPr>
              <w:t>Junta General:</w:t>
            </w:r>
          </w:p>
        </w:tc>
        <w:tc>
          <w:tcPr>
            <w:tcW w:w="2958" w:type="pct"/>
            <w:shd w:val="clear" w:color="auto" w:fill="auto"/>
            <w:vAlign w:val="center"/>
          </w:tcPr>
          <w:p w14:paraId="75ABDCB0" w14:textId="033454CB" w:rsidR="00896C8C" w:rsidRPr="002D446B" w:rsidRDefault="00896C8C" w:rsidP="00B7341E">
            <w:pPr>
              <w:spacing w:before="60" w:after="60"/>
              <w:ind w:left="57"/>
              <w:rPr>
                <w:sz w:val="22"/>
                <w:szCs w:val="23"/>
              </w:rPr>
            </w:pPr>
            <w:r w:rsidRPr="002D446B">
              <w:rPr>
                <w:sz w:val="22"/>
                <w:szCs w:val="23"/>
              </w:rPr>
              <w:t>Junta General Ejecutiva del Instituto Nacional Electoral.</w:t>
            </w:r>
          </w:p>
        </w:tc>
      </w:tr>
      <w:tr w:rsidR="002D446B" w:rsidRPr="002D446B" w14:paraId="6FAB6C16" w14:textId="77777777" w:rsidTr="00594B1C">
        <w:trPr>
          <w:trHeight w:val="624"/>
          <w:jc w:val="center"/>
        </w:trPr>
        <w:tc>
          <w:tcPr>
            <w:tcW w:w="2042" w:type="pct"/>
            <w:shd w:val="clear" w:color="auto" w:fill="auto"/>
            <w:vAlign w:val="center"/>
          </w:tcPr>
          <w:p w14:paraId="441DBB60" w14:textId="73EFA3F9" w:rsidR="00896C8C" w:rsidRPr="002D446B" w:rsidRDefault="005E1F53" w:rsidP="00B7341E">
            <w:pPr>
              <w:spacing w:before="60" w:after="60"/>
              <w:ind w:left="57"/>
              <w:jc w:val="right"/>
              <w:rPr>
                <w:b/>
                <w:sz w:val="22"/>
                <w:szCs w:val="23"/>
              </w:rPr>
            </w:pPr>
            <w:r w:rsidRPr="002D446B">
              <w:rPr>
                <w:b/>
                <w:sz w:val="22"/>
                <w:szCs w:val="23"/>
              </w:rPr>
              <w:t>Consejo General:</w:t>
            </w:r>
          </w:p>
        </w:tc>
        <w:tc>
          <w:tcPr>
            <w:tcW w:w="2958" w:type="pct"/>
            <w:shd w:val="clear" w:color="auto" w:fill="auto"/>
            <w:vAlign w:val="center"/>
          </w:tcPr>
          <w:p w14:paraId="43AA19C5" w14:textId="4C66882E" w:rsidR="00896C8C" w:rsidRPr="002D446B" w:rsidRDefault="005E1F53" w:rsidP="00B7341E">
            <w:pPr>
              <w:spacing w:before="60" w:after="60"/>
              <w:ind w:left="57"/>
              <w:rPr>
                <w:sz w:val="22"/>
                <w:szCs w:val="23"/>
              </w:rPr>
            </w:pPr>
            <w:r w:rsidRPr="002D446B">
              <w:rPr>
                <w:sz w:val="22"/>
                <w:szCs w:val="23"/>
              </w:rPr>
              <w:t>Consejo General del Instituto Nacional Electoral.</w:t>
            </w:r>
          </w:p>
        </w:tc>
      </w:tr>
    </w:tbl>
    <w:p w14:paraId="53849C8A" w14:textId="38284D38" w:rsidR="00D51AD4" w:rsidRPr="002D446B" w:rsidRDefault="00D51AD4" w:rsidP="002B7E5B">
      <w:pPr>
        <w:pStyle w:val="Ttulo1"/>
      </w:pPr>
      <w:r w:rsidRPr="002D446B">
        <w:t>Antecedentes</w:t>
      </w:r>
    </w:p>
    <w:p w14:paraId="34B69618" w14:textId="43B2B1C4" w:rsidR="00C56061" w:rsidRPr="002D446B" w:rsidRDefault="00C56061" w:rsidP="00B537C2">
      <w:pPr>
        <w:pStyle w:val="Ttulo2"/>
      </w:pPr>
      <w:r w:rsidRPr="002D446B">
        <w:t>Aprobación de los Lineamientos</w:t>
      </w:r>
    </w:p>
    <w:p w14:paraId="5B13C437" w14:textId="77777777" w:rsidR="00B077FC" w:rsidRPr="002D446B" w:rsidRDefault="00C56061" w:rsidP="00CE1670">
      <w:pPr>
        <w:rPr>
          <w:sz w:val="23"/>
          <w:szCs w:val="23"/>
        </w:rPr>
      </w:pPr>
      <w:r w:rsidRPr="002D446B">
        <w:rPr>
          <w:sz w:val="23"/>
          <w:szCs w:val="23"/>
        </w:rPr>
        <w:t xml:space="preserve">El </w:t>
      </w:r>
      <w:r w:rsidR="00303577" w:rsidRPr="002D446B">
        <w:rPr>
          <w:sz w:val="23"/>
          <w:szCs w:val="23"/>
        </w:rPr>
        <w:t>30</w:t>
      </w:r>
      <w:r w:rsidRPr="002D446B">
        <w:rPr>
          <w:sz w:val="23"/>
          <w:szCs w:val="23"/>
        </w:rPr>
        <w:t xml:space="preserve"> de </w:t>
      </w:r>
      <w:r w:rsidR="002479D2" w:rsidRPr="002D446B">
        <w:rPr>
          <w:sz w:val="23"/>
          <w:szCs w:val="23"/>
        </w:rPr>
        <w:t>septiembre</w:t>
      </w:r>
      <w:r w:rsidRPr="002D446B">
        <w:rPr>
          <w:sz w:val="23"/>
          <w:szCs w:val="23"/>
        </w:rPr>
        <w:t xml:space="preserve"> de 202</w:t>
      </w:r>
      <w:r w:rsidR="002479D2" w:rsidRPr="002D446B">
        <w:rPr>
          <w:sz w:val="23"/>
          <w:szCs w:val="23"/>
        </w:rPr>
        <w:t>1, el Consejo</w:t>
      </w:r>
      <w:r w:rsidRPr="002D446B">
        <w:rPr>
          <w:sz w:val="23"/>
          <w:szCs w:val="23"/>
        </w:rPr>
        <w:t xml:space="preserve"> General </w:t>
      </w:r>
      <w:r w:rsidR="002479D2" w:rsidRPr="002D446B">
        <w:rPr>
          <w:sz w:val="23"/>
          <w:szCs w:val="23"/>
        </w:rPr>
        <w:t>mediante acuerdo INE/CG1570/2021 aprobó los Lineamientos</w:t>
      </w:r>
      <w:r w:rsidR="00CE1670" w:rsidRPr="002D446B">
        <w:rPr>
          <w:sz w:val="23"/>
          <w:szCs w:val="23"/>
        </w:rPr>
        <w:t xml:space="preserve">, que tienen por objeto reglamentar las disposiciones aplicables en materia de Concurso Público para el ingreso al Servicio Profesional en el Sistema de los Organismos Públicos Locales Electorales, así como la operación de dicho concurso en su modalidad de </w:t>
      </w:r>
    </w:p>
    <w:p w14:paraId="0857301D" w14:textId="77777777" w:rsidR="00B077FC" w:rsidRPr="002D446B" w:rsidRDefault="00B077FC" w:rsidP="00CE1670">
      <w:pPr>
        <w:rPr>
          <w:sz w:val="23"/>
          <w:szCs w:val="23"/>
        </w:rPr>
      </w:pPr>
    </w:p>
    <w:p w14:paraId="47F6DF67" w14:textId="1BDA0791" w:rsidR="00CE1670" w:rsidRPr="002D446B" w:rsidRDefault="00CE1670" w:rsidP="00CE1670">
      <w:pPr>
        <w:rPr>
          <w:sz w:val="23"/>
          <w:szCs w:val="23"/>
        </w:rPr>
      </w:pPr>
      <w:r w:rsidRPr="002D446B">
        <w:rPr>
          <w:sz w:val="23"/>
          <w:szCs w:val="23"/>
        </w:rPr>
        <w:lastRenderedPageBreak/>
        <w:t>oposición, para reclutar y seleccionar a quienes ocuparán cargos y puestos en dicho Servicio.</w:t>
      </w:r>
    </w:p>
    <w:p w14:paraId="1D279F12" w14:textId="674CDF3D" w:rsidR="00D06EE0" w:rsidRPr="002D446B" w:rsidRDefault="00D06EE0" w:rsidP="00B537C2">
      <w:pPr>
        <w:pStyle w:val="Ttulo2"/>
      </w:pPr>
      <w:r w:rsidRPr="002D446B">
        <w:t>Modificación a los Lineamientos</w:t>
      </w:r>
    </w:p>
    <w:p w14:paraId="74446EE9" w14:textId="0015793F" w:rsidR="009B2E06" w:rsidRPr="002D446B" w:rsidRDefault="00D06EE0" w:rsidP="009B2E06">
      <w:r w:rsidRPr="002D446B">
        <w:t xml:space="preserve">El 29 de marzo de 2022, el Consejo General mediante acuerdo INE/CG193/2022 y a propuesta de la Junta General, aprobó las modificaciones a los </w:t>
      </w:r>
      <w:r w:rsidR="009B2E06" w:rsidRPr="002D446B">
        <w:t xml:space="preserve">artículos 6, 37, 49, 52 y 113 de los Lineamientos, a fin de garantizar que las instituciones o entes externos que apoyen a la DESPEN y a los organismos electorales en el diseño, aplicación y calificación de los instrumentos de evaluación (exámenes de conocimientos y evaluación  psicométrica) tuvieran la experiencia y las capacidades que aseguraran que estos sean pertinentes, confiables, válidos e imparciales, y cumplieran con las normas de seguridad, y con ello garantizar la adecuada selección de las personas aspirantes. </w:t>
      </w:r>
    </w:p>
    <w:p w14:paraId="5C4191DD" w14:textId="4DA1691F" w:rsidR="009B2E06" w:rsidRPr="002D446B" w:rsidRDefault="009B2E06" w:rsidP="009B2E06">
      <w:r w:rsidRPr="002D446B">
        <w:t xml:space="preserve">Adicionalmente, la modificación tuvo como propósito, asegurar que la institución encargada del diseño, aplicación y calificación de los instrumentos de evaluación se apegara a estándares internacionales de calidad técnica, que garanticen, por su capacidad técnica, metodológica y operativa, la pertinencia, confiabilidad, validez e imparcialidad de tales instrumentos. </w:t>
      </w:r>
    </w:p>
    <w:p w14:paraId="07EF8D8E" w14:textId="645A4A21" w:rsidR="003C59C6" w:rsidRPr="002D446B" w:rsidRDefault="00D06EE0" w:rsidP="00B537C2">
      <w:pPr>
        <w:pStyle w:val="Ttulo2"/>
      </w:pPr>
      <w:r w:rsidRPr="002D446B">
        <w:t>A</w:t>
      </w:r>
      <w:r w:rsidR="003C59C6" w:rsidRPr="002D446B">
        <w:t>utoridad responsable del Concurso Público</w:t>
      </w:r>
    </w:p>
    <w:p w14:paraId="6E2E1723" w14:textId="4BBD52FF" w:rsidR="003C59C6" w:rsidRPr="002D446B" w:rsidRDefault="003C59C6" w:rsidP="003C59C6">
      <w:pPr>
        <w:rPr>
          <w:sz w:val="23"/>
          <w:szCs w:val="23"/>
        </w:rPr>
      </w:pPr>
      <w:r w:rsidRPr="002D446B">
        <w:rPr>
          <w:sz w:val="23"/>
          <w:szCs w:val="23"/>
        </w:rPr>
        <w:t>El 7 de septiembre de 2022, el Consejo General mediante acuerdo INE/CG618/2022 instruyó a la Junta General la instrumentación de las acciones necesarias para la organización del Concurso Público del Sistema de los Organismos Públicos Locales Electorales.</w:t>
      </w:r>
    </w:p>
    <w:p w14:paraId="490C289B" w14:textId="444E390D" w:rsidR="00A84F47" w:rsidRPr="002D446B" w:rsidRDefault="00A84F47" w:rsidP="00B537C2">
      <w:pPr>
        <w:pStyle w:val="Ttulo2"/>
      </w:pPr>
      <w:r w:rsidRPr="002D446B">
        <w:t>Declaratoria de plazas vacantes</w:t>
      </w:r>
    </w:p>
    <w:p w14:paraId="6C0DA2C6" w14:textId="2AD48AD1" w:rsidR="003756CD" w:rsidRPr="002D446B" w:rsidRDefault="005E1F53" w:rsidP="003756CD">
      <w:pPr>
        <w:rPr>
          <w:sz w:val="23"/>
          <w:szCs w:val="23"/>
        </w:rPr>
      </w:pPr>
      <w:r w:rsidRPr="002D446B">
        <w:rPr>
          <w:sz w:val="23"/>
          <w:szCs w:val="23"/>
        </w:rPr>
        <w:t>El 28 de septiembre de 2022, la Junta General</w:t>
      </w:r>
      <w:r w:rsidR="003756CD" w:rsidRPr="002D446B">
        <w:rPr>
          <w:sz w:val="23"/>
          <w:szCs w:val="23"/>
        </w:rPr>
        <w:t xml:space="preserve"> mediante acuerdo I</w:t>
      </w:r>
      <w:r w:rsidRPr="002D446B">
        <w:rPr>
          <w:sz w:val="23"/>
          <w:szCs w:val="23"/>
        </w:rPr>
        <w:t>NE/JGE189/2022</w:t>
      </w:r>
      <w:r w:rsidR="003756CD" w:rsidRPr="002D446B">
        <w:rPr>
          <w:sz w:val="23"/>
          <w:szCs w:val="23"/>
        </w:rPr>
        <w:t xml:space="preserve">, aprobó la </w:t>
      </w:r>
      <w:r w:rsidRPr="002D446B">
        <w:rPr>
          <w:sz w:val="23"/>
          <w:szCs w:val="23"/>
        </w:rPr>
        <w:t>declaratoria de plazas vacantes del Servicio Profesional</w:t>
      </w:r>
      <w:r w:rsidR="003756CD" w:rsidRPr="002D446B">
        <w:rPr>
          <w:sz w:val="23"/>
          <w:szCs w:val="23"/>
        </w:rPr>
        <w:t xml:space="preserve"> del Sistema de los Organismos Públicos Locales</w:t>
      </w:r>
      <w:r w:rsidRPr="002D446B">
        <w:rPr>
          <w:sz w:val="23"/>
          <w:szCs w:val="23"/>
        </w:rPr>
        <w:t xml:space="preserve">, que </w:t>
      </w:r>
      <w:r w:rsidR="003756CD" w:rsidRPr="002D446B">
        <w:rPr>
          <w:sz w:val="23"/>
          <w:szCs w:val="23"/>
        </w:rPr>
        <w:t xml:space="preserve">se someterían a concurso a través de </w:t>
      </w:r>
      <w:r w:rsidRPr="002D446B">
        <w:rPr>
          <w:sz w:val="23"/>
          <w:szCs w:val="23"/>
        </w:rPr>
        <w:t xml:space="preserve">Convocatoria </w:t>
      </w:r>
      <w:r w:rsidR="003756CD" w:rsidRPr="002D446B">
        <w:rPr>
          <w:sz w:val="23"/>
          <w:szCs w:val="23"/>
        </w:rPr>
        <w:t>Pública.</w:t>
      </w:r>
    </w:p>
    <w:p w14:paraId="36DE3856" w14:textId="617D3CE8" w:rsidR="00A1479E" w:rsidRPr="002D446B" w:rsidRDefault="00A1479E" w:rsidP="00B537C2">
      <w:pPr>
        <w:pStyle w:val="Ttulo2"/>
      </w:pPr>
      <w:r w:rsidRPr="002D446B">
        <w:t>Convocatoria del Concurso Público</w:t>
      </w:r>
    </w:p>
    <w:p w14:paraId="3CC06326" w14:textId="793318EF" w:rsidR="00056CEF" w:rsidRPr="002D446B" w:rsidRDefault="00A1479E" w:rsidP="00056CEF">
      <w:pPr>
        <w:rPr>
          <w:sz w:val="23"/>
          <w:szCs w:val="23"/>
        </w:rPr>
      </w:pPr>
      <w:r w:rsidRPr="002D446B">
        <w:rPr>
          <w:sz w:val="23"/>
          <w:szCs w:val="23"/>
        </w:rPr>
        <w:t>En la fecha</w:t>
      </w:r>
      <w:r w:rsidR="009F4051" w:rsidRPr="002D446B">
        <w:rPr>
          <w:sz w:val="23"/>
          <w:szCs w:val="23"/>
        </w:rPr>
        <w:t xml:space="preserve"> antes señalada</w:t>
      </w:r>
      <w:r w:rsidRPr="002D446B">
        <w:rPr>
          <w:sz w:val="23"/>
          <w:szCs w:val="23"/>
        </w:rPr>
        <w:t xml:space="preserve">, la Junta General </w:t>
      </w:r>
      <w:r w:rsidR="009F4051" w:rsidRPr="002D446B">
        <w:rPr>
          <w:sz w:val="23"/>
          <w:szCs w:val="23"/>
        </w:rPr>
        <w:t xml:space="preserve">mediante acuerdo INE/JGE190/2022 </w:t>
      </w:r>
      <w:r w:rsidRPr="002D446B">
        <w:rPr>
          <w:sz w:val="23"/>
          <w:szCs w:val="23"/>
        </w:rPr>
        <w:t xml:space="preserve">aprobó la Convocatoria del Concurso Público 2022-2023 de </w:t>
      </w:r>
      <w:r w:rsidRPr="002D446B">
        <w:rPr>
          <w:sz w:val="23"/>
          <w:szCs w:val="23"/>
        </w:rPr>
        <w:lastRenderedPageBreak/>
        <w:t>ingreso para ocupar plazas vacantes en cargos y puestos del Servicio Profesional del Sistema de los Organismos Públicos Locales Electorales</w:t>
      </w:r>
      <w:r w:rsidR="00140364" w:rsidRPr="002D446B">
        <w:rPr>
          <w:sz w:val="23"/>
          <w:szCs w:val="23"/>
        </w:rPr>
        <w:t>, entre ellas, las correspond</w:t>
      </w:r>
      <w:r w:rsidR="00FF6B7C" w:rsidRPr="002D446B">
        <w:rPr>
          <w:sz w:val="23"/>
          <w:szCs w:val="23"/>
        </w:rPr>
        <w:t xml:space="preserve">ientes </w:t>
      </w:r>
      <w:r w:rsidR="00140364" w:rsidRPr="002D446B">
        <w:rPr>
          <w:sz w:val="23"/>
          <w:szCs w:val="23"/>
        </w:rPr>
        <w:t>a este Instituto Electoral.</w:t>
      </w:r>
    </w:p>
    <w:p w14:paraId="403C6F94" w14:textId="77777777" w:rsidR="00D51AD4" w:rsidRPr="002D446B" w:rsidRDefault="00D51AD4" w:rsidP="002B7E5B">
      <w:pPr>
        <w:pStyle w:val="Ttulo1"/>
      </w:pPr>
      <w:r w:rsidRPr="002D446B">
        <w:t>Considerando</w:t>
      </w:r>
    </w:p>
    <w:p w14:paraId="699156A2" w14:textId="744CA686" w:rsidR="00D51AD4" w:rsidRPr="002D446B" w:rsidRDefault="00D51AD4" w:rsidP="00B537C2">
      <w:pPr>
        <w:pStyle w:val="Ttulo2"/>
      </w:pPr>
      <w:r w:rsidRPr="002D446B">
        <w:t xml:space="preserve">Fines del Instituto Electoral </w:t>
      </w:r>
    </w:p>
    <w:p w14:paraId="07B564D7" w14:textId="674C8ECB" w:rsidR="00D51AD4" w:rsidRPr="002D446B" w:rsidRDefault="00D51AD4" w:rsidP="002A5C36">
      <w:pPr>
        <w:spacing w:line="295" w:lineRule="auto"/>
        <w:rPr>
          <w:sz w:val="23"/>
          <w:szCs w:val="23"/>
        </w:rPr>
      </w:pPr>
      <w:r w:rsidRPr="002D446B">
        <w:rPr>
          <w:sz w:val="23"/>
          <w:szCs w:val="23"/>
        </w:rPr>
        <w:t>Que, de conformidad con los artículos 9, apartado C, fracción I, de la Constitución Local</w:t>
      </w:r>
      <w:r w:rsidR="000C0F54" w:rsidRPr="002D446B">
        <w:rPr>
          <w:sz w:val="23"/>
          <w:szCs w:val="23"/>
        </w:rPr>
        <w:t>,</w:t>
      </w:r>
      <w:r w:rsidRPr="002D446B">
        <w:rPr>
          <w:sz w:val="23"/>
          <w:szCs w:val="23"/>
        </w:rPr>
        <w:t xml:space="preserve"> 3 numeral 3, 100 y 102 numeral 1</w:t>
      </w:r>
      <w:r w:rsidR="00A0602A" w:rsidRPr="002D446B">
        <w:rPr>
          <w:sz w:val="23"/>
          <w:szCs w:val="23"/>
        </w:rPr>
        <w:t>,</w:t>
      </w:r>
      <w:r w:rsidRPr="002D446B">
        <w:rPr>
          <w:sz w:val="23"/>
          <w:szCs w:val="23"/>
        </w:rPr>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2D446B" w:rsidRDefault="00D51AD4" w:rsidP="002A5C36">
      <w:pPr>
        <w:spacing w:line="295" w:lineRule="auto"/>
        <w:rPr>
          <w:sz w:val="23"/>
          <w:szCs w:val="23"/>
        </w:rPr>
      </w:pPr>
      <w:r w:rsidRPr="002D446B">
        <w:rPr>
          <w:sz w:val="23"/>
          <w:szCs w:val="23"/>
        </w:rPr>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2D446B" w:rsidRDefault="00D51AD4" w:rsidP="00B537C2">
      <w:pPr>
        <w:pStyle w:val="Ttulo2"/>
      </w:pPr>
      <w:r w:rsidRPr="002D446B">
        <w:t>Órganos Centrales del Instituto Electoral</w:t>
      </w:r>
    </w:p>
    <w:p w14:paraId="495F0AF0" w14:textId="77777777" w:rsidR="00B077FC" w:rsidRPr="002D446B" w:rsidRDefault="00D51AD4" w:rsidP="002A5C36">
      <w:pPr>
        <w:spacing w:line="295" w:lineRule="auto"/>
        <w:rPr>
          <w:sz w:val="23"/>
          <w:szCs w:val="23"/>
        </w:rPr>
      </w:pPr>
      <w:r w:rsidRPr="002D446B">
        <w:rPr>
          <w:sz w:val="23"/>
          <w:szCs w:val="23"/>
        </w:rPr>
        <w:t xml:space="preserve">Que, el artículo 105 de la Ley Electoral, señala que el Consejo Estatal; la Presidencia del Consejo Estatal; la Junta Estatal Ejecutiva, la Secretaría </w:t>
      </w:r>
    </w:p>
    <w:p w14:paraId="15070DB0" w14:textId="4898278F" w:rsidR="00D51AD4" w:rsidRPr="002D446B" w:rsidRDefault="00D51AD4" w:rsidP="002A5C36">
      <w:pPr>
        <w:spacing w:line="295" w:lineRule="auto"/>
        <w:rPr>
          <w:sz w:val="23"/>
          <w:szCs w:val="23"/>
        </w:rPr>
      </w:pPr>
      <w:r w:rsidRPr="002D446B">
        <w:rPr>
          <w:sz w:val="23"/>
          <w:szCs w:val="23"/>
        </w:rPr>
        <w:lastRenderedPageBreak/>
        <w:t>Ejecutiva y el Órgano Técnico de Fiscalización, constituyen los órganos centrales del Instituto Electoral.</w:t>
      </w:r>
    </w:p>
    <w:p w14:paraId="4AA4D076" w14:textId="1D7A65C9" w:rsidR="00D51AD4" w:rsidRPr="002D446B" w:rsidRDefault="00D51AD4" w:rsidP="00B537C2">
      <w:pPr>
        <w:pStyle w:val="Ttulo2"/>
      </w:pPr>
      <w:r w:rsidRPr="002D446B">
        <w:t>Órgano Superior de Dirección del Instituto Electoral</w:t>
      </w:r>
    </w:p>
    <w:p w14:paraId="2FDE0933" w14:textId="77777777" w:rsidR="00D51AD4" w:rsidRPr="002D446B" w:rsidRDefault="00D51AD4" w:rsidP="002A5C36">
      <w:pPr>
        <w:spacing w:line="295" w:lineRule="auto"/>
        <w:rPr>
          <w:sz w:val="23"/>
          <w:szCs w:val="23"/>
        </w:rPr>
      </w:pPr>
      <w:r w:rsidRPr="002D446B">
        <w:rPr>
          <w:sz w:val="23"/>
          <w:szCs w:val="23"/>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2D446B" w:rsidRDefault="00D51AD4" w:rsidP="00B537C2">
      <w:pPr>
        <w:pStyle w:val="Ttulo2"/>
      </w:pPr>
      <w:r w:rsidRPr="002D446B">
        <w:t>Integración del Órgano de Dirección Superior</w:t>
      </w:r>
    </w:p>
    <w:p w14:paraId="308EF49F" w14:textId="4140C834" w:rsidR="00D51AD4" w:rsidRPr="002D446B" w:rsidRDefault="00D51AD4" w:rsidP="002A5C36">
      <w:pPr>
        <w:spacing w:line="295" w:lineRule="auto"/>
        <w:rPr>
          <w:sz w:val="23"/>
          <w:szCs w:val="23"/>
        </w:rPr>
      </w:pPr>
      <w:r w:rsidRPr="002D446B">
        <w:rPr>
          <w:sz w:val="23"/>
          <w:szCs w:val="23"/>
        </w:rPr>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6C32ED03" w14:textId="77777777" w:rsidR="009B770C" w:rsidRPr="002D446B" w:rsidRDefault="009B770C" w:rsidP="009B770C">
      <w:pPr>
        <w:pStyle w:val="Ttulo2"/>
      </w:pPr>
      <w:r w:rsidRPr="002D446B">
        <w:t>Atribución del Instituto Electoral de aplicar reglas, lineamientos, criterios emitidos por el INE</w:t>
      </w:r>
    </w:p>
    <w:p w14:paraId="78BB8B17" w14:textId="77777777" w:rsidR="009B770C" w:rsidRPr="002D446B" w:rsidRDefault="009B770C" w:rsidP="009B770C">
      <w:pPr>
        <w:spacing w:line="295" w:lineRule="auto"/>
        <w:rPr>
          <w:sz w:val="23"/>
          <w:szCs w:val="23"/>
        </w:rPr>
      </w:pPr>
      <w:r w:rsidRPr="002D446B">
        <w:rPr>
          <w:sz w:val="23"/>
          <w:szCs w:val="23"/>
        </w:rPr>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479429FB" w14:textId="35A7D924" w:rsidR="003D225B" w:rsidRPr="002D446B" w:rsidRDefault="00A35925" w:rsidP="00B537C2">
      <w:pPr>
        <w:pStyle w:val="Ttulo2"/>
      </w:pPr>
      <w:r w:rsidRPr="002D446B">
        <w:t xml:space="preserve">Competencia </w:t>
      </w:r>
      <w:r w:rsidR="003D225B" w:rsidRPr="002D446B">
        <w:t xml:space="preserve">del Consejo Estatal </w:t>
      </w:r>
    </w:p>
    <w:p w14:paraId="1A1B4BB1" w14:textId="4FF1A3C9" w:rsidR="003D225B" w:rsidRPr="002D446B" w:rsidRDefault="003D225B" w:rsidP="00D808A1">
      <w:pPr>
        <w:spacing w:line="295" w:lineRule="auto"/>
        <w:rPr>
          <w:sz w:val="23"/>
          <w:szCs w:val="23"/>
        </w:rPr>
      </w:pPr>
      <w:r w:rsidRPr="002D446B">
        <w:rPr>
          <w:sz w:val="23"/>
          <w:szCs w:val="23"/>
        </w:rPr>
        <w:t xml:space="preserve">Que, </w:t>
      </w:r>
      <w:r w:rsidR="00F16F21" w:rsidRPr="002D446B">
        <w:rPr>
          <w:sz w:val="23"/>
          <w:szCs w:val="23"/>
        </w:rPr>
        <w:t xml:space="preserve">de conformidad con el artículo 115, numeral 1, </w:t>
      </w:r>
      <w:r w:rsidR="00D808A1" w:rsidRPr="002D446B">
        <w:rPr>
          <w:sz w:val="23"/>
          <w:szCs w:val="23"/>
        </w:rPr>
        <w:t xml:space="preserve">fracción I, y numeral 2 </w:t>
      </w:r>
      <w:r w:rsidR="00F16F21" w:rsidRPr="002D446B">
        <w:rPr>
          <w:sz w:val="23"/>
          <w:szCs w:val="23"/>
        </w:rPr>
        <w:t xml:space="preserve">de la Ley Electoral, corresponde al Consejo Estatal </w:t>
      </w:r>
      <w:r w:rsidR="00D808A1" w:rsidRPr="002D446B">
        <w:rPr>
          <w:sz w:val="23"/>
          <w:szCs w:val="23"/>
        </w:rPr>
        <w:t xml:space="preserve">aplicar las disposiciones generales, reglas, lineamientos, criterios y formatos que, en ejercicio de las facultades que le confieren la Constitución Federal y la Ley General, establezca el INE, así como </w:t>
      </w:r>
      <w:r w:rsidRPr="002D446B">
        <w:rPr>
          <w:sz w:val="23"/>
          <w:szCs w:val="23"/>
        </w:rPr>
        <w:t>dictar los acuerdos necesarios que resulten pertinentes para garantizar el oportuno y adecuado ejercicio de sus facultades y atribuciones, previstas de manera implícita o expresa en la citada Ley.</w:t>
      </w:r>
    </w:p>
    <w:p w14:paraId="70712555" w14:textId="0B008F52" w:rsidR="00FB3CC9" w:rsidRPr="002D446B" w:rsidRDefault="00EC0570" w:rsidP="00B537C2">
      <w:pPr>
        <w:pStyle w:val="Ttulo2"/>
      </w:pPr>
      <w:r w:rsidRPr="002D446B">
        <w:lastRenderedPageBreak/>
        <w:t>Facultad del INE para r</w:t>
      </w:r>
      <w:r w:rsidR="00FB3CC9" w:rsidRPr="002D446B">
        <w:t>egular el Servicio Profesional</w:t>
      </w:r>
    </w:p>
    <w:p w14:paraId="45147DDA" w14:textId="6A00309B" w:rsidR="00EC0570" w:rsidRPr="002D446B" w:rsidRDefault="00EC0570" w:rsidP="002A5C36">
      <w:pPr>
        <w:spacing w:line="295" w:lineRule="auto"/>
        <w:rPr>
          <w:sz w:val="23"/>
          <w:szCs w:val="23"/>
        </w:rPr>
      </w:pPr>
      <w:r w:rsidRPr="002D446B">
        <w:rPr>
          <w:sz w:val="23"/>
          <w:szCs w:val="23"/>
        </w:rPr>
        <w:t>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de los servidores públicos de los órganos ejecutivos y técnicos del Instituto y de los organismos electorales de las entidades federativas.</w:t>
      </w:r>
    </w:p>
    <w:p w14:paraId="2B29548B" w14:textId="62FEF4B4" w:rsidR="00AD1B8B" w:rsidRPr="002D446B" w:rsidRDefault="00AD1B8B" w:rsidP="00AD1B8B">
      <w:pPr>
        <w:spacing w:line="295" w:lineRule="auto"/>
        <w:rPr>
          <w:sz w:val="23"/>
          <w:szCs w:val="23"/>
        </w:rPr>
      </w:pPr>
      <w:r w:rsidRPr="002D446B">
        <w:rPr>
          <w:sz w:val="23"/>
          <w:szCs w:val="23"/>
        </w:rP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w:t>
      </w:r>
      <w:r w:rsidR="006B355B" w:rsidRPr="002D446B">
        <w:rPr>
          <w:sz w:val="23"/>
          <w:szCs w:val="23"/>
        </w:rPr>
        <w:t xml:space="preserve">statuto que apruebe el Consejo </w:t>
      </w:r>
      <w:r w:rsidRPr="002D446B">
        <w:rPr>
          <w:sz w:val="23"/>
          <w:szCs w:val="23"/>
        </w:rPr>
        <w:t>General, en lo relativo al sistema correspondiente a los organismos electorales.</w:t>
      </w:r>
    </w:p>
    <w:p w14:paraId="790328E4" w14:textId="6673F2F3" w:rsidR="00405306" w:rsidRPr="002D446B" w:rsidRDefault="00EC0570" w:rsidP="00B537C2">
      <w:pPr>
        <w:pStyle w:val="Ttulo2"/>
      </w:pPr>
      <w:r w:rsidRPr="002D446B">
        <w:t>Integración, organización y funcionam</w:t>
      </w:r>
      <w:r w:rsidR="00405306" w:rsidRPr="002D446B">
        <w:t>iento del Servicio Profesional</w:t>
      </w:r>
    </w:p>
    <w:p w14:paraId="59DA81CA" w14:textId="237CBD5B" w:rsidR="00EC0570" w:rsidRPr="002D446B" w:rsidRDefault="00EC0570" w:rsidP="002A5C36">
      <w:pPr>
        <w:spacing w:line="295" w:lineRule="auto"/>
        <w:rPr>
          <w:sz w:val="23"/>
          <w:szCs w:val="23"/>
        </w:rPr>
      </w:pPr>
      <w:r w:rsidRPr="002D446B">
        <w:rPr>
          <w:sz w:val="23"/>
          <w:szCs w:val="23"/>
        </w:rP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w:t>
      </w:r>
      <w:r w:rsidR="00AE6D8B" w:rsidRPr="002D446B">
        <w:rPr>
          <w:sz w:val="23"/>
          <w:szCs w:val="23"/>
        </w:rPr>
        <w:t>á los distintos mecanismos del s</w:t>
      </w:r>
      <w:r w:rsidRPr="002D446B">
        <w:rPr>
          <w:sz w:val="23"/>
          <w:szCs w:val="23"/>
        </w:rPr>
        <w:t>ervicio de conformidad con lo dispuesto en el apartado D, de la Base V, del artículo 41, de la Constitución Federal.</w:t>
      </w:r>
    </w:p>
    <w:p w14:paraId="75A8E28D" w14:textId="4E08FE5E" w:rsidR="00EB6D78" w:rsidRPr="002D446B" w:rsidRDefault="00EC0570" w:rsidP="00B537C2">
      <w:pPr>
        <w:pStyle w:val="Ttulo2"/>
      </w:pPr>
      <w:r w:rsidRPr="002D446B">
        <w:t>Servicio Profesional del Si</w:t>
      </w:r>
      <w:r w:rsidR="00EB6D78" w:rsidRPr="002D446B">
        <w:t>stema de Organismos Electorales</w:t>
      </w:r>
      <w:r w:rsidRPr="002D446B">
        <w:t xml:space="preserve"> </w:t>
      </w:r>
    </w:p>
    <w:p w14:paraId="343EC393" w14:textId="1B8A530C" w:rsidR="00EC0570" w:rsidRPr="002D446B" w:rsidRDefault="00EC0570" w:rsidP="002A5C36">
      <w:pPr>
        <w:spacing w:line="295" w:lineRule="auto"/>
        <w:rPr>
          <w:sz w:val="23"/>
          <w:szCs w:val="23"/>
        </w:rPr>
      </w:pPr>
      <w:r w:rsidRPr="002D446B">
        <w:rPr>
          <w:sz w:val="23"/>
          <w:szCs w:val="23"/>
        </w:rPr>
        <w:t xml:space="preserve">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w:t>
      </w:r>
      <w:r w:rsidRPr="002D446B">
        <w:rPr>
          <w:sz w:val="23"/>
          <w:szCs w:val="23"/>
        </w:rPr>
        <w:lastRenderedPageBreak/>
        <w:t>disciplina, así como el catálogo general de los cargos y puestos del personal ejecutivo y técnico, correspondiendo su regulación, organización, funcionamiento y rectoría al INE.</w:t>
      </w:r>
    </w:p>
    <w:p w14:paraId="24A0C376" w14:textId="13D0A23D" w:rsidR="00687AB1" w:rsidRPr="002D446B" w:rsidRDefault="00687AB1" w:rsidP="00687AB1">
      <w:pPr>
        <w:pStyle w:val="Ttulo2"/>
      </w:pPr>
      <w:r w:rsidRPr="002D446B">
        <w:t>Ocupación de las plazas</w:t>
      </w:r>
    </w:p>
    <w:p w14:paraId="296F7CCF" w14:textId="3645F3A3" w:rsidR="00687AB1" w:rsidRPr="002D446B" w:rsidRDefault="00687AB1" w:rsidP="00687AB1">
      <w:pPr>
        <w:spacing w:line="295" w:lineRule="auto"/>
        <w:rPr>
          <w:sz w:val="23"/>
          <w:szCs w:val="23"/>
        </w:rPr>
      </w:pPr>
      <w:r w:rsidRPr="002D446B">
        <w:rPr>
          <w:sz w:val="23"/>
          <w:szCs w:val="23"/>
        </w:rPr>
        <w:t>Que, en términos de los artículos 389 del Estatuto, una vacante es la plaza de un cargo o puesto del Servicio que esté desocupada por cualquiera de las causas previstas en el artículo 434 del Estatuto, o alguna de las siguientes: I). Por ascenso, rotación o cambio de adscripción de una o un miembro del servicio dentro de un organismo electoral; II). Por incorporación de un cargo o puesto al servicio; o, III). Por creación o incorporación de una plaza al servicio.</w:t>
      </w:r>
    </w:p>
    <w:p w14:paraId="483F74D3" w14:textId="16FC0D22" w:rsidR="003B1D8B" w:rsidRPr="002D446B" w:rsidRDefault="00687AB1" w:rsidP="00687AB1">
      <w:pPr>
        <w:spacing w:line="295" w:lineRule="auto"/>
        <w:rPr>
          <w:sz w:val="23"/>
          <w:szCs w:val="23"/>
        </w:rPr>
      </w:pPr>
      <w:r w:rsidRPr="002D446B">
        <w:rPr>
          <w:sz w:val="23"/>
          <w:szCs w:val="23"/>
        </w:rPr>
        <w:t>En ese sentido, conforme al artículo 390 del Estatuto, la ocupación de plazas del servicio al interior de cada organismo electoral podrá llevarse a cabo por la vía del ingreso, a través del Concurso Público o incorporación temporal, mediante el mecanismo de rotación o por los procedimientos de cambios de adscripción, reingreso y reincorporación al interior del organismo. En aquellos organismos electorales que cuenten con un sistema de ascenso, la ocupación de plazas vacantes podrá realizarse a través de un certamen interno en concordancia con lo establecido en el Libro Tercero del</w:t>
      </w:r>
      <w:r w:rsidR="003B1D8B" w:rsidRPr="002D446B">
        <w:rPr>
          <w:sz w:val="23"/>
          <w:szCs w:val="23"/>
        </w:rPr>
        <w:t xml:space="preserve"> Estatuto y los </w:t>
      </w:r>
      <w:r w:rsidR="003C5F45" w:rsidRPr="002D446B">
        <w:rPr>
          <w:sz w:val="23"/>
          <w:szCs w:val="23"/>
        </w:rPr>
        <w:t>L</w:t>
      </w:r>
      <w:r w:rsidR="003B1D8B" w:rsidRPr="002D446B">
        <w:rPr>
          <w:sz w:val="23"/>
          <w:szCs w:val="23"/>
        </w:rPr>
        <w:t>ineamientos</w:t>
      </w:r>
      <w:r w:rsidR="00F96938" w:rsidRPr="002D446B">
        <w:rPr>
          <w:sz w:val="23"/>
          <w:szCs w:val="23"/>
        </w:rPr>
        <w:t>.</w:t>
      </w:r>
    </w:p>
    <w:p w14:paraId="5E9095E9" w14:textId="4DCC0108" w:rsidR="00F96938" w:rsidRPr="002D446B" w:rsidRDefault="00F96938" w:rsidP="00CE7FB3">
      <w:pPr>
        <w:pStyle w:val="Ttulo2"/>
      </w:pPr>
      <w:r w:rsidRPr="002D446B">
        <w:t>Plazas vacantes del Instituto Electoral</w:t>
      </w:r>
    </w:p>
    <w:p w14:paraId="26506DF1" w14:textId="4CB94649" w:rsidR="00F96938" w:rsidRPr="002D446B" w:rsidRDefault="00F96938" w:rsidP="00F96938">
      <w:pPr>
        <w:spacing w:line="295" w:lineRule="auto"/>
        <w:rPr>
          <w:sz w:val="23"/>
          <w:szCs w:val="23"/>
        </w:rPr>
      </w:pPr>
      <w:r w:rsidRPr="002D446B">
        <w:rPr>
          <w:sz w:val="23"/>
          <w:szCs w:val="23"/>
        </w:rPr>
        <w:t>Que, mediante oficio OESPEN/SE/039/2022, este Instituto Electoral confirmó a la DESPEN los datos de las siguientes plazas vacantes:</w:t>
      </w:r>
    </w:p>
    <w:tbl>
      <w:tblPr>
        <w:tblStyle w:val="Tablaconcuadrcula"/>
        <w:tblW w:w="0" w:type="auto"/>
        <w:tblInd w:w="704" w:type="dxa"/>
        <w:tblLook w:val="04A0" w:firstRow="1" w:lastRow="0" w:firstColumn="1" w:lastColumn="0" w:noHBand="0" w:noVBand="1"/>
      </w:tblPr>
      <w:tblGrid>
        <w:gridCol w:w="5812"/>
        <w:gridCol w:w="2312"/>
      </w:tblGrid>
      <w:tr w:rsidR="002D446B" w:rsidRPr="002D446B" w14:paraId="1C77D3AF" w14:textId="67DFC74D" w:rsidTr="00A77BEC">
        <w:tc>
          <w:tcPr>
            <w:tcW w:w="5812" w:type="dxa"/>
            <w:shd w:val="clear" w:color="auto" w:fill="993366"/>
            <w:vAlign w:val="center"/>
          </w:tcPr>
          <w:p w14:paraId="7D220070" w14:textId="77777777" w:rsidR="00A77BEC" w:rsidRPr="002D446B" w:rsidRDefault="00A77BEC" w:rsidP="0093751A">
            <w:pPr>
              <w:pStyle w:val="Puntos"/>
              <w:spacing w:before="60" w:after="60" w:line="295" w:lineRule="auto"/>
              <w:ind w:left="0"/>
              <w:jc w:val="center"/>
              <w:rPr>
                <w:b/>
                <w:bCs/>
                <w:sz w:val="20"/>
                <w:szCs w:val="20"/>
              </w:rPr>
            </w:pPr>
            <w:r w:rsidRPr="002D446B">
              <w:rPr>
                <w:b/>
                <w:bCs/>
                <w:sz w:val="20"/>
                <w:szCs w:val="20"/>
              </w:rPr>
              <w:t>Cargo</w:t>
            </w:r>
          </w:p>
        </w:tc>
        <w:tc>
          <w:tcPr>
            <w:tcW w:w="2312" w:type="dxa"/>
            <w:shd w:val="clear" w:color="auto" w:fill="993366"/>
          </w:tcPr>
          <w:p w14:paraId="0EEDBA81" w14:textId="6DCE9B9D" w:rsidR="00A77BEC" w:rsidRPr="002D446B" w:rsidRDefault="00A77BEC" w:rsidP="0093751A">
            <w:pPr>
              <w:pStyle w:val="Puntos"/>
              <w:spacing w:before="60" w:after="60" w:line="295" w:lineRule="auto"/>
              <w:ind w:left="0"/>
              <w:jc w:val="center"/>
              <w:rPr>
                <w:b/>
                <w:bCs/>
                <w:sz w:val="20"/>
                <w:szCs w:val="20"/>
              </w:rPr>
            </w:pPr>
            <w:r w:rsidRPr="002D446B">
              <w:rPr>
                <w:b/>
                <w:bCs/>
                <w:sz w:val="20"/>
                <w:szCs w:val="20"/>
              </w:rPr>
              <w:t>Plazas</w:t>
            </w:r>
          </w:p>
        </w:tc>
      </w:tr>
      <w:tr w:rsidR="002D446B" w:rsidRPr="002D446B" w14:paraId="0695CF25" w14:textId="51189F0F" w:rsidTr="00A77BEC">
        <w:tc>
          <w:tcPr>
            <w:tcW w:w="5812" w:type="dxa"/>
            <w:vAlign w:val="center"/>
          </w:tcPr>
          <w:p w14:paraId="7CEC0C03"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Coordinadora de Educación Cívica</w:t>
            </w:r>
          </w:p>
        </w:tc>
        <w:tc>
          <w:tcPr>
            <w:tcW w:w="2312" w:type="dxa"/>
          </w:tcPr>
          <w:p w14:paraId="389AE521" w14:textId="2A34D2F1"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1</w:t>
            </w:r>
          </w:p>
        </w:tc>
      </w:tr>
      <w:tr w:rsidR="002D446B" w:rsidRPr="002D446B" w14:paraId="478BA98D" w14:textId="2955054C" w:rsidTr="00A77BEC">
        <w:tc>
          <w:tcPr>
            <w:tcW w:w="5812" w:type="dxa"/>
            <w:vAlign w:val="center"/>
          </w:tcPr>
          <w:p w14:paraId="5EE9B9D9"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 xml:space="preserve">Coordinadora de lo Contencioso Electoral </w:t>
            </w:r>
          </w:p>
        </w:tc>
        <w:tc>
          <w:tcPr>
            <w:tcW w:w="2312" w:type="dxa"/>
          </w:tcPr>
          <w:p w14:paraId="3DB8F413" w14:textId="478D3999"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1</w:t>
            </w:r>
          </w:p>
        </w:tc>
      </w:tr>
      <w:tr w:rsidR="002D446B" w:rsidRPr="002D446B" w14:paraId="5114F92B" w14:textId="7B7850F8" w:rsidTr="00A77BEC">
        <w:tc>
          <w:tcPr>
            <w:tcW w:w="5812" w:type="dxa"/>
            <w:vAlign w:val="center"/>
          </w:tcPr>
          <w:p w14:paraId="601642FE"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Coordinadora de Prerrogativas y Partidos Políticos</w:t>
            </w:r>
          </w:p>
        </w:tc>
        <w:tc>
          <w:tcPr>
            <w:tcW w:w="2312" w:type="dxa"/>
          </w:tcPr>
          <w:p w14:paraId="51C732A7" w14:textId="0FE77874"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1</w:t>
            </w:r>
          </w:p>
        </w:tc>
      </w:tr>
      <w:tr w:rsidR="002D446B" w:rsidRPr="002D446B" w14:paraId="3C776125" w14:textId="61EF148C" w:rsidTr="00A77BEC">
        <w:tc>
          <w:tcPr>
            <w:tcW w:w="5812" w:type="dxa"/>
            <w:vAlign w:val="center"/>
          </w:tcPr>
          <w:p w14:paraId="39924BEC"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Técnico de lo Contencioso Electoral</w:t>
            </w:r>
          </w:p>
        </w:tc>
        <w:tc>
          <w:tcPr>
            <w:tcW w:w="2312" w:type="dxa"/>
          </w:tcPr>
          <w:p w14:paraId="2BF41D92" w14:textId="6D1E6EF6"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1</w:t>
            </w:r>
          </w:p>
        </w:tc>
      </w:tr>
      <w:tr w:rsidR="002D446B" w:rsidRPr="002D446B" w14:paraId="490CCA7B" w14:textId="4F1F344B" w:rsidTr="00A77BEC">
        <w:tc>
          <w:tcPr>
            <w:tcW w:w="5812" w:type="dxa"/>
            <w:vAlign w:val="center"/>
          </w:tcPr>
          <w:p w14:paraId="262DE090"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Técnica de Organización Electoral</w:t>
            </w:r>
          </w:p>
        </w:tc>
        <w:tc>
          <w:tcPr>
            <w:tcW w:w="2312" w:type="dxa"/>
          </w:tcPr>
          <w:p w14:paraId="7B25FB4E" w14:textId="4393C050"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2</w:t>
            </w:r>
          </w:p>
        </w:tc>
      </w:tr>
      <w:tr w:rsidR="002D446B" w:rsidRPr="002D446B" w14:paraId="54DD127C" w14:textId="6F1E2395" w:rsidTr="00A77BEC">
        <w:tc>
          <w:tcPr>
            <w:tcW w:w="5812" w:type="dxa"/>
            <w:vAlign w:val="center"/>
          </w:tcPr>
          <w:p w14:paraId="0F8AA4B3"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Técnico de Participación Ciudadana</w:t>
            </w:r>
          </w:p>
        </w:tc>
        <w:tc>
          <w:tcPr>
            <w:tcW w:w="2312" w:type="dxa"/>
          </w:tcPr>
          <w:p w14:paraId="7247F586" w14:textId="16459B1A"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1</w:t>
            </w:r>
          </w:p>
        </w:tc>
      </w:tr>
      <w:tr w:rsidR="002D446B" w:rsidRPr="002D446B" w14:paraId="3EA1026D" w14:textId="4DA3132F" w:rsidTr="00A77BEC">
        <w:tc>
          <w:tcPr>
            <w:tcW w:w="5812" w:type="dxa"/>
            <w:vAlign w:val="center"/>
          </w:tcPr>
          <w:p w14:paraId="67D056DB" w14:textId="77777777" w:rsidR="00A77BEC" w:rsidRPr="002D446B" w:rsidRDefault="00A77BEC" w:rsidP="0093751A">
            <w:pPr>
              <w:pStyle w:val="Puntos"/>
              <w:spacing w:before="60" w:after="60" w:line="295" w:lineRule="auto"/>
              <w:ind w:left="0"/>
              <w:rPr>
                <w:b/>
                <w:bCs/>
                <w:sz w:val="18"/>
                <w:szCs w:val="18"/>
              </w:rPr>
            </w:pPr>
            <w:r w:rsidRPr="002D446B">
              <w:rPr>
                <w:b/>
                <w:bCs/>
                <w:sz w:val="18"/>
                <w:szCs w:val="18"/>
              </w:rPr>
              <w:t>Técnico de Prerrogativas y Partidos Políticos</w:t>
            </w:r>
          </w:p>
        </w:tc>
        <w:tc>
          <w:tcPr>
            <w:tcW w:w="2312" w:type="dxa"/>
          </w:tcPr>
          <w:p w14:paraId="0423D582" w14:textId="075BE65A"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2</w:t>
            </w:r>
          </w:p>
        </w:tc>
      </w:tr>
      <w:tr w:rsidR="002D446B" w:rsidRPr="002D446B" w14:paraId="18863E38" w14:textId="77777777" w:rsidTr="00EC609D">
        <w:tc>
          <w:tcPr>
            <w:tcW w:w="5812" w:type="dxa"/>
            <w:shd w:val="clear" w:color="auto" w:fill="D0CECE" w:themeFill="background2" w:themeFillShade="E6"/>
            <w:vAlign w:val="center"/>
          </w:tcPr>
          <w:p w14:paraId="57F87A8F" w14:textId="4DC754DE" w:rsidR="00A77BEC" w:rsidRPr="002D446B" w:rsidRDefault="00A77BEC" w:rsidP="00A77BEC">
            <w:pPr>
              <w:pStyle w:val="Puntos"/>
              <w:spacing w:before="60" w:after="60" w:line="295" w:lineRule="auto"/>
              <w:ind w:left="0"/>
              <w:jc w:val="right"/>
              <w:rPr>
                <w:b/>
                <w:bCs/>
                <w:sz w:val="18"/>
                <w:szCs w:val="18"/>
              </w:rPr>
            </w:pPr>
            <w:r w:rsidRPr="002D446B">
              <w:rPr>
                <w:b/>
                <w:bCs/>
                <w:sz w:val="18"/>
                <w:szCs w:val="18"/>
              </w:rPr>
              <w:t>Total</w:t>
            </w:r>
          </w:p>
        </w:tc>
        <w:tc>
          <w:tcPr>
            <w:tcW w:w="2312" w:type="dxa"/>
            <w:shd w:val="clear" w:color="auto" w:fill="D0CECE" w:themeFill="background2" w:themeFillShade="E6"/>
          </w:tcPr>
          <w:p w14:paraId="7282A1CE" w14:textId="730FAAA7" w:rsidR="00A77BEC" w:rsidRPr="002D446B" w:rsidRDefault="00A77BEC" w:rsidP="00A77BEC">
            <w:pPr>
              <w:pStyle w:val="Puntos"/>
              <w:spacing w:before="60" w:after="60" w:line="295" w:lineRule="auto"/>
              <w:ind w:left="0"/>
              <w:jc w:val="center"/>
              <w:rPr>
                <w:b/>
                <w:bCs/>
                <w:sz w:val="18"/>
                <w:szCs w:val="18"/>
              </w:rPr>
            </w:pPr>
            <w:r w:rsidRPr="002D446B">
              <w:rPr>
                <w:b/>
                <w:bCs/>
                <w:sz w:val="18"/>
                <w:szCs w:val="18"/>
              </w:rPr>
              <w:t>9</w:t>
            </w:r>
          </w:p>
        </w:tc>
      </w:tr>
    </w:tbl>
    <w:p w14:paraId="7ACA2AB8" w14:textId="47CF9DAE" w:rsidR="00CE7FB3" w:rsidRPr="002D446B" w:rsidRDefault="00172F7E" w:rsidP="00172F7E">
      <w:pPr>
        <w:spacing w:before="240" w:line="295" w:lineRule="auto"/>
        <w:rPr>
          <w:sz w:val="23"/>
          <w:szCs w:val="23"/>
        </w:rPr>
      </w:pPr>
      <w:r w:rsidRPr="002D446B">
        <w:rPr>
          <w:sz w:val="23"/>
          <w:szCs w:val="23"/>
        </w:rPr>
        <w:lastRenderedPageBreak/>
        <w:t>Las plazas vacantes fueron incluidas en la declaración emitida por la Junta General mediante acuerdo INE/JGE189/2022 y sometidas a Concurso a través de Convocatoria Pública.</w:t>
      </w:r>
    </w:p>
    <w:p w14:paraId="69559DC5" w14:textId="3986E37A" w:rsidR="009B770C" w:rsidRPr="002D446B" w:rsidRDefault="009B770C" w:rsidP="00D87B87">
      <w:pPr>
        <w:pStyle w:val="Ttulo2"/>
      </w:pPr>
      <w:r w:rsidRPr="002D446B">
        <w:t>Desarrollo del Concurso Público</w:t>
      </w:r>
    </w:p>
    <w:p w14:paraId="5F64A368" w14:textId="09E17788" w:rsidR="00D87B87" w:rsidRPr="002D446B" w:rsidRDefault="00D87B87" w:rsidP="00DA7F0E">
      <w:pPr>
        <w:spacing w:line="295" w:lineRule="auto"/>
        <w:rPr>
          <w:sz w:val="23"/>
          <w:szCs w:val="23"/>
        </w:rPr>
      </w:pPr>
      <w:r w:rsidRPr="002D446B">
        <w:rPr>
          <w:sz w:val="23"/>
          <w:szCs w:val="23"/>
        </w:rPr>
        <w:t xml:space="preserve">Que, en términos de lo previsto por la Junta General </w:t>
      </w:r>
      <w:r w:rsidR="00DA7F0E" w:rsidRPr="002D446B">
        <w:rPr>
          <w:sz w:val="23"/>
          <w:szCs w:val="23"/>
        </w:rPr>
        <w:t>en el a</w:t>
      </w:r>
      <w:r w:rsidRPr="002D446B">
        <w:rPr>
          <w:sz w:val="23"/>
          <w:szCs w:val="23"/>
        </w:rPr>
        <w:t>cuerdo INE/JGE</w:t>
      </w:r>
      <w:r w:rsidR="00DA7F0E" w:rsidRPr="002D446B">
        <w:rPr>
          <w:sz w:val="23"/>
          <w:szCs w:val="23"/>
        </w:rPr>
        <w:t>189</w:t>
      </w:r>
      <w:r w:rsidRPr="002D446B">
        <w:rPr>
          <w:sz w:val="23"/>
          <w:szCs w:val="23"/>
        </w:rPr>
        <w:t xml:space="preserve">/2022, del listado de las vacantes de los cargos y puestos que se incluyeron en la </w:t>
      </w:r>
      <w:r w:rsidR="00DA7F0E" w:rsidRPr="002D446B">
        <w:rPr>
          <w:sz w:val="23"/>
          <w:szCs w:val="23"/>
        </w:rPr>
        <w:t>d</w:t>
      </w:r>
      <w:r w:rsidRPr="002D446B">
        <w:rPr>
          <w:sz w:val="23"/>
          <w:szCs w:val="23"/>
        </w:rPr>
        <w:t xml:space="preserve">eclaratoria y en </w:t>
      </w:r>
      <w:r w:rsidR="00DA7F0E" w:rsidRPr="002D446B">
        <w:rPr>
          <w:sz w:val="23"/>
          <w:szCs w:val="23"/>
        </w:rPr>
        <w:t xml:space="preserve">la </w:t>
      </w:r>
      <w:r w:rsidR="00D66FA8" w:rsidRPr="002D446B">
        <w:rPr>
          <w:sz w:val="23"/>
          <w:szCs w:val="23"/>
        </w:rPr>
        <w:t>C</w:t>
      </w:r>
      <w:r w:rsidRPr="002D446B">
        <w:rPr>
          <w:sz w:val="23"/>
          <w:szCs w:val="23"/>
        </w:rPr>
        <w:t xml:space="preserve">onvocatoria, dada la situación ocupacional de los </w:t>
      </w:r>
      <w:r w:rsidR="00DA7F0E" w:rsidRPr="002D446B">
        <w:rPr>
          <w:sz w:val="23"/>
          <w:szCs w:val="23"/>
        </w:rPr>
        <w:t xml:space="preserve">organismos electorales </w:t>
      </w:r>
      <w:r w:rsidRPr="002D446B">
        <w:rPr>
          <w:sz w:val="23"/>
          <w:szCs w:val="23"/>
        </w:rPr>
        <w:t xml:space="preserve">y los distintos contextos, se </w:t>
      </w:r>
      <w:r w:rsidR="00DA7F0E" w:rsidRPr="002D446B">
        <w:rPr>
          <w:sz w:val="23"/>
          <w:szCs w:val="23"/>
        </w:rPr>
        <w:t xml:space="preserve">establecieron para cada uno de éstos </w:t>
      </w:r>
      <w:r w:rsidRPr="002D446B">
        <w:rPr>
          <w:sz w:val="23"/>
          <w:szCs w:val="23"/>
        </w:rPr>
        <w:t xml:space="preserve">las acciones afirmativas particulares. </w:t>
      </w:r>
      <w:r w:rsidR="00DA7F0E" w:rsidRPr="002D446B">
        <w:rPr>
          <w:sz w:val="23"/>
          <w:szCs w:val="23"/>
        </w:rPr>
        <w:t>En ese contexto, por lo que se refiere al estado de Tabasco, se determinaron que las vacantes relativas a las Coordinaciones de Educación Cívica, de lo Contencioso Electoral y de Prerrogativas y Partidos Políticos, serían exclusivamente para mujeres</w:t>
      </w:r>
      <w:r w:rsidR="003D6A3C" w:rsidRPr="002D446B">
        <w:rPr>
          <w:sz w:val="23"/>
          <w:szCs w:val="23"/>
        </w:rPr>
        <w:t>; mientras que los restantes conforme a la calificación más alta.</w:t>
      </w:r>
    </w:p>
    <w:p w14:paraId="6CC84259" w14:textId="6E2C555C" w:rsidR="00A264CB" w:rsidRPr="002D446B" w:rsidRDefault="00A264CB" w:rsidP="00A264CB">
      <w:pPr>
        <w:spacing w:line="295" w:lineRule="auto"/>
        <w:rPr>
          <w:sz w:val="23"/>
          <w:szCs w:val="23"/>
        </w:rPr>
      </w:pPr>
      <w:r w:rsidRPr="002D446B">
        <w:rPr>
          <w:sz w:val="23"/>
          <w:szCs w:val="23"/>
        </w:rPr>
        <w:t>Así, el reclutamiento, la selección y la designación de las personas aspirantes a los diversos cargos, se sujetaron a Concurso Público conformado por las siguientes etapas:</w:t>
      </w:r>
    </w:p>
    <w:p w14:paraId="7B55F39D" w14:textId="6FBE1D55"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Publicación y difusión de la Convocatoria. </w:t>
      </w:r>
    </w:p>
    <w:p w14:paraId="2B6FBE48" w14:textId="0A7BA88F"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Registro y postulación de las personas aspirantes. </w:t>
      </w:r>
    </w:p>
    <w:p w14:paraId="78E38786" w14:textId="4D7209AB"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Aplicación del examen de conocimientos. </w:t>
      </w:r>
    </w:p>
    <w:p w14:paraId="4BD328CC" w14:textId="67A1ACBC"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Cotejo documental y verificación del cumplimiento de requisitos. </w:t>
      </w:r>
    </w:p>
    <w:p w14:paraId="7ED10388" w14:textId="14F4806B"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Aplicación de la evaluación psicométrica. </w:t>
      </w:r>
    </w:p>
    <w:p w14:paraId="3381680D" w14:textId="5D2931FE"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Aplicación de entrevistas. </w:t>
      </w:r>
    </w:p>
    <w:p w14:paraId="06818714" w14:textId="7CEFA2CE"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Calificación final. </w:t>
      </w:r>
    </w:p>
    <w:p w14:paraId="3227C144" w14:textId="58024C92"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 xml:space="preserve">Designación de personas ganadoras. </w:t>
      </w:r>
    </w:p>
    <w:p w14:paraId="35D38A55" w14:textId="7E4A8D0C" w:rsidR="00A264CB" w:rsidRPr="002D446B" w:rsidRDefault="00A264CB" w:rsidP="00A264CB">
      <w:pPr>
        <w:pStyle w:val="Prrafodelista"/>
        <w:numPr>
          <w:ilvl w:val="0"/>
          <w:numId w:val="6"/>
        </w:numPr>
        <w:spacing w:line="295" w:lineRule="auto"/>
        <w:ind w:left="1134" w:hanging="510"/>
        <w:rPr>
          <w:sz w:val="23"/>
          <w:szCs w:val="23"/>
        </w:rPr>
      </w:pPr>
      <w:r w:rsidRPr="002D446B">
        <w:rPr>
          <w:sz w:val="23"/>
          <w:szCs w:val="23"/>
        </w:rPr>
        <w:t>Utilización de las listas de reserva.</w:t>
      </w:r>
    </w:p>
    <w:p w14:paraId="5E348C36" w14:textId="1C274F04" w:rsidR="00A264CB" w:rsidRPr="002D446B" w:rsidRDefault="00A264CB" w:rsidP="00A264CB">
      <w:pPr>
        <w:spacing w:line="295" w:lineRule="auto"/>
        <w:rPr>
          <w:sz w:val="23"/>
          <w:szCs w:val="23"/>
        </w:rPr>
      </w:pPr>
      <w:r w:rsidRPr="002D446B">
        <w:rPr>
          <w:sz w:val="23"/>
          <w:szCs w:val="23"/>
        </w:rPr>
        <w:t>Para ello, las y los participantes en el Concurso Público</w:t>
      </w:r>
      <w:r w:rsidR="00FF201B" w:rsidRPr="002D446B">
        <w:rPr>
          <w:sz w:val="23"/>
          <w:szCs w:val="23"/>
        </w:rPr>
        <w:t xml:space="preserve"> tenían que </w:t>
      </w:r>
      <w:r w:rsidRPr="002D446B">
        <w:rPr>
          <w:sz w:val="23"/>
          <w:szCs w:val="23"/>
        </w:rPr>
        <w:t xml:space="preserve">acreditar las etapas </w:t>
      </w:r>
      <w:r w:rsidR="00FF201B" w:rsidRPr="002D446B">
        <w:rPr>
          <w:sz w:val="23"/>
          <w:szCs w:val="23"/>
        </w:rPr>
        <w:t xml:space="preserve">con </w:t>
      </w:r>
      <w:r w:rsidRPr="002D446B">
        <w:rPr>
          <w:sz w:val="23"/>
          <w:szCs w:val="23"/>
        </w:rPr>
        <w:t xml:space="preserve">una calificación mínima aprobatoria, cuyo resultado final </w:t>
      </w:r>
      <w:r w:rsidR="00FF201B" w:rsidRPr="002D446B">
        <w:rPr>
          <w:sz w:val="23"/>
          <w:szCs w:val="23"/>
        </w:rPr>
        <w:t xml:space="preserve">tendría </w:t>
      </w:r>
      <w:r w:rsidRPr="002D446B">
        <w:rPr>
          <w:sz w:val="23"/>
          <w:szCs w:val="23"/>
        </w:rPr>
        <w:t xml:space="preserve">como base fundamental el mérito, la igualdad de oportunidades, la imparcialidad y </w:t>
      </w:r>
      <w:r w:rsidR="00FF201B" w:rsidRPr="002D446B">
        <w:rPr>
          <w:sz w:val="23"/>
          <w:szCs w:val="23"/>
        </w:rPr>
        <w:t xml:space="preserve">la garantía de que arribarían </w:t>
      </w:r>
      <w:r w:rsidRPr="002D446B">
        <w:rPr>
          <w:sz w:val="23"/>
          <w:szCs w:val="23"/>
        </w:rPr>
        <w:t xml:space="preserve">las mejores personas aspirantes. </w:t>
      </w:r>
      <w:r w:rsidR="00FF201B" w:rsidRPr="002D446B">
        <w:rPr>
          <w:sz w:val="23"/>
          <w:szCs w:val="23"/>
        </w:rPr>
        <w:t xml:space="preserve">La </w:t>
      </w:r>
      <w:r w:rsidRPr="002D446B">
        <w:rPr>
          <w:sz w:val="23"/>
          <w:szCs w:val="23"/>
        </w:rPr>
        <w:t xml:space="preserve">ponderación de calificaciones para la obtención de la calificación final </w:t>
      </w:r>
      <w:r w:rsidR="00FF201B" w:rsidRPr="002D446B">
        <w:rPr>
          <w:sz w:val="23"/>
          <w:szCs w:val="23"/>
        </w:rPr>
        <w:t>fue la siguiente:</w:t>
      </w:r>
    </w:p>
    <w:p w14:paraId="2B0F1A4E" w14:textId="77777777" w:rsidR="002D446B" w:rsidRPr="002D446B" w:rsidRDefault="002D446B" w:rsidP="00A264CB">
      <w:pPr>
        <w:spacing w:line="295" w:lineRule="auto"/>
        <w:rPr>
          <w:sz w:val="23"/>
          <w:szCs w:val="23"/>
        </w:rPr>
      </w:pPr>
    </w:p>
    <w:tbl>
      <w:tblPr>
        <w:tblStyle w:val="Tablaconcuadrcula"/>
        <w:tblW w:w="0" w:type="auto"/>
        <w:tblInd w:w="1271" w:type="dxa"/>
        <w:tblLook w:val="04A0" w:firstRow="1" w:lastRow="0" w:firstColumn="1" w:lastColumn="0" w:noHBand="0" w:noVBand="1"/>
      </w:tblPr>
      <w:tblGrid>
        <w:gridCol w:w="3969"/>
        <w:gridCol w:w="2126"/>
      </w:tblGrid>
      <w:tr w:rsidR="002D446B" w:rsidRPr="002D446B" w14:paraId="42456929" w14:textId="77777777" w:rsidTr="00343FE7">
        <w:tc>
          <w:tcPr>
            <w:tcW w:w="3969" w:type="dxa"/>
            <w:shd w:val="clear" w:color="auto" w:fill="993366"/>
          </w:tcPr>
          <w:p w14:paraId="4D63408B" w14:textId="6D611A7E" w:rsidR="00FF201B" w:rsidRPr="002D446B" w:rsidRDefault="00FF201B" w:rsidP="00343FE7">
            <w:pPr>
              <w:spacing w:before="60" w:after="60" w:line="276" w:lineRule="auto"/>
              <w:ind w:left="0"/>
              <w:jc w:val="center"/>
              <w:rPr>
                <w:b/>
                <w:bCs/>
                <w:sz w:val="18"/>
                <w:szCs w:val="18"/>
              </w:rPr>
            </w:pPr>
            <w:r w:rsidRPr="002D446B">
              <w:rPr>
                <w:b/>
                <w:bCs/>
                <w:sz w:val="18"/>
                <w:szCs w:val="18"/>
              </w:rPr>
              <w:lastRenderedPageBreak/>
              <w:t>Etapa</w:t>
            </w:r>
          </w:p>
        </w:tc>
        <w:tc>
          <w:tcPr>
            <w:tcW w:w="2126" w:type="dxa"/>
            <w:shd w:val="clear" w:color="auto" w:fill="993366"/>
          </w:tcPr>
          <w:p w14:paraId="73B001E3" w14:textId="0A02D9C8" w:rsidR="00FF201B" w:rsidRPr="002D446B" w:rsidRDefault="00FF201B" w:rsidP="00343FE7">
            <w:pPr>
              <w:spacing w:before="60" w:after="60" w:line="276" w:lineRule="auto"/>
              <w:ind w:left="0"/>
              <w:jc w:val="center"/>
              <w:rPr>
                <w:b/>
                <w:bCs/>
                <w:sz w:val="18"/>
                <w:szCs w:val="18"/>
              </w:rPr>
            </w:pPr>
            <w:r w:rsidRPr="002D446B">
              <w:rPr>
                <w:b/>
                <w:bCs/>
                <w:sz w:val="18"/>
                <w:szCs w:val="18"/>
              </w:rPr>
              <w:t>Ponderación</w:t>
            </w:r>
          </w:p>
        </w:tc>
      </w:tr>
      <w:tr w:rsidR="002D446B" w:rsidRPr="002D446B" w14:paraId="11DC7A43" w14:textId="77777777" w:rsidTr="00343FE7">
        <w:tc>
          <w:tcPr>
            <w:tcW w:w="3969" w:type="dxa"/>
          </w:tcPr>
          <w:p w14:paraId="7BE021EF" w14:textId="07E3D55A" w:rsidR="00FF201B" w:rsidRPr="002D446B" w:rsidRDefault="00FF201B" w:rsidP="00343FE7">
            <w:pPr>
              <w:spacing w:before="60" w:after="60" w:line="276" w:lineRule="auto"/>
              <w:ind w:left="284"/>
              <w:rPr>
                <w:b/>
                <w:bCs/>
                <w:sz w:val="20"/>
                <w:szCs w:val="20"/>
              </w:rPr>
            </w:pPr>
            <w:r w:rsidRPr="002D446B">
              <w:rPr>
                <w:b/>
                <w:bCs/>
                <w:sz w:val="20"/>
                <w:szCs w:val="20"/>
              </w:rPr>
              <w:t>Examen de conocimientos</w:t>
            </w:r>
          </w:p>
        </w:tc>
        <w:tc>
          <w:tcPr>
            <w:tcW w:w="2126" w:type="dxa"/>
          </w:tcPr>
          <w:p w14:paraId="6082B812" w14:textId="2E47F54D" w:rsidR="00FF201B" w:rsidRPr="002D446B" w:rsidRDefault="00FF201B" w:rsidP="00343FE7">
            <w:pPr>
              <w:spacing w:before="60" w:after="60" w:line="276" w:lineRule="auto"/>
              <w:ind w:left="0"/>
              <w:jc w:val="center"/>
              <w:rPr>
                <w:b/>
                <w:bCs/>
                <w:sz w:val="20"/>
                <w:szCs w:val="20"/>
              </w:rPr>
            </w:pPr>
            <w:r w:rsidRPr="002D446B">
              <w:rPr>
                <w:b/>
                <w:bCs/>
                <w:sz w:val="20"/>
                <w:szCs w:val="20"/>
              </w:rPr>
              <w:t>60%</w:t>
            </w:r>
          </w:p>
        </w:tc>
      </w:tr>
      <w:tr w:rsidR="002D446B" w:rsidRPr="002D446B" w14:paraId="68E574B3" w14:textId="77777777" w:rsidTr="00343FE7">
        <w:tc>
          <w:tcPr>
            <w:tcW w:w="3969" w:type="dxa"/>
          </w:tcPr>
          <w:p w14:paraId="524B0925" w14:textId="2568E116" w:rsidR="00FF201B" w:rsidRPr="002D446B" w:rsidRDefault="00FF201B" w:rsidP="00343FE7">
            <w:pPr>
              <w:spacing w:before="60" w:after="60" w:line="276" w:lineRule="auto"/>
              <w:ind w:left="284"/>
              <w:rPr>
                <w:b/>
                <w:bCs/>
                <w:sz w:val="20"/>
                <w:szCs w:val="20"/>
              </w:rPr>
            </w:pPr>
            <w:r w:rsidRPr="002D446B">
              <w:rPr>
                <w:b/>
                <w:bCs/>
                <w:sz w:val="20"/>
                <w:szCs w:val="20"/>
              </w:rPr>
              <w:t>Evaluación psicométrica</w:t>
            </w:r>
          </w:p>
        </w:tc>
        <w:tc>
          <w:tcPr>
            <w:tcW w:w="2126" w:type="dxa"/>
          </w:tcPr>
          <w:p w14:paraId="23AAC21C" w14:textId="050FB409" w:rsidR="00FF201B" w:rsidRPr="002D446B" w:rsidRDefault="00FF201B" w:rsidP="00343FE7">
            <w:pPr>
              <w:spacing w:before="60" w:after="60" w:line="276" w:lineRule="auto"/>
              <w:ind w:left="0"/>
              <w:jc w:val="center"/>
              <w:rPr>
                <w:b/>
                <w:bCs/>
                <w:sz w:val="20"/>
                <w:szCs w:val="20"/>
              </w:rPr>
            </w:pPr>
            <w:r w:rsidRPr="002D446B">
              <w:rPr>
                <w:b/>
                <w:bCs/>
                <w:sz w:val="20"/>
                <w:szCs w:val="20"/>
              </w:rPr>
              <w:t>10%</w:t>
            </w:r>
          </w:p>
        </w:tc>
      </w:tr>
      <w:tr w:rsidR="002D446B" w:rsidRPr="002D446B" w14:paraId="51F7D2D2" w14:textId="77777777" w:rsidTr="00343FE7">
        <w:tc>
          <w:tcPr>
            <w:tcW w:w="3969" w:type="dxa"/>
          </w:tcPr>
          <w:p w14:paraId="45BAF0A3" w14:textId="5379F817" w:rsidR="00FF201B" w:rsidRPr="002D446B" w:rsidRDefault="00FF201B" w:rsidP="00343FE7">
            <w:pPr>
              <w:spacing w:before="60" w:after="60" w:line="276" w:lineRule="auto"/>
              <w:ind w:left="284"/>
              <w:rPr>
                <w:b/>
                <w:bCs/>
                <w:sz w:val="20"/>
                <w:szCs w:val="20"/>
              </w:rPr>
            </w:pPr>
            <w:r w:rsidRPr="002D446B">
              <w:rPr>
                <w:b/>
                <w:bCs/>
                <w:sz w:val="20"/>
                <w:szCs w:val="20"/>
              </w:rPr>
              <w:t>Entrevistas</w:t>
            </w:r>
          </w:p>
        </w:tc>
        <w:tc>
          <w:tcPr>
            <w:tcW w:w="2126" w:type="dxa"/>
          </w:tcPr>
          <w:p w14:paraId="2FAE6F7D" w14:textId="59D8805E" w:rsidR="00FF201B" w:rsidRPr="002D446B" w:rsidRDefault="00FF201B" w:rsidP="00343FE7">
            <w:pPr>
              <w:spacing w:before="60" w:after="60" w:line="276" w:lineRule="auto"/>
              <w:ind w:left="0"/>
              <w:jc w:val="center"/>
              <w:rPr>
                <w:b/>
                <w:bCs/>
                <w:sz w:val="20"/>
                <w:szCs w:val="20"/>
              </w:rPr>
            </w:pPr>
            <w:r w:rsidRPr="002D446B">
              <w:rPr>
                <w:b/>
                <w:bCs/>
                <w:sz w:val="20"/>
                <w:szCs w:val="20"/>
              </w:rPr>
              <w:t>30%</w:t>
            </w:r>
          </w:p>
        </w:tc>
      </w:tr>
      <w:tr w:rsidR="002D446B" w:rsidRPr="002D446B" w14:paraId="5AF52ADC" w14:textId="77777777" w:rsidTr="00343FE7">
        <w:tc>
          <w:tcPr>
            <w:tcW w:w="3969" w:type="dxa"/>
            <w:shd w:val="clear" w:color="auto" w:fill="D0CECE" w:themeFill="background2" w:themeFillShade="E6"/>
          </w:tcPr>
          <w:p w14:paraId="2B5F95E9" w14:textId="2717C90D" w:rsidR="00FF201B" w:rsidRPr="002D446B" w:rsidRDefault="00FF201B" w:rsidP="00343FE7">
            <w:pPr>
              <w:spacing w:before="60" w:after="60" w:line="276" w:lineRule="auto"/>
              <w:ind w:left="0"/>
              <w:jc w:val="right"/>
              <w:rPr>
                <w:b/>
                <w:bCs/>
                <w:sz w:val="20"/>
                <w:szCs w:val="20"/>
              </w:rPr>
            </w:pPr>
            <w:r w:rsidRPr="002D446B">
              <w:rPr>
                <w:b/>
                <w:bCs/>
                <w:sz w:val="20"/>
                <w:szCs w:val="20"/>
              </w:rPr>
              <w:t>Total</w:t>
            </w:r>
          </w:p>
        </w:tc>
        <w:tc>
          <w:tcPr>
            <w:tcW w:w="2126" w:type="dxa"/>
            <w:shd w:val="clear" w:color="auto" w:fill="D0CECE" w:themeFill="background2" w:themeFillShade="E6"/>
          </w:tcPr>
          <w:p w14:paraId="0D06DA66" w14:textId="39B8321B" w:rsidR="00FF201B" w:rsidRPr="002D446B" w:rsidRDefault="00FF201B" w:rsidP="00343FE7">
            <w:pPr>
              <w:spacing w:before="60" w:after="60" w:line="276" w:lineRule="auto"/>
              <w:ind w:left="0"/>
              <w:jc w:val="center"/>
              <w:rPr>
                <w:b/>
                <w:bCs/>
                <w:sz w:val="20"/>
                <w:szCs w:val="20"/>
              </w:rPr>
            </w:pPr>
            <w:r w:rsidRPr="002D446B">
              <w:rPr>
                <w:b/>
                <w:bCs/>
                <w:sz w:val="20"/>
                <w:szCs w:val="20"/>
              </w:rPr>
              <w:t>100%</w:t>
            </w:r>
          </w:p>
        </w:tc>
      </w:tr>
    </w:tbl>
    <w:p w14:paraId="302CDC96" w14:textId="2CA246F0" w:rsidR="00FF201B" w:rsidRPr="002D446B" w:rsidRDefault="00D66FA8" w:rsidP="00ED5C0B">
      <w:pPr>
        <w:spacing w:before="360" w:line="295" w:lineRule="auto"/>
        <w:rPr>
          <w:sz w:val="23"/>
          <w:szCs w:val="23"/>
        </w:rPr>
      </w:pPr>
      <w:r w:rsidRPr="002D446B">
        <w:rPr>
          <w:sz w:val="23"/>
          <w:szCs w:val="23"/>
        </w:rPr>
        <w:t>Además</w:t>
      </w:r>
      <w:r w:rsidR="00EF7C8B" w:rsidRPr="002D446B">
        <w:rPr>
          <w:sz w:val="23"/>
          <w:szCs w:val="23"/>
        </w:rPr>
        <w:t xml:space="preserve">, las personas aspirantes </w:t>
      </w:r>
      <w:r w:rsidR="00412917" w:rsidRPr="002D446B">
        <w:rPr>
          <w:sz w:val="23"/>
          <w:szCs w:val="23"/>
        </w:rPr>
        <w:t>debían</w:t>
      </w:r>
      <w:r w:rsidR="00EF7C8B" w:rsidRPr="002D446B">
        <w:rPr>
          <w:sz w:val="23"/>
          <w:szCs w:val="23"/>
        </w:rPr>
        <w:t xml:space="preserve"> cubrir los requisitos señalados en los artículos 402 del Estatuto, 15 y 17 de los Lineamientos, y cumplir con las indicaciones y requerimientos establecidos en la Convocatoria</w:t>
      </w:r>
      <w:r w:rsidRPr="002D446B">
        <w:rPr>
          <w:sz w:val="23"/>
          <w:szCs w:val="23"/>
        </w:rPr>
        <w:t xml:space="preserve">. </w:t>
      </w:r>
    </w:p>
    <w:p w14:paraId="7BE3E5A1" w14:textId="56F81479" w:rsidR="00D66FA8" w:rsidRPr="002D446B" w:rsidRDefault="00D66FA8" w:rsidP="00EF7C8B">
      <w:pPr>
        <w:spacing w:before="240" w:line="295" w:lineRule="auto"/>
        <w:rPr>
          <w:sz w:val="23"/>
          <w:szCs w:val="23"/>
        </w:rPr>
      </w:pPr>
      <w:r w:rsidRPr="002D446B">
        <w:rPr>
          <w:sz w:val="23"/>
          <w:szCs w:val="23"/>
        </w:rPr>
        <w:t>Conforme a lo anterior y de acuerdo con los plazos establecidos en la Convocatoria, el Concurso Público se llevó a cabo de la siguiente forma:</w:t>
      </w:r>
    </w:p>
    <w:p w14:paraId="38607DA7" w14:textId="3A781D69" w:rsidR="00D66FA8" w:rsidRPr="002D446B" w:rsidRDefault="00D66FA8" w:rsidP="006D7A4C">
      <w:pPr>
        <w:pStyle w:val="Ttulo4"/>
      </w:pPr>
      <w:r w:rsidRPr="002D446B">
        <w:t>Publicación de la Convocatoria</w:t>
      </w:r>
    </w:p>
    <w:p w14:paraId="06365C7F" w14:textId="26787EBF" w:rsidR="00D66FA8" w:rsidRPr="002D446B" w:rsidRDefault="00D66FA8" w:rsidP="00C351C1">
      <w:pPr>
        <w:spacing w:before="240" w:line="295" w:lineRule="auto"/>
        <w:rPr>
          <w:sz w:val="23"/>
          <w:szCs w:val="23"/>
        </w:rPr>
      </w:pPr>
      <w:r w:rsidRPr="002D446B">
        <w:rPr>
          <w:sz w:val="23"/>
          <w:szCs w:val="23"/>
        </w:rPr>
        <w:t xml:space="preserve">La difusión de la Convocatoria se realizó por un periodo de cinco días naturales, a partir del </w:t>
      </w:r>
      <w:r w:rsidR="00C351C1" w:rsidRPr="002D446B">
        <w:rPr>
          <w:sz w:val="23"/>
          <w:szCs w:val="23"/>
        </w:rPr>
        <w:t>5</w:t>
      </w:r>
      <w:r w:rsidRPr="002D446B">
        <w:rPr>
          <w:sz w:val="23"/>
          <w:szCs w:val="23"/>
        </w:rPr>
        <w:t xml:space="preserve"> y hasta el </w:t>
      </w:r>
      <w:r w:rsidR="00C351C1" w:rsidRPr="002D446B">
        <w:rPr>
          <w:sz w:val="23"/>
          <w:szCs w:val="23"/>
        </w:rPr>
        <w:t>14</w:t>
      </w:r>
      <w:r w:rsidRPr="002D446B">
        <w:rPr>
          <w:sz w:val="23"/>
          <w:szCs w:val="23"/>
        </w:rPr>
        <w:t xml:space="preserve"> de </w:t>
      </w:r>
      <w:r w:rsidR="00C351C1" w:rsidRPr="002D446B">
        <w:rPr>
          <w:sz w:val="23"/>
          <w:szCs w:val="23"/>
        </w:rPr>
        <w:t>octubre</w:t>
      </w:r>
      <w:r w:rsidRPr="002D446B">
        <w:rPr>
          <w:sz w:val="23"/>
          <w:szCs w:val="23"/>
        </w:rPr>
        <w:t xml:space="preserve"> de </w:t>
      </w:r>
      <w:r w:rsidR="00C351C1" w:rsidRPr="002D446B">
        <w:rPr>
          <w:sz w:val="23"/>
          <w:szCs w:val="23"/>
        </w:rPr>
        <w:t>2022</w:t>
      </w:r>
      <w:r w:rsidRPr="002D446B">
        <w:rPr>
          <w:sz w:val="23"/>
          <w:szCs w:val="23"/>
        </w:rPr>
        <w:t xml:space="preserve">, a través de la página de internet, </w:t>
      </w:r>
      <w:r w:rsidR="00C351C1" w:rsidRPr="002D446B">
        <w:rPr>
          <w:sz w:val="23"/>
          <w:szCs w:val="23"/>
        </w:rPr>
        <w:t>medios electrónicos y redes sociales del INE y por medio de los organismos, tribunales electorales e instituciones educativas.</w:t>
      </w:r>
    </w:p>
    <w:p w14:paraId="583672FA" w14:textId="22EE986D" w:rsidR="001E326A" w:rsidRPr="002D446B" w:rsidRDefault="001E326A" w:rsidP="006D7A4C">
      <w:pPr>
        <w:pStyle w:val="Ttulo4"/>
      </w:pPr>
      <w:r w:rsidRPr="002D446B">
        <w:t xml:space="preserve">Registro </w:t>
      </w:r>
      <w:r w:rsidR="00351C27" w:rsidRPr="002D446B">
        <w:t xml:space="preserve">y postulación </w:t>
      </w:r>
      <w:r w:rsidRPr="002D446B">
        <w:t xml:space="preserve">de personas aspirantes. </w:t>
      </w:r>
    </w:p>
    <w:p w14:paraId="7A269115" w14:textId="7A47B3A1" w:rsidR="00351C27" w:rsidRPr="002D446B" w:rsidRDefault="00351C27" w:rsidP="00351C27">
      <w:pPr>
        <w:spacing w:before="240" w:line="295" w:lineRule="auto"/>
        <w:rPr>
          <w:sz w:val="23"/>
          <w:szCs w:val="23"/>
        </w:rPr>
      </w:pPr>
      <w:r w:rsidRPr="002D446B">
        <w:rPr>
          <w:sz w:val="23"/>
          <w:szCs w:val="23"/>
        </w:rPr>
        <w:t>Concluido el periodo de difusión, de acuerdo con los artículos 43, 45 y 47 de los Lineamientos, se llevó a cabo la etapa de registro y postulación de las personas aspirantes, del 15 al 22 de octubre de 2022, por medio del Subsistema del Concurso Público, disponible en la liga de registro y postulación https://concurso-publico-spen.ine.mx habilitada en la página de Internet del INE [www.ine.mx], el cual validó de forma automática la información académica y la experiencia laboral registradas, con base en los requisitos establecidos para el cargo o puesto sujeto a concurso y emitió un mensaje de aceptación o descarte de la persona aspirante.</w:t>
      </w:r>
    </w:p>
    <w:p w14:paraId="2BC31DD7" w14:textId="1BB3A328" w:rsidR="002D446B" w:rsidRPr="002D446B" w:rsidRDefault="002D446B" w:rsidP="00351C27">
      <w:pPr>
        <w:spacing w:before="240" w:line="295" w:lineRule="auto"/>
        <w:rPr>
          <w:sz w:val="23"/>
          <w:szCs w:val="23"/>
        </w:rPr>
      </w:pPr>
    </w:p>
    <w:p w14:paraId="5586F43F" w14:textId="77777777" w:rsidR="002D446B" w:rsidRPr="002D446B" w:rsidRDefault="002D446B" w:rsidP="00351C27">
      <w:pPr>
        <w:spacing w:before="240" w:line="295" w:lineRule="auto"/>
        <w:rPr>
          <w:sz w:val="23"/>
          <w:szCs w:val="23"/>
        </w:rPr>
      </w:pPr>
    </w:p>
    <w:p w14:paraId="30A815E2" w14:textId="572383AD" w:rsidR="001A0CFD" w:rsidRPr="002D446B" w:rsidRDefault="001A0CFD" w:rsidP="006D7A4C">
      <w:pPr>
        <w:pStyle w:val="Ttulo4"/>
        <w:contextualSpacing/>
      </w:pPr>
      <w:r w:rsidRPr="002D446B">
        <w:lastRenderedPageBreak/>
        <w:t>Aplicación del examen de conocimientos</w:t>
      </w:r>
    </w:p>
    <w:p w14:paraId="0A765987" w14:textId="18850B5A" w:rsidR="004513EC" w:rsidRPr="002D446B" w:rsidRDefault="004513EC" w:rsidP="004513EC">
      <w:pPr>
        <w:spacing w:line="295" w:lineRule="auto"/>
        <w:contextualSpacing/>
        <w:rPr>
          <w:sz w:val="23"/>
          <w:szCs w:val="23"/>
        </w:rPr>
      </w:pPr>
      <w:r w:rsidRPr="002D446B">
        <w:rPr>
          <w:sz w:val="23"/>
          <w:szCs w:val="23"/>
        </w:rPr>
        <w:t xml:space="preserve">Con el propósito de valorar el conocimiento de las personas aspirantes, se desarrolló la etapa de </w:t>
      </w:r>
      <w:r w:rsidR="006C42CA" w:rsidRPr="002D446B">
        <w:rPr>
          <w:sz w:val="23"/>
          <w:szCs w:val="23"/>
        </w:rPr>
        <w:t>“</w:t>
      </w:r>
      <w:r w:rsidRPr="002D446B">
        <w:rPr>
          <w:sz w:val="23"/>
          <w:szCs w:val="23"/>
        </w:rPr>
        <w:t>Aplicación del Examen de Conocimientos</w:t>
      </w:r>
      <w:r w:rsidR="006C42CA" w:rsidRPr="002D446B">
        <w:rPr>
          <w:sz w:val="23"/>
          <w:szCs w:val="23"/>
        </w:rPr>
        <w:t>”</w:t>
      </w:r>
      <w:r w:rsidRPr="002D446B">
        <w:rPr>
          <w:sz w:val="23"/>
          <w:szCs w:val="23"/>
        </w:rPr>
        <w:t xml:space="preserve"> en la modalidad “Examen desde casa”, cuyo diseño, elaboración, aplicación y calificación estuvo a cargo del CENEVAL, conforme el numeral 21 del acuerdo INE/CG193/2022.</w:t>
      </w:r>
    </w:p>
    <w:p w14:paraId="087F6928" w14:textId="5B86AD40" w:rsidR="001A0CFD" w:rsidRPr="002D446B" w:rsidRDefault="004513EC" w:rsidP="004513EC">
      <w:pPr>
        <w:spacing w:line="295" w:lineRule="auto"/>
        <w:rPr>
          <w:sz w:val="23"/>
          <w:szCs w:val="23"/>
        </w:rPr>
      </w:pPr>
      <w:r w:rsidRPr="002D446B">
        <w:rPr>
          <w:sz w:val="23"/>
          <w:szCs w:val="23"/>
        </w:rPr>
        <w:t xml:space="preserve">La aplicación del examen se llevó a cabo el 3 de diciembre de 2022, en los horarios que estableció la DESPEN, </w:t>
      </w:r>
      <w:r w:rsidR="00741428" w:rsidRPr="002D446B">
        <w:rPr>
          <w:sz w:val="23"/>
          <w:szCs w:val="23"/>
        </w:rPr>
        <w:t xml:space="preserve">los cuales </w:t>
      </w:r>
      <w:r w:rsidRPr="002D446B">
        <w:rPr>
          <w:sz w:val="23"/>
          <w:szCs w:val="23"/>
        </w:rPr>
        <w:t xml:space="preserve">fueron publicados en la página de Internet del </w:t>
      </w:r>
      <w:r w:rsidR="00741428" w:rsidRPr="002D446B">
        <w:rPr>
          <w:sz w:val="23"/>
          <w:szCs w:val="23"/>
        </w:rPr>
        <w:t>INE</w:t>
      </w:r>
      <w:r w:rsidRPr="002D446B">
        <w:rPr>
          <w:sz w:val="23"/>
          <w:szCs w:val="23"/>
        </w:rPr>
        <w:t xml:space="preserve">. </w:t>
      </w:r>
    </w:p>
    <w:p w14:paraId="58B14E22" w14:textId="181E945F" w:rsidR="00BF3B92" w:rsidRPr="002D446B" w:rsidRDefault="00BF3B92" w:rsidP="00BF3B92">
      <w:pPr>
        <w:spacing w:line="295" w:lineRule="auto"/>
        <w:rPr>
          <w:sz w:val="23"/>
          <w:szCs w:val="23"/>
        </w:rPr>
      </w:pPr>
      <w:r w:rsidRPr="002D446B">
        <w:rPr>
          <w:sz w:val="23"/>
          <w:szCs w:val="23"/>
        </w:rPr>
        <w:t>Para determinar las personas aspirantes que pasaron a la siguiente etapa del Concurso Público, la DESPEN aplicó los criterios establecidos en el artículo 52 de los Lineamientos, entre los que destacan obtener una calificación igual o mayor a 7, en una escala de cero a diez, considerando el punto de corte establecido para el cargo o puesto</w:t>
      </w:r>
      <w:r w:rsidR="000F49A3" w:rsidRPr="002D446B">
        <w:rPr>
          <w:rStyle w:val="Refdenotaalpie"/>
          <w:sz w:val="23"/>
          <w:szCs w:val="23"/>
        </w:rPr>
        <w:footnoteReference w:id="1"/>
      </w:r>
      <w:r w:rsidRPr="002D446B">
        <w:rPr>
          <w:sz w:val="23"/>
          <w:szCs w:val="23"/>
        </w:rPr>
        <w:t xml:space="preserve"> conforme a lo señalado en el numeral 49 y ubicarse dentro del 33 por ciento de personas aspirantes con las calificaciones más altas por cargo o puesto, y tomando en consideración las acciones afirmativas previstas en el anexo único de la convocatoria.</w:t>
      </w:r>
    </w:p>
    <w:p w14:paraId="783C49E8" w14:textId="261B424E" w:rsidR="00EA377C" w:rsidRPr="002D446B" w:rsidRDefault="00EA377C" w:rsidP="00EA377C">
      <w:pPr>
        <w:spacing w:line="295" w:lineRule="auto"/>
        <w:rPr>
          <w:sz w:val="23"/>
          <w:szCs w:val="23"/>
        </w:rPr>
      </w:pPr>
      <w:r w:rsidRPr="002D446B">
        <w:rPr>
          <w:sz w:val="23"/>
          <w:szCs w:val="23"/>
        </w:rPr>
        <w:t>Acorde con el artículo 53 de los Lineamientos, una vez identificadas las personas aspirantes de acuerdo con los criterios referidos en el artículo 52, la DESPEN generó las listas de personas aspirantes mujeres y de personas aspirantes hombres, por cargo o puesto concursado, identificadas con sus folios y ordenadas de mayor a menor calificación, de las personas que fueron convocadas a la etapa de cotejo documental y verificación del cumplimiento de requisitos, lo cual se publicó el 5 de enero de 2023 en la página web del INE y los organismos electorales en sus respectivos portales de Internet.</w:t>
      </w:r>
    </w:p>
    <w:p w14:paraId="7ECB5FD5" w14:textId="1E4CE113" w:rsidR="00C544F5" w:rsidRPr="002D446B" w:rsidRDefault="00C544F5" w:rsidP="006D7A4C">
      <w:pPr>
        <w:pStyle w:val="Ttulo4"/>
      </w:pPr>
      <w:r w:rsidRPr="002D446B">
        <w:t>Cotejo documental y verificación del cumplimiento de requisitos</w:t>
      </w:r>
    </w:p>
    <w:p w14:paraId="25BA2BFE" w14:textId="0A6D9C14" w:rsidR="00D9197A" w:rsidRPr="002D446B" w:rsidRDefault="00D9197A" w:rsidP="00D9197A">
      <w:pPr>
        <w:spacing w:line="295" w:lineRule="auto"/>
        <w:rPr>
          <w:sz w:val="23"/>
          <w:szCs w:val="23"/>
        </w:rPr>
      </w:pPr>
      <w:r w:rsidRPr="002D446B">
        <w:rPr>
          <w:sz w:val="23"/>
          <w:szCs w:val="23"/>
        </w:rPr>
        <w:t xml:space="preserve">Las personas aspirantes convocadas a esta etapa ingresaron al Subsistema del Concurso Público durante el periodo del 9 al 11 de enero de 2023 para subir la </w:t>
      </w:r>
      <w:r w:rsidRPr="002D446B">
        <w:rPr>
          <w:sz w:val="23"/>
          <w:szCs w:val="23"/>
        </w:rPr>
        <w:lastRenderedPageBreak/>
        <w:t xml:space="preserve">documentación requerida para el cumplimiento de requisitos, de acuerdo con las indicaciones señaladas por la DESPEN en la página de Internet del INE y en el formato electrónico solicitado. </w:t>
      </w:r>
    </w:p>
    <w:p w14:paraId="2DAEC091" w14:textId="5A3A9E83" w:rsidR="00D9197A" w:rsidRPr="002D446B" w:rsidRDefault="00D9197A" w:rsidP="00D9197A">
      <w:pPr>
        <w:spacing w:line="295" w:lineRule="auto"/>
        <w:rPr>
          <w:sz w:val="23"/>
          <w:szCs w:val="23"/>
        </w:rPr>
      </w:pPr>
      <w:r w:rsidRPr="002D446B">
        <w:rPr>
          <w:sz w:val="23"/>
          <w:szCs w:val="23"/>
        </w:rPr>
        <w:t xml:space="preserve">Posteriormente, en el periodo del 12 al 16 de enero de 2023 se realizó la etapa de cotejo documental y verificación del cumplimiento de requisitos, en la cual la DESPEN coordinó los trabajos, apoyándose en los órganos de enlace de los organismos electorales, para identificar si las personas cumplieron con los requisitos exigidos. </w:t>
      </w:r>
    </w:p>
    <w:p w14:paraId="15DFF669" w14:textId="77643106" w:rsidR="0037077C" w:rsidRPr="002D446B" w:rsidRDefault="0037077C" w:rsidP="0037077C">
      <w:pPr>
        <w:spacing w:line="295" w:lineRule="auto"/>
        <w:rPr>
          <w:sz w:val="23"/>
          <w:szCs w:val="23"/>
        </w:rPr>
      </w:pPr>
      <w:r w:rsidRPr="002D446B">
        <w:rPr>
          <w:sz w:val="23"/>
          <w:szCs w:val="23"/>
        </w:rPr>
        <w:t>Una vez concluida esta etapa, la DESPEN y los organismos electorales, por conducto de su órgano de enlace, difundieron en sus páginas de Internet respectivas, las listas con los folios de las personas aspirantes mujeres y de las personas aspirantes hombres por cada cargo y puesto vacante, que acreditaron el cotejo documental y el cumplimiento de los requisitos, a quienes se les convocó para la aplicación de la evaluación psicométrica, en la fecha, hora y lugar que determinado por la DESPEN.</w:t>
      </w:r>
    </w:p>
    <w:p w14:paraId="3C0FE064" w14:textId="3FB1AC6F" w:rsidR="00914FB7" w:rsidRPr="002D446B" w:rsidRDefault="00914FB7" w:rsidP="006D7A4C">
      <w:pPr>
        <w:pStyle w:val="Ttulo4"/>
      </w:pPr>
      <w:r w:rsidRPr="002D446B">
        <w:t xml:space="preserve">Aplicación de la evaluación psicométrica </w:t>
      </w:r>
    </w:p>
    <w:p w14:paraId="59B9A67E" w14:textId="4CE390B0" w:rsidR="00914FB7" w:rsidRPr="002D446B" w:rsidRDefault="00914FB7" w:rsidP="00914FB7">
      <w:pPr>
        <w:spacing w:line="295" w:lineRule="auto"/>
        <w:rPr>
          <w:sz w:val="23"/>
          <w:szCs w:val="23"/>
        </w:rPr>
      </w:pPr>
      <w:r w:rsidRPr="002D446B">
        <w:rPr>
          <w:sz w:val="23"/>
          <w:szCs w:val="23"/>
        </w:rPr>
        <w:t>La etapa de aplicación de la evaluación psicométrica se realizó el 4 de febrero de 2023 de manera presencial en una sola sesión, a las personas aspirantes que aprobaron las etapas previas y se encontraban en el supuesto del artículo 58 de los Lineamientos.</w:t>
      </w:r>
    </w:p>
    <w:p w14:paraId="513290BE" w14:textId="78C5AB8B" w:rsidR="00914FB7" w:rsidRPr="002D446B" w:rsidRDefault="00914FB7" w:rsidP="00914FB7">
      <w:pPr>
        <w:spacing w:line="295" w:lineRule="auto"/>
        <w:rPr>
          <w:sz w:val="23"/>
          <w:szCs w:val="23"/>
        </w:rPr>
      </w:pPr>
      <w:r w:rsidRPr="002D446B">
        <w:rPr>
          <w:sz w:val="23"/>
          <w:szCs w:val="23"/>
        </w:rPr>
        <w:t>La evaluación tuvo como propósito medir el grado de compatibilidad entre el perfil de la persona aspirante y las competencias que correspondan al cargo o puesto por el que concurs</w:t>
      </w:r>
      <w:r w:rsidR="000B7D68" w:rsidRPr="002D446B">
        <w:rPr>
          <w:sz w:val="23"/>
          <w:szCs w:val="23"/>
        </w:rPr>
        <w:t>aron</w:t>
      </w:r>
      <w:r w:rsidRPr="002D446B">
        <w:rPr>
          <w:sz w:val="23"/>
          <w:szCs w:val="23"/>
        </w:rPr>
        <w:t>, tales como: visión institucional, ética y responsabilidad administrativa, trabajo en equipo y redes de colaboración y, análisis y toma de decisiones bajo presión. Adicionalmente, para los cargos de mayor responsabilidad considerados en la Convocatoria se evaluó la competencia de liderazgo.</w:t>
      </w:r>
    </w:p>
    <w:p w14:paraId="5252F4BF" w14:textId="007F27D8" w:rsidR="00DF7FFA" w:rsidRPr="002D446B" w:rsidRDefault="00DF7FFA" w:rsidP="00DF7FFA">
      <w:pPr>
        <w:spacing w:line="295" w:lineRule="auto"/>
        <w:rPr>
          <w:sz w:val="23"/>
          <w:szCs w:val="23"/>
        </w:rPr>
      </w:pPr>
      <w:r w:rsidRPr="002D446B">
        <w:rPr>
          <w:sz w:val="23"/>
          <w:szCs w:val="23"/>
        </w:rPr>
        <w:t>Una vez aplicada la evaluación psicométrica, la DESPEN publicó el 8 de febrero de 2023, las listas de folios de las personas aspirantes mujeres y personas aspirantes hombres, que pasaron a la etapa de entrevistas.</w:t>
      </w:r>
    </w:p>
    <w:p w14:paraId="248D7968" w14:textId="77777777" w:rsidR="00865A50" w:rsidRPr="002D446B" w:rsidRDefault="00865A50" w:rsidP="006D7A4C">
      <w:pPr>
        <w:pStyle w:val="Ttulo4"/>
      </w:pPr>
      <w:r w:rsidRPr="002D446B">
        <w:lastRenderedPageBreak/>
        <w:t xml:space="preserve">Aplicación de entrevistas </w:t>
      </w:r>
    </w:p>
    <w:p w14:paraId="2928299D" w14:textId="10F40247" w:rsidR="00865A50" w:rsidRPr="002D446B" w:rsidRDefault="00865A50" w:rsidP="00865A50">
      <w:pPr>
        <w:spacing w:line="295" w:lineRule="auto"/>
        <w:rPr>
          <w:sz w:val="23"/>
          <w:szCs w:val="23"/>
        </w:rPr>
      </w:pPr>
      <w:r w:rsidRPr="002D446B">
        <w:rPr>
          <w:sz w:val="23"/>
          <w:szCs w:val="23"/>
        </w:rPr>
        <w:t xml:space="preserve">En la etapa de aplicación de entrevistas se </w:t>
      </w:r>
      <w:r w:rsidR="0028058C" w:rsidRPr="002D446B">
        <w:rPr>
          <w:sz w:val="23"/>
          <w:szCs w:val="23"/>
        </w:rPr>
        <w:t>empleó</w:t>
      </w:r>
      <w:r w:rsidRPr="002D446B">
        <w:rPr>
          <w:sz w:val="23"/>
          <w:szCs w:val="23"/>
        </w:rPr>
        <w:t xml:space="preserve"> la guía y la cédula de calificación </w:t>
      </w:r>
      <w:r w:rsidR="0028058C" w:rsidRPr="002D446B">
        <w:rPr>
          <w:sz w:val="23"/>
          <w:szCs w:val="23"/>
        </w:rPr>
        <w:t xml:space="preserve">con </w:t>
      </w:r>
      <w:r w:rsidRPr="002D446B">
        <w:rPr>
          <w:sz w:val="23"/>
          <w:szCs w:val="23"/>
        </w:rPr>
        <w:t xml:space="preserve">los parámetros </w:t>
      </w:r>
      <w:r w:rsidR="0028058C" w:rsidRPr="002D446B">
        <w:rPr>
          <w:sz w:val="23"/>
          <w:szCs w:val="23"/>
        </w:rPr>
        <w:t xml:space="preserve">que se utilizaron </w:t>
      </w:r>
      <w:r w:rsidRPr="002D446B">
        <w:rPr>
          <w:sz w:val="23"/>
          <w:szCs w:val="23"/>
        </w:rPr>
        <w:t xml:space="preserve">para determinar la calificación, ambas elaboradas por la DESPEN conforme el artículo 67 de los Lineamientos, las cuales </w:t>
      </w:r>
      <w:r w:rsidR="0028058C" w:rsidRPr="002D446B">
        <w:rPr>
          <w:sz w:val="23"/>
          <w:szCs w:val="23"/>
        </w:rPr>
        <w:t xml:space="preserve">se entregaron </w:t>
      </w:r>
      <w:r w:rsidRPr="002D446B">
        <w:rPr>
          <w:sz w:val="23"/>
          <w:szCs w:val="23"/>
        </w:rPr>
        <w:t xml:space="preserve">al funcionariado del </w:t>
      </w:r>
      <w:r w:rsidR="0028058C" w:rsidRPr="002D446B">
        <w:rPr>
          <w:sz w:val="23"/>
          <w:szCs w:val="23"/>
        </w:rPr>
        <w:t xml:space="preserve">organismo electoral </w:t>
      </w:r>
      <w:r w:rsidRPr="002D446B">
        <w:rPr>
          <w:sz w:val="23"/>
          <w:szCs w:val="23"/>
        </w:rPr>
        <w:t xml:space="preserve">para realizar esta actividad. </w:t>
      </w:r>
      <w:r w:rsidR="0028058C" w:rsidRPr="002D446B">
        <w:rPr>
          <w:sz w:val="23"/>
          <w:szCs w:val="23"/>
        </w:rPr>
        <w:t xml:space="preserve">Las </w:t>
      </w:r>
      <w:r w:rsidRPr="002D446B">
        <w:rPr>
          <w:sz w:val="23"/>
          <w:szCs w:val="23"/>
        </w:rPr>
        <w:t xml:space="preserve">entrevistas se </w:t>
      </w:r>
      <w:r w:rsidR="0028058C" w:rsidRPr="002D446B">
        <w:rPr>
          <w:sz w:val="23"/>
          <w:szCs w:val="23"/>
        </w:rPr>
        <w:t xml:space="preserve">desahogaron </w:t>
      </w:r>
      <w:r w:rsidRPr="002D446B">
        <w:rPr>
          <w:sz w:val="23"/>
          <w:szCs w:val="23"/>
        </w:rPr>
        <w:t xml:space="preserve">del 17 al 27 de febrero de 2023, a través de videoconferencias y se </w:t>
      </w:r>
      <w:r w:rsidR="0028058C" w:rsidRPr="002D446B">
        <w:rPr>
          <w:sz w:val="23"/>
          <w:szCs w:val="23"/>
        </w:rPr>
        <w:t xml:space="preserve">organizaron </w:t>
      </w:r>
      <w:r w:rsidRPr="002D446B">
        <w:rPr>
          <w:sz w:val="23"/>
          <w:szCs w:val="23"/>
        </w:rPr>
        <w:t xml:space="preserve">por medio de paneles mixtos -mujeres y hombres- de acuerdo con el </w:t>
      </w:r>
      <w:r w:rsidR="0028058C" w:rsidRPr="002D446B">
        <w:rPr>
          <w:sz w:val="23"/>
          <w:szCs w:val="23"/>
        </w:rPr>
        <w:t>a</w:t>
      </w:r>
      <w:r w:rsidRPr="002D446B">
        <w:rPr>
          <w:sz w:val="23"/>
          <w:szCs w:val="23"/>
        </w:rPr>
        <w:t xml:space="preserve">nexo 1 de los Lineamientos. La calificación mínima para acreditar esta etapa </w:t>
      </w:r>
      <w:r w:rsidR="006F3429" w:rsidRPr="002D446B">
        <w:rPr>
          <w:sz w:val="23"/>
          <w:szCs w:val="23"/>
        </w:rPr>
        <w:t xml:space="preserve">fue de </w:t>
      </w:r>
      <w:r w:rsidRPr="002D446B">
        <w:rPr>
          <w:sz w:val="23"/>
          <w:szCs w:val="23"/>
        </w:rPr>
        <w:t xml:space="preserve">7.00, la cual se </w:t>
      </w:r>
      <w:r w:rsidR="006F3429" w:rsidRPr="002D446B">
        <w:rPr>
          <w:sz w:val="23"/>
          <w:szCs w:val="23"/>
        </w:rPr>
        <w:t xml:space="preserve">obtuvo </w:t>
      </w:r>
      <w:r w:rsidRPr="002D446B">
        <w:rPr>
          <w:sz w:val="23"/>
          <w:szCs w:val="23"/>
        </w:rPr>
        <w:t>del promedio otorgado por las personas integrantes del panel.</w:t>
      </w:r>
    </w:p>
    <w:p w14:paraId="0B916DCA" w14:textId="2D477A44" w:rsidR="00E968E1" w:rsidRPr="002D446B" w:rsidRDefault="00E968E1" w:rsidP="000E2D88">
      <w:pPr>
        <w:spacing w:line="295" w:lineRule="auto"/>
        <w:rPr>
          <w:sz w:val="23"/>
          <w:szCs w:val="23"/>
        </w:rPr>
      </w:pPr>
      <w:r w:rsidRPr="002D446B">
        <w:rPr>
          <w:sz w:val="23"/>
          <w:szCs w:val="23"/>
        </w:rPr>
        <w:t xml:space="preserve">Cabe mencionar que, las y los Consejeros Electorales designaron a las personas entrevistadoras, de entre las propias </w:t>
      </w:r>
      <w:r w:rsidR="00447157" w:rsidRPr="002D446B">
        <w:rPr>
          <w:sz w:val="23"/>
          <w:szCs w:val="23"/>
        </w:rPr>
        <w:t xml:space="preserve">consejerías electorales </w:t>
      </w:r>
      <w:r w:rsidRPr="002D446B">
        <w:rPr>
          <w:sz w:val="23"/>
          <w:szCs w:val="23"/>
        </w:rPr>
        <w:t>y considerando la ausencia de la persona titular de la Dirección Ejecutiva de Organización Electoral y Educación Cívica y la excusa para intervenir en el Concurso Público presentada por el titular de la Dirección Jurídica.</w:t>
      </w:r>
      <w:r w:rsidR="000E2D88" w:rsidRPr="002D446B">
        <w:rPr>
          <w:sz w:val="23"/>
          <w:szCs w:val="23"/>
        </w:rPr>
        <w:t xml:space="preserve"> En todo caso, las entrevistas se desarrollaron en términos de la Convocatoria, la </w:t>
      </w:r>
      <w:r w:rsidRPr="002D446B">
        <w:rPr>
          <w:sz w:val="23"/>
          <w:szCs w:val="23"/>
        </w:rPr>
        <w:t xml:space="preserve">Circular INE/DESPEN/008/2023 y los </w:t>
      </w:r>
      <w:r w:rsidR="000E2D88" w:rsidRPr="002D446B">
        <w:rPr>
          <w:sz w:val="23"/>
          <w:szCs w:val="23"/>
        </w:rPr>
        <w:t>c</w:t>
      </w:r>
      <w:r w:rsidRPr="002D446B">
        <w:rPr>
          <w:sz w:val="23"/>
          <w:szCs w:val="23"/>
        </w:rPr>
        <w:t xml:space="preserve">riterios para la programación y aplicación de </w:t>
      </w:r>
      <w:r w:rsidR="000E2D88" w:rsidRPr="002D446B">
        <w:rPr>
          <w:sz w:val="23"/>
          <w:szCs w:val="23"/>
        </w:rPr>
        <w:t>e</w:t>
      </w:r>
      <w:r w:rsidRPr="002D446B">
        <w:rPr>
          <w:sz w:val="23"/>
          <w:szCs w:val="23"/>
        </w:rPr>
        <w:t>ntrevistas, remitidos por la DESPEN.</w:t>
      </w:r>
    </w:p>
    <w:p w14:paraId="7C0820C7" w14:textId="3F49246A" w:rsidR="00E968E1" w:rsidRPr="002D446B" w:rsidRDefault="00EE5B8B" w:rsidP="00E968E1">
      <w:pPr>
        <w:spacing w:line="295" w:lineRule="auto"/>
        <w:rPr>
          <w:sz w:val="23"/>
          <w:szCs w:val="23"/>
        </w:rPr>
      </w:pPr>
      <w:r w:rsidRPr="002D446B">
        <w:rPr>
          <w:sz w:val="23"/>
          <w:szCs w:val="23"/>
        </w:rPr>
        <w:t xml:space="preserve">Las personas </w:t>
      </w:r>
      <w:r w:rsidR="00E968E1" w:rsidRPr="002D446B">
        <w:rPr>
          <w:sz w:val="23"/>
          <w:szCs w:val="23"/>
        </w:rPr>
        <w:t xml:space="preserve">entrevistadoras </w:t>
      </w:r>
      <w:r w:rsidRPr="002D446B">
        <w:rPr>
          <w:sz w:val="23"/>
          <w:szCs w:val="23"/>
        </w:rPr>
        <w:t xml:space="preserve">subieron </w:t>
      </w:r>
      <w:r w:rsidR="00E968E1" w:rsidRPr="002D446B">
        <w:rPr>
          <w:sz w:val="23"/>
          <w:szCs w:val="23"/>
        </w:rPr>
        <w:t xml:space="preserve">al Subsistema del Concurso Público las calificaciones de las personas aspirantes, </w:t>
      </w:r>
      <w:r w:rsidRPr="002D446B">
        <w:rPr>
          <w:sz w:val="23"/>
          <w:szCs w:val="23"/>
        </w:rPr>
        <w:t xml:space="preserve">a más tardar </w:t>
      </w:r>
      <w:r w:rsidR="00E968E1" w:rsidRPr="002D446B">
        <w:rPr>
          <w:sz w:val="23"/>
          <w:szCs w:val="23"/>
        </w:rPr>
        <w:t>2 días después de la realización de la entrevista.</w:t>
      </w:r>
    </w:p>
    <w:p w14:paraId="7406CCBF" w14:textId="7046911A" w:rsidR="006E4F45" w:rsidRPr="002D446B" w:rsidRDefault="006E4F45" w:rsidP="006D7A4C">
      <w:pPr>
        <w:pStyle w:val="Ttulo4"/>
      </w:pPr>
      <w:r w:rsidRPr="002D446B">
        <w:t>Calificación final</w:t>
      </w:r>
    </w:p>
    <w:p w14:paraId="5C141ABE" w14:textId="391F70FF" w:rsidR="008837DD" w:rsidRPr="002D446B" w:rsidRDefault="008837DD" w:rsidP="008837DD">
      <w:pPr>
        <w:spacing w:line="295" w:lineRule="auto"/>
        <w:rPr>
          <w:sz w:val="23"/>
          <w:szCs w:val="23"/>
        </w:rPr>
      </w:pPr>
      <w:r w:rsidRPr="002D446B">
        <w:rPr>
          <w:sz w:val="23"/>
          <w:szCs w:val="23"/>
        </w:rPr>
        <w:t xml:space="preserve">Concluidas las etapas de evaluación, la DESPEN publicó el 07 de marzo de 2023, las listas de resultados finales de mujeres y hombres, las que integró por cargo y puesto, con los números de folio, así como la calificación que obtuvieron en cada una de las etapas de la Convocatoria, ordenadas de mayor a menor calificación. La calificación aprobatoria fue igual o mayor a 7.00, expresada con un número entero y dos posiciones decimales sin redondeo. En su caso, la DESPEN aplicó los criterios de desempate establecidos en el artículo 76 de los Lineamientos.  </w:t>
      </w:r>
    </w:p>
    <w:p w14:paraId="4F0E1396" w14:textId="721538AD" w:rsidR="00534AE7" w:rsidRPr="002D446B" w:rsidRDefault="00534AE7" w:rsidP="00534AE7">
      <w:pPr>
        <w:spacing w:line="295" w:lineRule="auto"/>
        <w:rPr>
          <w:sz w:val="23"/>
          <w:szCs w:val="23"/>
        </w:rPr>
      </w:pPr>
      <w:r w:rsidRPr="002D446B">
        <w:rPr>
          <w:sz w:val="23"/>
          <w:szCs w:val="23"/>
        </w:rPr>
        <w:lastRenderedPageBreak/>
        <w:t>Asimismo, la DESPEN solicitó el apoyo de la Dirección Ejecutiva de Prerrogativas y Partidos Políticos para verificar que las personas aspirantes cumplan con los requisitos de no ser militante de algún partido político nacional y local con registro vigente; no haber sido registradas por un partido político a cargo alguno de elección popular en los tres años inmediatos anteriores a la designación; y no ser o haber sido integrantes de la dirigencia nacional, estatal o municipal de algún partido político en los tres años inmediatos anteriores a la designación, como lo establece el artículo 78 de los Lineamientos en correlación con el artículo 410 del Estatuto.</w:t>
      </w:r>
    </w:p>
    <w:p w14:paraId="07E339A3" w14:textId="1C6FF83D" w:rsidR="00212637" w:rsidRPr="002D446B" w:rsidRDefault="00212637" w:rsidP="00212637">
      <w:pPr>
        <w:pStyle w:val="Ttulo4"/>
      </w:pPr>
      <w:r w:rsidRPr="002D446B">
        <w:t>Designación de personas ganadoras</w:t>
      </w:r>
      <w:r w:rsidR="00AB797B" w:rsidRPr="002D446B">
        <w:t xml:space="preserve"> y utilización de la lista de reserva</w:t>
      </w:r>
    </w:p>
    <w:p w14:paraId="4D9A958F" w14:textId="3DF0C58B" w:rsidR="00212637" w:rsidRPr="002D446B" w:rsidRDefault="00212637" w:rsidP="00212637">
      <w:pPr>
        <w:spacing w:line="295" w:lineRule="auto"/>
        <w:rPr>
          <w:sz w:val="23"/>
          <w:szCs w:val="23"/>
        </w:rPr>
      </w:pPr>
      <w:r w:rsidRPr="002D446B">
        <w:rPr>
          <w:sz w:val="23"/>
          <w:szCs w:val="23"/>
        </w:rPr>
        <w:t xml:space="preserve">De conformidad con las listas referidas en el artículo 79 de los Lineamientos, los órganos de enlace de los </w:t>
      </w:r>
      <w:r w:rsidR="008F14DC" w:rsidRPr="002D446B">
        <w:rPr>
          <w:sz w:val="23"/>
          <w:szCs w:val="23"/>
        </w:rPr>
        <w:t xml:space="preserve">organismos electorales ofrecieron </w:t>
      </w:r>
      <w:r w:rsidRPr="002D446B">
        <w:rPr>
          <w:sz w:val="23"/>
          <w:szCs w:val="23"/>
        </w:rPr>
        <w:t xml:space="preserve">por escrito, a través de correo electrónico, una adscripción específica a cada persona aspirante ganadora de una plaza vacante sujeta a concurso, conforme a lo </w:t>
      </w:r>
      <w:r w:rsidR="008F14DC" w:rsidRPr="002D446B">
        <w:rPr>
          <w:sz w:val="23"/>
          <w:szCs w:val="23"/>
        </w:rPr>
        <w:t>señalado en la C</w:t>
      </w:r>
      <w:r w:rsidRPr="002D446B">
        <w:rPr>
          <w:sz w:val="23"/>
          <w:szCs w:val="23"/>
        </w:rPr>
        <w:t xml:space="preserve">onvocatoria. </w:t>
      </w:r>
    </w:p>
    <w:p w14:paraId="2DA26E95" w14:textId="77C8BA4E" w:rsidR="00115BA5" w:rsidRPr="002D446B" w:rsidRDefault="008F14DC" w:rsidP="00212637">
      <w:pPr>
        <w:spacing w:line="295" w:lineRule="auto"/>
        <w:rPr>
          <w:sz w:val="23"/>
          <w:szCs w:val="23"/>
        </w:rPr>
      </w:pPr>
      <w:r w:rsidRPr="002D446B">
        <w:rPr>
          <w:sz w:val="23"/>
          <w:szCs w:val="23"/>
        </w:rPr>
        <w:t xml:space="preserve">Estos correos de ofrecimiento fueron enviados desde la cuenta institucional del órgano de enlace, </w:t>
      </w:r>
      <w:hyperlink r:id="rId8" w:history="1">
        <w:r w:rsidRPr="002D446B">
          <w:rPr>
            <w:rStyle w:val="Hipervnculo"/>
            <w:color w:val="auto"/>
            <w:sz w:val="23"/>
            <w:szCs w:val="23"/>
          </w:rPr>
          <w:t>enlace.spen@iepct.mx</w:t>
        </w:r>
      </w:hyperlink>
      <w:r w:rsidRPr="002D446B">
        <w:rPr>
          <w:sz w:val="23"/>
          <w:szCs w:val="23"/>
        </w:rPr>
        <w:t xml:space="preserve"> los días 10 y 13 de marzo de 2023, a </w:t>
      </w:r>
      <w:r w:rsidR="00115BA5" w:rsidRPr="002D446B">
        <w:rPr>
          <w:sz w:val="23"/>
          <w:szCs w:val="23"/>
        </w:rPr>
        <w:t xml:space="preserve">las personas </w:t>
      </w:r>
      <w:r w:rsidRPr="002D446B">
        <w:rPr>
          <w:sz w:val="23"/>
          <w:szCs w:val="23"/>
        </w:rPr>
        <w:t>ganador</w:t>
      </w:r>
      <w:r w:rsidR="00115BA5" w:rsidRPr="002D446B">
        <w:rPr>
          <w:sz w:val="23"/>
          <w:szCs w:val="23"/>
        </w:rPr>
        <w:t>a</w:t>
      </w:r>
      <w:r w:rsidRPr="002D446B">
        <w:rPr>
          <w:sz w:val="23"/>
          <w:szCs w:val="23"/>
        </w:rPr>
        <w:t xml:space="preserve">s </w:t>
      </w:r>
      <w:r w:rsidR="00472E62" w:rsidRPr="002D446B">
        <w:rPr>
          <w:sz w:val="23"/>
          <w:szCs w:val="23"/>
        </w:rPr>
        <w:t>del Concurso Público.</w:t>
      </w:r>
    </w:p>
    <w:p w14:paraId="386F4355" w14:textId="3EF403A0" w:rsidR="00913600" w:rsidRPr="002D446B" w:rsidRDefault="00212637" w:rsidP="00212637">
      <w:pPr>
        <w:spacing w:line="295" w:lineRule="auto"/>
        <w:rPr>
          <w:sz w:val="23"/>
          <w:szCs w:val="23"/>
        </w:rPr>
      </w:pPr>
      <w:r w:rsidRPr="002D446B">
        <w:rPr>
          <w:sz w:val="23"/>
          <w:szCs w:val="23"/>
        </w:rPr>
        <w:t xml:space="preserve">De acuerdo con el artículo 80 de los Lineamientos, </w:t>
      </w:r>
      <w:r w:rsidR="00392BF8" w:rsidRPr="002D446B">
        <w:rPr>
          <w:sz w:val="23"/>
          <w:szCs w:val="23"/>
        </w:rPr>
        <w:t>las personas Yarelitzel Ovalle Morales, Juana María Acosta Rodríguez, Luis Felipe Ricárdez Medina, Diana Ramos López, Alejandro Haddad Castillo, Ángela Guadalupe Araujo Segura y Christian de Jesús Montejo Córdova</w:t>
      </w:r>
      <w:r w:rsidRPr="002D446B">
        <w:rPr>
          <w:sz w:val="23"/>
          <w:szCs w:val="23"/>
        </w:rPr>
        <w:t xml:space="preserve"> </w:t>
      </w:r>
      <w:r w:rsidR="008F14DC" w:rsidRPr="002D446B">
        <w:rPr>
          <w:sz w:val="23"/>
          <w:szCs w:val="23"/>
        </w:rPr>
        <w:t xml:space="preserve">manifestaron </w:t>
      </w:r>
      <w:r w:rsidRPr="002D446B">
        <w:rPr>
          <w:sz w:val="23"/>
          <w:szCs w:val="23"/>
        </w:rPr>
        <w:t xml:space="preserve">su aceptación por escrito, </w:t>
      </w:r>
      <w:r w:rsidR="00392BF8" w:rsidRPr="002D446B">
        <w:rPr>
          <w:sz w:val="23"/>
          <w:szCs w:val="23"/>
        </w:rPr>
        <w:t xml:space="preserve">dentro del </w:t>
      </w:r>
      <w:r w:rsidRPr="002D446B">
        <w:rPr>
          <w:sz w:val="23"/>
          <w:szCs w:val="23"/>
        </w:rPr>
        <w:t>plazo de 24 horas, contadas a partir de la notificación de la adscripción disponible</w:t>
      </w:r>
      <w:r w:rsidR="00392BF8" w:rsidRPr="002D446B">
        <w:rPr>
          <w:sz w:val="23"/>
          <w:szCs w:val="23"/>
        </w:rPr>
        <w:t xml:space="preserve">. Por su parte, </w:t>
      </w:r>
      <w:r w:rsidR="003C0122" w:rsidRPr="002D446B">
        <w:rPr>
          <w:sz w:val="23"/>
          <w:szCs w:val="23"/>
        </w:rPr>
        <w:t>Monserrat Martínez Beaurregard y Rosario Hernández Agundes declinaron el cargo y adscripción propuestos</w:t>
      </w:r>
      <w:r w:rsidR="00913600" w:rsidRPr="002D446B">
        <w:rPr>
          <w:sz w:val="23"/>
          <w:szCs w:val="23"/>
        </w:rPr>
        <w:t xml:space="preserve">, por lo que se convocó a las siguientes </w:t>
      </w:r>
      <w:r w:rsidRPr="002D446B">
        <w:rPr>
          <w:sz w:val="23"/>
          <w:szCs w:val="23"/>
        </w:rPr>
        <w:t>persona</w:t>
      </w:r>
      <w:r w:rsidR="00913600" w:rsidRPr="002D446B">
        <w:rPr>
          <w:sz w:val="23"/>
          <w:szCs w:val="23"/>
        </w:rPr>
        <w:t>s</w:t>
      </w:r>
      <w:r w:rsidRPr="002D446B">
        <w:rPr>
          <w:sz w:val="23"/>
          <w:szCs w:val="23"/>
        </w:rPr>
        <w:t xml:space="preserve"> de la</w:t>
      </w:r>
      <w:r w:rsidR="00984191" w:rsidRPr="002D446B">
        <w:rPr>
          <w:sz w:val="23"/>
          <w:szCs w:val="23"/>
        </w:rPr>
        <w:t>s</w:t>
      </w:r>
      <w:r w:rsidRPr="002D446B">
        <w:rPr>
          <w:sz w:val="23"/>
          <w:szCs w:val="23"/>
        </w:rPr>
        <w:t xml:space="preserve"> lista</w:t>
      </w:r>
      <w:r w:rsidR="00984191" w:rsidRPr="002D446B">
        <w:rPr>
          <w:sz w:val="23"/>
          <w:szCs w:val="23"/>
        </w:rPr>
        <w:t>s</w:t>
      </w:r>
      <w:r w:rsidRPr="002D446B">
        <w:rPr>
          <w:sz w:val="23"/>
          <w:szCs w:val="23"/>
        </w:rPr>
        <w:t xml:space="preserve"> </w:t>
      </w:r>
      <w:r w:rsidR="00913600" w:rsidRPr="002D446B">
        <w:rPr>
          <w:sz w:val="23"/>
          <w:szCs w:val="23"/>
        </w:rPr>
        <w:t>correspondientes</w:t>
      </w:r>
      <w:r w:rsidRPr="002D446B">
        <w:rPr>
          <w:sz w:val="23"/>
          <w:szCs w:val="23"/>
        </w:rPr>
        <w:t>.</w:t>
      </w:r>
    </w:p>
    <w:p w14:paraId="404190F0" w14:textId="585154A6" w:rsidR="00F05C10" w:rsidRPr="002D446B" w:rsidRDefault="00F05C10" w:rsidP="00F05C10">
      <w:pPr>
        <w:pStyle w:val="Ttulo4"/>
      </w:pPr>
      <w:r w:rsidRPr="002D446B">
        <w:t>Informe sobre ofrecimiento de plazas</w:t>
      </w:r>
    </w:p>
    <w:p w14:paraId="49317D22" w14:textId="4BC30376" w:rsidR="00AC351C" w:rsidRPr="002D446B" w:rsidRDefault="00F05C10" w:rsidP="00F05C10">
      <w:pPr>
        <w:spacing w:line="295" w:lineRule="auto"/>
        <w:rPr>
          <w:sz w:val="23"/>
          <w:szCs w:val="23"/>
        </w:rPr>
      </w:pPr>
      <w:r w:rsidRPr="002D446B">
        <w:rPr>
          <w:sz w:val="23"/>
          <w:szCs w:val="23"/>
        </w:rPr>
        <w:t xml:space="preserve">El 22 de marzo de 2023, la encargada de la Dirección de la Carrera Profesional Electoral de la DESPEN, mediante oficio INE/DESPEN/EDDCPE/520/2023, </w:t>
      </w:r>
      <w:r w:rsidRPr="002D446B">
        <w:rPr>
          <w:sz w:val="23"/>
          <w:szCs w:val="23"/>
        </w:rPr>
        <w:lastRenderedPageBreak/>
        <w:t>comunicó a este Instituto Electoral que el 21 de marzo de 2023 se presentó a la Comisión del Servicio Profesional, en su primera sesión ordinaria, el Informe sobre el ofrecimiento de plazas vacantes del Concurso Público</w:t>
      </w:r>
      <w:r w:rsidR="00AC351C" w:rsidRPr="002D446B">
        <w:rPr>
          <w:sz w:val="23"/>
          <w:szCs w:val="23"/>
        </w:rPr>
        <w:t>, conforme a los datos de las siguientes personas ganadoras en cargos y puestos de este Instituto Electoral:</w:t>
      </w:r>
    </w:p>
    <w:tbl>
      <w:tblPr>
        <w:tblStyle w:val="Tablaconcuadrcula"/>
        <w:tblW w:w="0" w:type="auto"/>
        <w:tblInd w:w="704" w:type="dxa"/>
        <w:tblLook w:val="04A0" w:firstRow="1" w:lastRow="0" w:firstColumn="1" w:lastColumn="0" w:noHBand="0" w:noVBand="1"/>
      </w:tblPr>
      <w:tblGrid>
        <w:gridCol w:w="3686"/>
        <w:gridCol w:w="4394"/>
      </w:tblGrid>
      <w:tr w:rsidR="002D446B" w:rsidRPr="002D446B" w14:paraId="6971D1F7" w14:textId="77777777" w:rsidTr="00AC351C">
        <w:tc>
          <w:tcPr>
            <w:tcW w:w="3686" w:type="dxa"/>
            <w:shd w:val="clear" w:color="auto" w:fill="993366"/>
            <w:vAlign w:val="center"/>
          </w:tcPr>
          <w:p w14:paraId="79EBF7C1" w14:textId="77777777" w:rsidR="00AC351C" w:rsidRPr="002D446B" w:rsidRDefault="00AC351C" w:rsidP="001B4CE6">
            <w:pPr>
              <w:pStyle w:val="Puntos"/>
              <w:spacing w:before="60" w:after="60" w:line="295" w:lineRule="auto"/>
              <w:ind w:left="0"/>
              <w:jc w:val="center"/>
              <w:rPr>
                <w:b/>
                <w:bCs/>
                <w:sz w:val="20"/>
                <w:szCs w:val="20"/>
              </w:rPr>
            </w:pPr>
            <w:r w:rsidRPr="002D446B">
              <w:rPr>
                <w:b/>
                <w:bCs/>
                <w:sz w:val="20"/>
                <w:szCs w:val="20"/>
              </w:rPr>
              <w:t>Nombre</w:t>
            </w:r>
          </w:p>
        </w:tc>
        <w:tc>
          <w:tcPr>
            <w:tcW w:w="4394" w:type="dxa"/>
            <w:shd w:val="clear" w:color="auto" w:fill="993366"/>
            <w:vAlign w:val="center"/>
          </w:tcPr>
          <w:p w14:paraId="6C8C9D0C" w14:textId="77777777" w:rsidR="00AC351C" w:rsidRPr="002D446B" w:rsidRDefault="00AC351C" w:rsidP="001B4CE6">
            <w:pPr>
              <w:pStyle w:val="Puntos"/>
              <w:spacing w:before="60" w:after="60" w:line="295" w:lineRule="auto"/>
              <w:ind w:left="0"/>
              <w:jc w:val="center"/>
              <w:rPr>
                <w:b/>
                <w:bCs/>
                <w:sz w:val="20"/>
                <w:szCs w:val="20"/>
              </w:rPr>
            </w:pPr>
            <w:r w:rsidRPr="002D446B">
              <w:rPr>
                <w:b/>
                <w:bCs/>
                <w:sz w:val="20"/>
                <w:szCs w:val="20"/>
              </w:rPr>
              <w:t>Cargo</w:t>
            </w:r>
          </w:p>
        </w:tc>
      </w:tr>
      <w:tr w:rsidR="002D446B" w:rsidRPr="002D446B" w14:paraId="69E64791" w14:textId="77777777" w:rsidTr="00AC351C">
        <w:tc>
          <w:tcPr>
            <w:tcW w:w="3686" w:type="dxa"/>
            <w:vAlign w:val="center"/>
          </w:tcPr>
          <w:p w14:paraId="4E90CD44"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Elizabeth Ibarra Urióstegui</w:t>
            </w:r>
          </w:p>
        </w:tc>
        <w:tc>
          <w:tcPr>
            <w:tcW w:w="4394" w:type="dxa"/>
            <w:vAlign w:val="center"/>
          </w:tcPr>
          <w:p w14:paraId="241F900F"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Coordinadora de Educación Cívica</w:t>
            </w:r>
          </w:p>
        </w:tc>
      </w:tr>
      <w:tr w:rsidR="002D446B" w:rsidRPr="002D446B" w14:paraId="5DC81ECD" w14:textId="77777777" w:rsidTr="00AC351C">
        <w:tc>
          <w:tcPr>
            <w:tcW w:w="3686" w:type="dxa"/>
            <w:vAlign w:val="center"/>
          </w:tcPr>
          <w:p w14:paraId="425487C0"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Yarelitzel Ovalle Morales</w:t>
            </w:r>
          </w:p>
        </w:tc>
        <w:tc>
          <w:tcPr>
            <w:tcW w:w="4394" w:type="dxa"/>
            <w:vAlign w:val="center"/>
          </w:tcPr>
          <w:p w14:paraId="3FE8B72D"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 xml:space="preserve">Coordinadora de lo Contencioso Electoral </w:t>
            </w:r>
          </w:p>
        </w:tc>
      </w:tr>
      <w:tr w:rsidR="002D446B" w:rsidRPr="002D446B" w14:paraId="09D7AAF8" w14:textId="77777777" w:rsidTr="00AC351C">
        <w:tc>
          <w:tcPr>
            <w:tcW w:w="3686" w:type="dxa"/>
            <w:vAlign w:val="center"/>
          </w:tcPr>
          <w:p w14:paraId="61527610"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Juana María Acosta Rodríguez</w:t>
            </w:r>
          </w:p>
        </w:tc>
        <w:tc>
          <w:tcPr>
            <w:tcW w:w="4394" w:type="dxa"/>
            <w:vAlign w:val="center"/>
          </w:tcPr>
          <w:p w14:paraId="33882A9D"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Coordinadora de Prerrogativas y Partidos Políticos</w:t>
            </w:r>
          </w:p>
        </w:tc>
      </w:tr>
      <w:tr w:rsidR="002D446B" w:rsidRPr="002D446B" w14:paraId="21743FE0" w14:textId="77777777" w:rsidTr="00AC351C">
        <w:tc>
          <w:tcPr>
            <w:tcW w:w="3686" w:type="dxa"/>
            <w:vAlign w:val="center"/>
          </w:tcPr>
          <w:p w14:paraId="31C6AF15"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Luis Felipe Ricárdez Medina</w:t>
            </w:r>
          </w:p>
        </w:tc>
        <w:tc>
          <w:tcPr>
            <w:tcW w:w="4394" w:type="dxa"/>
            <w:vAlign w:val="center"/>
          </w:tcPr>
          <w:p w14:paraId="2E377AF1"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Técnico de lo Contencioso Electoral</w:t>
            </w:r>
          </w:p>
        </w:tc>
      </w:tr>
      <w:tr w:rsidR="002D446B" w:rsidRPr="002D446B" w14:paraId="615900CD" w14:textId="77777777" w:rsidTr="00AC351C">
        <w:tc>
          <w:tcPr>
            <w:tcW w:w="3686" w:type="dxa"/>
            <w:vAlign w:val="center"/>
          </w:tcPr>
          <w:p w14:paraId="03C3436E"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Diana Ramos López</w:t>
            </w:r>
          </w:p>
        </w:tc>
        <w:tc>
          <w:tcPr>
            <w:tcW w:w="4394" w:type="dxa"/>
            <w:vAlign w:val="center"/>
          </w:tcPr>
          <w:p w14:paraId="74FE7846"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Técnica de Organización Electoral</w:t>
            </w:r>
          </w:p>
        </w:tc>
      </w:tr>
      <w:tr w:rsidR="002D446B" w:rsidRPr="002D446B" w14:paraId="1BBE894A" w14:textId="77777777" w:rsidTr="00AC351C">
        <w:tc>
          <w:tcPr>
            <w:tcW w:w="3686" w:type="dxa"/>
            <w:vAlign w:val="center"/>
          </w:tcPr>
          <w:p w14:paraId="2E809D8D"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Alejandro Haddad Castillo</w:t>
            </w:r>
          </w:p>
        </w:tc>
        <w:tc>
          <w:tcPr>
            <w:tcW w:w="4394" w:type="dxa"/>
            <w:vAlign w:val="center"/>
          </w:tcPr>
          <w:p w14:paraId="17290557"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Técnico de Organización Electoral</w:t>
            </w:r>
          </w:p>
        </w:tc>
      </w:tr>
      <w:tr w:rsidR="002D446B" w:rsidRPr="002D446B" w14:paraId="04215D1D" w14:textId="77777777" w:rsidTr="00AC351C">
        <w:tc>
          <w:tcPr>
            <w:tcW w:w="3686" w:type="dxa"/>
            <w:vAlign w:val="center"/>
          </w:tcPr>
          <w:p w14:paraId="77A59593"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Jorge Alberto Saráoz Dozal</w:t>
            </w:r>
          </w:p>
        </w:tc>
        <w:tc>
          <w:tcPr>
            <w:tcW w:w="4394" w:type="dxa"/>
            <w:vAlign w:val="center"/>
          </w:tcPr>
          <w:p w14:paraId="2668235D"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Técnico de Participación Ciudadana</w:t>
            </w:r>
          </w:p>
        </w:tc>
      </w:tr>
      <w:tr w:rsidR="002D446B" w:rsidRPr="002D446B" w14:paraId="7FE53E9C" w14:textId="77777777" w:rsidTr="00AC351C">
        <w:tc>
          <w:tcPr>
            <w:tcW w:w="3686" w:type="dxa"/>
            <w:vAlign w:val="center"/>
          </w:tcPr>
          <w:p w14:paraId="0EFDC91A"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Ángela Guadalupe Araujo Segura</w:t>
            </w:r>
          </w:p>
        </w:tc>
        <w:tc>
          <w:tcPr>
            <w:tcW w:w="4394" w:type="dxa"/>
            <w:vAlign w:val="center"/>
          </w:tcPr>
          <w:p w14:paraId="39189A53"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Técnico de Prerrogativas y Partidos Políticos</w:t>
            </w:r>
          </w:p>
        </w:tc>
      </w:tr>
      <w:tr w:rsidR="002D446B" w:rsidRPr="002D446B" w14:paraId="3A51AE87" w14:textId="77777777" w:rsidTr="00AC351C">
        <w:tc>
          <w:tcPr>
            <w:tcW w:w="3686" w:type="dxa"/>
            <w:vAlign w:val="center"/>
          </w:tcPr>
          <w:p w14:paraId="189FEC6C"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Christian de Jesús Montejo Córdova</w:t>
            </w:r>
          </w:p>
        </w:tc>
        <w:tc>
          <w:tcPr>
            <w:tcW w:w="4394" w:type="dxa"/>
            <w:vAlign w:val="center"/>
          </w:tcPr>
          <w:p w14:paraId="4A3DA78D" w14:textId="77777777" w:rsidR="00AC351C" w:rsidRPr="002D446B" w:rsidRDefault="00AC351C" w:rsidP="001B4CE6">
            <w:pPr>
              <w:pStyle w:val="Puntos"/>
              <w:spacing w:before="60" w:after="60" w:line="295" w:lineRule="auto"/>
              <w:ind w:left="0"/>
              <w:rPr>
                <w:b/>
                <w:bCs/>
                <w:sz w:val="20"/>
                <w:szCs w:val="20"/>
              </w:rPr>
            </w:pPr>
            <w:r w:rsidRPr="002D446B">
              <w:rPr>
                <w:b/>
                <w:bCs/>
                <w:sz w:val="20"/>
                <w:szCs w:val="20"/>
              </w:rPr>
              <w:t>Técnico de Prerrogativas y Partidos Políticos</w:t>
            </w:r>
          </w:p>
        </w:tc>
      </w:tr>
    </w:tbl>
    <w:p w14:paraId="28E08C90" w14:textId="77777777" w:rsidR="009D016D" w:rsidRPr="002D446B" w:rsidRDefault="000F49A3" w:rsidP="009D016D">
      <w:pPr>
        <w:spacing w:before="240" w:line="295" w:lineRule="auto"/>
        <w:rPr>
          <w:sz w:val="23"/>
          <w:szCs w:val="23"/>
        </w:rPr>
      </w:pPr>
      <w:r w:rsidRPr="002D446B">
        <w:rPr>
          <w:sz w:val="23"/>
          <w:szCs w:val="23"/>
        </w:rPr>
        <w:t>L</w:t>
      </w:r>
      <w:r w:rsidR="00F05C10" w:rsidRPr="002D446B">
        <w:rPr>
          <w:sz w:val="23"/>
          <w:szCs w:val="23"/>
        </w:rPr>
        <w:t>a autoridad mencionada solicitó que tales propuestas fuesen presentadas al órgano superior de dirección de</w:t>
      </w:r>
      <w:r w:rsidR="00A06EF3" w:rsidRPr="002D446B">
        <w:rPr>
          <w:sz w:val="23"/>
          <w:szCs w:val="23"/>
        </w:rPr>
        <w:t>l</w:t>
      </w:r>
      <w:r w:rsidR="00F05C10" w:rsidRPr="002D446B">
        <w:rPr>
          <w:sz w:val="23"/>
          <w:szCs w:val="23"/>
        </w:rPr>
        <w:t xml:space="preserve"> </w:t>
      </w:r>
      <w:r w:rsidR="00A06EF3" w:rsidRPr="002D446B">
        <w:rPr>
          <w:sz w:val="23"/>
          <w:szCs w:val="23"/>
        </w:rPr>
        <w:t>organismo electoral</w:t>
      </w:r>
      <w:r w:rsidR="00F05C10" w:rsidRPr="002D446B">
        <w:rPr>
          <w:sz w:val="23"/>
          <w:szCs w:val="23"/>
        </w:rPr>
        <w:t xml:space="preserve">, para su aprobación mediante el acuerdo respectivo. </w:t>
      </w:r>
    </w:p>
    <w:p w14:paraId="5BE45CD5" w14:textId="75ADCCDB" w:rsidR="009D016D" w:rsidRPr="002D446B" w:rsidRDefault="006D086C" w:rsidP="000250D0">
      <w:pPr>
        <w:pStyle w:val="Ttulo2"/>
        <w:spacing w:before="100" w:beforeAutospacing="1" w:after="100" w:afterAutospacing="1" w:line="240" w:lineRule="auto"/>
        <w:contextualSpacing/>
      </w:pPr>
      <w:r w:rsidRPr="002D446B">
        <w:t>Verificación de posible conflicto de interés</w:t>
      </w:r>
    </w:p>
    <w:p w14:paraId="0A15A003" w14:textId="12C8CA29" w:rsidR="00F1238E" w:rsidRPr="002D446B" w:rsidRDefault="00F1238E" w:rsidP="000250D0">
      <w:pPr>
        <w:spacing w:before="100" w:beforeAutospacing="1" w:after="100" w:afterAutospacing="1" w:line="276" w:lineRule="auto"/>
        <w:contextualSpacing/>
        <w:rPr>
          <w:b/>
          <w:sz w:val="23"/>
          <w:szCs w:val="23"/>
        </w:rPr>
      </w:pPr>
      <w:r w:rsidRPr="002D446B">
        <w:rPr>
          <w:sz w:val="23"/>
          <w:szCs w:val="23"/>
        </w:rPr>
        <w:t xml:space="preserve">El 14 de marzo de 2023, </w:t>
      </w:r>
      <w:r w:rsidR="004C0175" w:rsidRPr="002D446B">
        <w:rPr>
          <w:sz w:val="23"/>
          <w:szCs w:val="23"/>
        </w:rPr>
        <w:t xml:space="preserve">la licenciada Karla Sofía Sandoval Domínguez, </w:t>
      </w:r>
      <w:r w:rsidRPr="002D446B">
        <w:rPr>
          <w:sz w:val="23"/>
          <w:szCs w:val="23"/>
        </w:rPr>
        <w:t xml:space="preserve">encargada de despacho de la Dirección de la Carrera Profesional Electoral de la DESPEN, mediante oficio INE/DESPEN/EDDCPE/509/2023, solicitó someter a consideración del órgano interno de control, así como </w:t>
      </w:r>
      <w:r w:rsidR="007C48E4" w:rsidRPr="002D446B">
        <w:rPr>
          <w:sz w:val="23"/>
          <w:szCs w:val="23"/>
        </w:rPr>
        <w:t xml:space="preserve">a </w:t>
      </w:r>
      <w:r w:rsidRPr="002D446B">
        <w:rPr>
          <w:sz w:val="23"/>
          <w:szCs w:val="23"/>
        </w:rPr>
        <w:t>una instancia jurídica, una opinión legal y verificación</w:t>
      </w:r>
      <w:r w:rsidR="007500D7" w:rsidRPr="002D446B">
        <w:rPr>
          <w:sz w:val="23"/>
          <w:szCs w:val="23"/>
        </w:rPr>
        <w:t xml:space="preserve"> sobre</w:t>
      </w:r>
      <w:r w:rsidRPr="002D446B">
        <w:rPr>
          <w:sz w:val="23"/>
          <w:szCs w:val="23"/>
        </w:rPr>
        <w:t xml:space="preserve"> la existencia de algún conflicto de interés  derivad</w:t>
      </w:r>
      <w:r w:rsidR="007500D7" w:rsidRPr="002D446B">
        <w:rPr>
          <w:sz w:val="23"/>
          <w:szCs w:val="23"/>
        </w:rPr>
        <w:t>o</w:t>
      </w:r>
      <w:r w:rsidRPr="002D446B">
        <w:rPr>
          <w:sz w:val="23"/>
          <w:szCs w:val="23"/>
        </w:rPr>
        <w:t xml:space="preserve"> de la aceptación de la aspirante al cargo de la Coordinadora de lo Contencioso Electoral, en virtud, de encontrarse en una relación matrimonial con el titular de la Dirección Jurídica del Instituto. </w:t>
      </w:r>
    </w:p>
    <w:p w14:paraId="7AA84DFB" w14:textId="3C6D500E" w:rsidR="00F1238E" w:rsidRPr="002D446B" w:rsidRDefault="00F1238E" w:rsidP="00F1238E">
      <w:pPr>
        <w:spacing w:before="240" w:line="295" w:lineRule="auto"/>
        <w:rPr>
          <w:sz w:val="23"/>
          <w:szCs w:val="23"/>
        </w:rPr>
      </w:pPr>
      <w:r w:rsidRPr="002D446B">
        <w:rPr>
          <w:sz w:val="23"/>
          <w:szCs w:val="23"/>
        </w:rPr>
        <w:lastRenderedPageBreak/>
        <w:t xml:space="preserve">El 22 de marzo de 2023, la Contraloría </w:t>
      </w:r>
      <w:r w:rsidR="004C4CCD" w:rsidRPr="002D446B">
        <w:rPr>
          <w:sz w:val="23"/>
          <w:szCs w:val="23"/>
        </w:rPr>
        <w:t xml:space="preserve">General </w:t>
      </w:r>
      <w:r w:rsidRPr="002D446B">
        <w:rPr>
          <w:sz w:val="23"/>
          <w:szCs w:val="23"/>
        </w:rPr>
        <w:t>del Instituto</w:t>
      </w:r>
      <w:r w:rsidR="004C4CCD" w:rsidRPr="002D446B">
        <w:rPr>
          <w:sz w:val="23"/>
          <w:szCs w:val="23"/>
        </w:rPr>
        <w:t xml:space="preserve"> mediante oficio CG/115/2023</w:t>
      </w:r>
      <w:r w:rsidRPr="002D446B">
        <w:rPr>
          <w:sz w:val="23"/>
          <w:szCs w:val="23"/>
        </w:rPr>
        <w:t xml:space="preserve"> opinó que, de la revisión a los lineamientos del Concurso Público para el ingreso al Servicio Profesional Electoral Nacional del Sistema de los Organismos Públicos Locales, tácitamente</w:t>
      </w:r>
      <w:r w:rsidR="007500D7" w:rsidRPr="002D446B">
        <w:rPr>
          <w:sz w:val="23"/>
          <w:szCs w:val="23"/>
        </w:rPr>
        <w:t xml:space="preserve"> no existe un impedimento para </w:t>
      </w:r>
      <w:r w:rsidRPr="002D446B">
        <w:rPr>
          <w:sz w:val="23"/>
          <w:szCs w:val="23"/>
        </w:rPr>
        <w:t>las personas con algún parentesco por afinidad o consanguinidad hasta el cuarto grado o de carácter civil con cualquiera persona que se encuentre prestando se</w:t>
      </w:r>
      <w:r w:rsidR="00FC15EC" w:rsidRPr="002D446B">
        <w:rPr>
          <w:sz w:val="23"/>
          <w:szCs w:val="23"/>
        </w:rPr>
        <w:t xml:space="preserve">rvicios al Instituto Electoral, señalando que podría existir el riesgo continuo de posible afectación o conflicto en el desempeño imparcial, responsable y objetivo. </w:t>
      </w:r>
      <w:r w:rsidR="007F070A" w:rsidRPr="002D446B">
        <w:rPr>
          <w:sz w:val="23"/>
          <w:szCs w:val="23"/>
        </w:rPr>
        <w:t>Asimismo,</w:t>
      </w:r>
      <w:r w:rsidR="002D446B" w:rsidRPr="002D446B">
        <w:rPr>
          <w:sz w:val="23"/>
          <w:szCs w:val="23"/>
        </w:rPr>
        <w:t xml:space="preserve"> informó</w:t>
      </w:r>
      <w:r w:rsidR="00FC15EC" w:rsidRPr="002D446B">
        <w:rPr>
          <w:sz w:val="23"/>
          <w:szCs w:val="23"/>
        </w:rPr>
        <w:t xml:space="preserve"> que se encuentra </w:t>
      </w:r>
      <w:r w:rsidR="007F070A" w:rsidRPr="002D446B">
        <w:rPr>
          <w:sz w:val="23"/>
          <w:szCs w:val="23"/>
        </w:rPr>
        <w:t xml:space="preserve">investigando hechos que pudieran constituir faltas administrativas en el desarrollo de las actividades de la Convocatoria correspondiente. </w:t>
      </w:r>
    </w:p>
    <w:p w14:paraId="25C48D8C" w14:textId="30737D5D" w:rsidR="00F1238E" w:rsidRPr="002D446B" w:rsidRDefault="00F1238E" w:rsidP="00F1238E">
      <w:pPr>
        <w:spacing w:before="240" w:line="295" w:lineRule="auto"/>
        <w:rPr>
          <w:sz w:val="23"/>
          <w:szCs w:val="23"/>
        </w:rPr>
      </w:pPr>
      <w:r w:rsidRPr="002D446B">
        <w:rPr>
          <w:sz w:val="23"/>
          <w:szCs w:val="23"/>
        </w:rPr>
        <w:t xml:space="preserve">Con esa misma fecha, el titular de la Secretaría Ejecutiva </w:t>
      </w:r>
      <w:r w:rsidR="004C4CCD" w:rsidRPr="002D446B">
        <w:rPr>
          <w:sz w:val="23"/>
          <w:szCs w:val="23"/>
        </w:rPr>
        <w:t xml:space="preserve">mediante oficio SE/295/2023 </w:t>
      </w:r>
      <w:r w:rsidRPr="002D446B">
        <w:rPr>
          <w:sz w:val="23"/>
          <w:szCs w:val="23"/>
        </w:rPr>
        <w:t>opinó que</w:t>
      </w:r>
      <w:r w:rsidR="004C4CCD" w:rsidRPr="002D446B">
        <w:rPr>
          <w:sz w:val="23"/>
          <w:szCs w:val="23"/>
        </w:rPr>
        <w:t>, de</w:t>
      </w:r>
      <w:r w:rsidRPr="002D446B">
        <w:rPr>
          <w:sz w:val="23"/>
          <w:szCs w:val="23"/>
        </w:rPr>
        <w:t xml:space="preserve"> la relación de subordinación existente en</w:t>
      </w:r>
      <w:r w:rsidR="006A5665" w:rsidRPr="002D446B">
        <w:rPr>
          <w:sz w:val="23"/>
          <w:szCs w:val="23"/>
        </w:rPr>
        <w:t>tre</w:t>
      </w:r>
      <w:r w:rsidRPr="002D446B">
        <w:rPr>
          <w:sz w:val="23"/>
          <w:szCs w:val="23"/>
        </w:rPr>
        <w:t xml:space="preserve"> la Dirección Jurídica y la Coordinación de lo Contencioso, no se advierte conflicto de interés alguno</w:t>
      </w:r>
      <w:r w:rsidR="00EE4D92" w:rsidRPr="002D446B">
        <w:rPr>
          <w:sz w:val="23"/>
          <w:szCs w:val="23"/>
        </w:rPr>
        <w:t>,</w:t>
      </w:r>
      <w:r w:rsidRPr="002D446B">
        <w:rPr>
          <w:sz w:val="23"/>
          <w:szCs w:val="23"/>
        </w:rPr>
        <w:t xml:space="preserve"> </w:t>
      </w:r>
      <w:r w:rsidR="00EE4D92" w:rsidRPr="002D446B">
        <w:rPr>
          <w:sz w:val="23"/>
          <w:szCs w:val="23"/>
        </w:rPr>
        <w:t>y</w:t>
      </w:r>
      <w:r w:rsidRPr="002D446B">
        <w:rPr>
          <w:sz w:val="23"/>
          <w:szCs w:val="23"/>
        </w:rPr>
        <w:t>a que</w:t>
      </w:r>
      <w:r w:rsidR="00EE4D92" w:rsidRPr="002D446B">
        <w:rPr>
          <w:sz w:val="23"/>
          <w:szCs w:val="23"/>
        </w:rPr>
        <w:t>,</w:t>
      </w:r>
      <w:r w:rsidRPr="002D446B">
        <w:rPr>
          <w:sz w:val="23"/>
          <w:szCs w:val="23"/>
        </w:rPr>
        <w:t xml:space="preserve"> de conformidad con los artículos 350, numeral 1, fracción III y 361, numeral 1 de la Ley Electoral, es atribución exclusiva de la Secretaría</w:t>
      </w:r>
      <w:r w:rsidR="00EE4D92" w:rsidRPr="002D446B">
        <w:rPr>
          <w:sz w:val="23"/>
          <w:szCs w:val="23"/>
        </w:rPr>
        <w:t xml:space="preserve"> Ejecutiva</w:t>
      </w:r>
      <w:r w:rsidRPr="002D446B">
        <w:rPr>
          <w:sz w:val="23"/>
          <w:szCs w:val="23"/>
        </w:rPr>
        <w:t>, tramitar y resolver los diversos procedimientos sancionadores, por lo que la Coordinación</w:t>
      </w:r>
      <w:r w:rsidR="006A5665" w:rsidRPr="002D446B">
        <w:rPr>
          <w:sz w:val="23"/>
          <w:szCs w:val="23"/>
        </w:rPr>
        <w:t xml:space="preserve"> aludida</w:t>
      </w:r>
      <w:r w:rsidRPr="002D446B">
        <w:rPr>
          <w:sz w:val="23"/>
          <w:szCs w:val="23"/>
        </w:rPr>
        <w:t xml:space="preserve"> funge únicamente como auxiliar en los procedimientos</w:t>
      </w:r>
      <w:r w:rsidR="004C4CCD" w:rsidRPr="002D446B">
        <w:rPr>
          <w:sz w:val="23"/>
          <w:szCs w:val="23"/>
        </w:rPr>
        <w:t xml:space="preserve"> de tal naturaleza</w:t>
      </w:r>
      <w:r w:rsidRPr="002D446B">
        <w:rPr>
          <w:sz w:val="23"/>
          <w:szCs w:val="23"/>
        </w:rPr>
        <w:t>. Asimismo, refirió que dicha Coordinación, no determina ni propone el sentido de las resoluciones, y se encuentra adscrita a su c</w:t>
      </w:r>
      <w:r w:rsidR="004C4CCD" w:rsidRPr="002D446B">
        <w:rPr>
          <w:sz w:val="23"/>
          <w:szCs w:val="23"/>
        </w:rPr>
        <w:t>argo, de ahí que no se advierta</w:t>
      </w:r>
      <w:r w:rsidRPr="002D446B">
        <w:rPr>
          <w:sz w:val="23"/>
          <w:szCs w:val="23"/>
        </w:rPr>
        <w:t xml:space="preserve"> algún tipo de interés familiar, personal o negocio previsto en el artículo 3, fracción VI, de la Ley General de Responsabilidades Administrativas. </w:t>
      </w:r>
    </w:p>
    <w:p w14:paraId="599D20DD" w14:textId="00CC0BFF" w:rsidR="006A5665" w:rsidRPr="002D446B" w:rsidRDefault="006A5665" w:rsidP="00F1238E">
      <w:pPr>
        <w:spacing w:before="240" w:line="295" w:lineRule="auto"/>
        <w:rPr>
          <w:sz w:val="23"/>
          <w:szCs w:val="23"/>
        </w:rPr>
      </w:pPr>
      <w:r w:rsidRPr="002D446B">
        <w:rPr>
          <w:sz w:val="23"/>
          <w:szCs w:val="23"/>
        </w:rPr>
        <w:t>El 28 de marzo de 2023,</w:t>
      </w:r>
      <w:r w:rsidR="00737FE4" w:rsidRPr="002D446B">
        <w:rPr>
          <w:sz w:val="23"/>
          <w:szCs w:val="23"/>
        </w:rPr>
        <w:t xml:space="preserve"> mediante el oficio S.E./0321/2023</w:t>
      </w:r>
      <w:r w:rsidRPr="002D446B">
        <w:rPr>
          <w:sz w:val="23"/>
          <w:szCs w:val="23"/>
        </w:rPr>
        <w:t xml:space="preserve"> el titular de la Secretaría Ej</w:t>
      </w:r>
      <w:r w:rsidR="00737FE4" w:rsidRPr="002D446B">
        <w:rPr>
          <w:sz w:val="23"/>
          <w:szCs w:val="23"/>
        </w:rPr>
        <w:t xml:space="preserve">ecutiva informó a la encargada de despacho de la Dirección de la Carrera Profesional Electoral del INE, la remisión de las opiniones jurídicas antes referidas, </w:t>
      </w:r>
      <w:r w:rsidR="00257C13" w:rsidRPr="002D446B">
        <w:rPr>
          <w:sz w:val="23"/>
          <w:szCs w:val="23"/>
        </w:rPr>
        <w:t>consultando si existía algún impedimento para que el Consejo Estatal apruebe</w:t>
      </w:r>
      <w:r w:rsidR="005E5AF2" w:rsidRPr="002D446B">
        <w:rPr>
          <w:sz w:val="23"/>
          <w:szCs w:val="23"/>
        </w:rPr>
        <w:t xml:space="preserve"> el</w:t>
      </w:r>
      <w:r w:rsidR="002D446B" w:rsidRPr="002D446B">
        <w:rPr>
          <w:sz w:val="23"/>
          <w:szCs w:val="23"/>
        </w:rPr>
        <w:t xml:space="preserve"> acuerdo correspondiente a la</w:t>
      </w:r>
      <w:r w:rsidR="00257C13" w:rsidRPr="002D446B">
        <w:rPr>
          <w:sz w:val="23"/>
          <w:szCs w:val="23"/>
        </w:rPr>
        <w:t xml:space="preserve"> </w:t>
      </w:r>
      <w:r w:rsidR="002D446B" w:rsidRPr="002D446B">
        <w:rPr>
          <w:sz w:val="23"/>
          <w:szCs w:val="23"/>
        </w:rPr>
        <w:t>designación</w:t>
      </w:r>
      <w:r w:rsidR="00257C13" w:rsidRPr="002D446B">
        <w:rPr>
          <w:sz w:val="23"/>
          <w:szCs w:val="23"/>
        </w:rPr>
        <w:t xml:space="preserve"> del personal </w:t>
      </w:r>
      <w:r w:rsidR="002D446B" w:rsidRPr="002D446B">
        <w:rPr>
          <w:sz w:val="23"/>
          <w:szCs w:val="23"/>
        </w:rPr>
        <w:t>del</w:t>
      </w:r>
      <w:r w:rsidR="00257C13" w:rsidRPr="002D446B">
        <w:rPr>
          <w:sz w:val="23"/>
          <w:szCs w:val="23"/>
        </w:rPr>
        <w:t xml:space="preserve"> Servicio Profesional Electoral.</w:t>
      </w:r>
    </w:p>
    <w:p w14:paraId="0076F4FA" w14:textId="7FEC2991" w:rsidR="00F1238E" w:rsidRPr="002D446B" w:rsidRDefault="00257C13" w:rsidP="00603E7C">
      <w:pPr>
        <w:spacing w:before="240" w:line="295" w:lineRule="auto"/>
        <w:ind w:left="567"/>
        <w:rPr>
          <w:sz w:val="23"/>
          <w:szCs w:val="23"/>
        </w:rPr>
      </w:pPr>
      <w:r w:rsidRPr="002D446B">
        <w:rPr>
          <w:sz w:val="23"/>
          <w:szCs w:val="23"/>
        </w:rPr>
        <w:t>En ese sentido, e</w:t>
      </w:r>
      <w:r w:rsidR="006A5665" w:rsidRPr="002D446B">
        <w:rPr>
          <w:sz w:val="23"/>
          <w:szCs w:val="23"/>
        </w:rPr>
        <w:t>l 31</w:t>
      </w:r>
      <w:r w:rsidR="00F1238E" w:rsidRPr="002D446B">
        <w:rPr>
          <w:sz w:val="23"/>
          <w:szCs w:val="23"/>
        </w:rPr>
        <w:t xml:space="preserve"> de marzo de 2023, la </w:t>
      </w:r>
      <w:r w:rsidR="004C0175" w:rsidRPr="002D446B">
        <w:rPr>
          <w:sz w:val="23"/>
          <w:szCs w:val="23"/>
        </w:rPr>
        <w:t>Encargada de D</w:t>
      </w:r>
      <w:r w:rsidR="00F1238E" w:rsidRPr="002D446B">
        <w:rPr>
          <w:sz w:val="23"/>
          <w:szCs w:val="23"/>
        </w:rPr>
        <w:t xml:space="preserve">espacho de la Dirección de la Carrera Profesional Electoral de la DESPEN, </w:t>
      </w:r>
      <w:r w:rsidR="00216D5F" w:rsidRPr="002D446B">
        <w:rPr>
          <w:sz w:val="23"/>
          <w:szCs w:val="23"/>
        </w:rPr>
        <w:t>remitió el</w:t>
      </w:r>
      <w:r w:rsidR="00F1238E" w:rsidRPr="002D446B">
        <w:rPr>
          <w:sz w:val="23"/>
          <w:szCs w:val="23"/>
        </w:rPr>
        <w:t xml:space="preserve"> oficio INE/DESPEN/EDDCPE/539/2023, </w:t>
      </w:r>
      <w:r w:rsidR="00216D5F" w:rsidRPr="002D446B">
        <w:rPr>
          <w:sz w:val="23"/>
          <w:szCs w:val="23"/>
        </w:rPr>
        <w:t xml:space="preserve">mediante el cual </w:t>
      </w:r>
      <w:r w:rsidRPr="002D446B">
        <w:rPr>
          <w:sz w:val="23"/>
          <w:szCs w:val="23"/>
        </w:rPr>
        <w:t>i</w:t>
      </w:r>
      <w:r w:rsidR="00F1238E" w:rsidRPr="002D446B">
        <w:rPr>
          <w:sz w:val="23"/>
          <w:szCs w:val="23"/>
        </w:rPr>
        <w:t>nformó que el Órgano Superior de Dirección</w:t>
      </w:r>
      <w:r w:rsidR="006A5665" w:rsidRPr="002D446B">
        <w:rPr>
          <w:sz w:val="23"/>
          <w:szCs w:val="23"/>
        </w:rPr>
        <w:t xml:space="preserve"> de este Instituto</w:t>
      </w:r>
      <w:r w:rsidR="00F1238E" w:rsidRPr="002D446B">
        <w:rPr>
          <w:sz w:val="23"/>
          <w:szCs w:val="23"/>
        </w:rPr>
        <w:t xml:space="preserve">, es la instancia facultada para aprobar la </w:t>
      </w:r>
      <w:r w:rsidR="00F1238E" w:rsidRPr="002D446B">
        <w:rPr>
          <w:sz w:val="23"/>
          <w:szCs w:val="23"/>
        </w:rPr>
        <w:lastRenderedPageBreak/>
        <w:t xml:space="preserve">designación de las personas ganadoras del Concurso público, </w:t>
      </w:r>
      <w:r w:rsidR="00603E7C" w:rsidRPr="002D446B">
        <w:rPr>
          <w:sz w:val="23"/>
          <w:szCs w:val="23"/>
        </w:rPr>
        <w:t>debiendo valora</w:t>
      </w:r>
      <w:r w:rsidR="008C515F" w:rsidRPr="002D446B">
        <w:rPr>
          <w:sz w:val="23"/>
          <w:szCs w:val="23"/>
        </w:rPr>
        <w:t>r</w:t>
      </w:r>
      <w:r w:rsidR="00F1238E" w:rsidRPr="002D446B">
        <w:rPr>
          <w:sz w:val="23"/>
          <w:szCs w:val="23"/>
        </w:rPr>
        <w:t xml:space="preserve"> así los argumentos expuestos</w:t>
      </w:r>
      <w:r w:rsidR="00603E7C" w:rsidRPr="002D446B">
        <w:rPr>
          <w:sz w:val="23"/>
          <w:szCs w:val="23"/>
        </w:rPr>
        <w:t xml:space="preserve"> tanto por la Secretaría Ejecutiva como por</w:t>
      </w:r>
      <w:r w:rsidR="00F1238E" w:rsidRPr="002D446B">
        <w:rPr>
          <w:sz w:val="23"/>
          <w:szCs w:val="23"/>
        </w:rPr>
        <w:t xml:space="preserve"> el Órgano Interno de Control ante la eventual presencia de un conflicto de interés. </w:t>
      </w:r>
    </w:p>
    <w:p w14:paraId="2C3E5BA4" w14:textId="19E36C8A" w:rsidR="008C515F" w:rsidRPr="002D446B" w:rsidRDefault="000F077F" w:rsidP="00056CEF">
      <w:pPr>
        <w:spacing w:before="240" w:line="295" w:lineRule="auto"/>
        <w:rPr>
          <w:sz w:val="23"/>
          <w:szCs w:val="23"/>
        </w:rPr>
      </w:pPr>
      <w:r w:rsidRPr="002D446B">
        <w:rPr>
          <w:sz w:val="23"/>
          <w:szCs w:val="23"/>
        </w:rPr>
        <w:t>Bajo ese tenor,</w:t>
      </w:r>
      <w:r w:rsidR="00F1238E" w:rsidRPr="002D446B">
        <w:rPr>
          <w:sz w:val="23"/>
          <w:szCs w:val="23"/>
        </w:rPr>
        <w:t xml:space="preserve"> </w:t>
      </w:r>
      <w:r w:rsidR="00056CEF" w:rsidRPr="002D446B">
        <w:rPr>
          <w:sz w:val="23"/>
          <w:szCs w:val="23"/>
        </w:rPr>
        <w:t xml:space="preserve">se </w:t>
      </w:r>
      <w:r w:rsidR="00F1238E" w:rsidRPr="002D446B">
        <w:rPr>
          <w:sz w:val="23"/>
          <w:szCs w:val="23"/>
        </w:rPr>
        <w:t xml:space="preserve">estima que entre las titularidades de la Dirección Jurídica y la Coordinación de lo Contencioso </w:t>
      </w:r>
      <w:r w:rsidRPr="002D446B">
        <w:rPr>
          <w:sz w:val="23"/>
          <w:szCs w:val="23"/>
        </w:rPr>
        <w:t xml:space="preserve">Electoral </w:t>
      </w:r>
      <w:r w:rsidR="00F1238E" w:rsidRPr="002D446B">
        <w:rPr>
          <w:sz w:val="23"/>
          <w:szCs w:val="23"/>
        </w:rPr>
        <w:t>no se está ante la presencia de</w:t>
      </w:r>
      <w:r w:rsidR="001D1FE0" w:rsidRPr="002D446B">
        <w:rPr>
          <w:sz w:val="23"/>
          <w:szCs w:val="23"/>
        </w:rPr>
        <w:t xml:space="preserve"> </w:t>
      </w:r>
      <w:r w:rsidRPr="002D446B">
        <w:rPr>
          <w:sz w:val="23"/>
          <w:szCs w:val="23"/>
        </w:rPr>
        <w:t>algún posible conflicto de interés</w:t>
      </w:r>
      <w:r w:rsidR="00F1238E" w:rsidRPr="002D446B">
        <w:rPr>
          <w:sz w:val="23"/>
          <w:szCs w:val="23"/>
        </w:rPr>
        <w:t>,</w:t>
      </w:r>
      <w:r w:rsidR="00DC5E9D" w:rsidRPr="002D446B">
        <w:rPr>
          <w:sz w:val="23"/>
          <w:szCs w:val="23"/>
        </w:rPr>
        <w:t xml:space="preserve"> máxime que, desde el 30 de noviembre de 2022, el titular de la Dirección Jurídica se excusó de conocer del proceso de selección con motivo de la Convocatoria</w:t>
      </w:r>
      <w:r w:rsidR="00056CEF" w:rsidRPr="002D446B">
        <w:rPr>
          <w:sz w:val="23"/>
          <w:szCs w:val="23"/>
        </w:rPr>
        <w:t xml:space="preserve"> del Concurso Público 2022-2023, </w:t>
      </w:r>
      <w:r w:rsidRPr="002D446B">
        <w:rPr>
          <w:sz w:val="23"/>
          <w:szCs w:val="23"/>
        </w:rPr>
        <w:t>circunstancia</w:t>
      </w:r>
      <w:r w:rsidR="008C515F" w:rsidRPr="002D446B">
        <w:rPr>
          <w:sz w:val="23"/>
          <w:szCs w:val="23"/>
        </w:rPr>
        <w:t xml:space="preserve"> acorde al artículo 71, fracción XII del Estatuto del Servicio Profesional y de la Rama Administrativa; 18 de los Lineamientos; Base </w:t>
      </w:r>
      <w:r w:rsidR="002D446B" w:rsidRPr="002D446B">
        <w:rPr>
          <w:sz w:val="23"/>
          <w:szCs w:val="23"/>
        </w:rPr>
        <w:t>X</w:t>
      </w:r>
      <w:r w:rsidR="008C515F" w:rsidRPr="002D446B">
        <w:rPr>
          <w:sz w:val="23"/>
          <w:szCs w:val="23"/>
        </w:rPr>
        <w:t xml:space="preserve">, numeral 5 de la Convocatoria aprobada mediante acuerdo INE/JGE190/2022 de la Junta General Ejecutiva del INE, que </w:t>
      </w:r>
      <w:r w:rsidRPr="002D446B">
        <w:rPr>
          <w:sz w:val="23"/>
          <w:szCs w:val="23"/>
        </w:rPr>
        <w:t>estableció</w:t>
      </w:r>
      <w:r w:rsidR="008C515F" w:rsidRPr="002D446B">
        <w:rPr>
          <w:sz w:val="23"/>
          <w:szCs w:val="23"/>
        </w:rPr>
        <w:t xml:space="preserve"> que el personal o cualquier persona prestadora o prestador de servicios del Instituto Electoral que tuviera conocimiento de la participación como aspirante de alguna persona que guarde con ella parentesco por afinidad o consanguinidad hasta el cuarto grado o de carácter </w:t>
      </w:r>
      <w:r w:rsidR="001D1FE0" w:rsidRPr="002D446B">
        <w:rPr>
          <w:sz w:val="23"/>
          <w:szCs w:val="23"/>
        </w:rPr>
        <w:t>civil, debía</w:t>
      </w:r>
      <w:r w:rsidRPr="002D446B">
        <w:rPr>
          <w:sz w:val="23"/>
          <w:szCs w:val="23"/>
        </w:rPr>
        <w:t xml:space="preserve"> presentar</w:t>
      </w:r>
      <w:r w:rsidR="001D1FE0" w:rsidRPr="002D446B">
        <w:rPr>
          <w:sz w:val="23"/>
          <w:szCs w:val="23"/>
        </w:rPr>
        <w:t xml:space="preserve"> excusa para intervenir en el desarrollo y la operación del concurso público</w:t>
      </w:r>
      <w:r w:rsidRPr="002D446B">
        <w:rPr>
          <w:sz w:val="23"/>
          <w:szCs w:val="23"/>
        </w:rPr>
        <w:t>, mediante escrito</w:t>
      </w:r>
      <w:r w:rsidR="001D1FE0" w:rsidRPr="002D446B">
        <w:rPr>
          <w:sz w:val="23"/>
          <w:szCs w:val="23"/>
        </w:rPr>
        <w:t xml:space="preserve"> dirigido a la titularidad de la </w:t>
      </w:r>
      <w:r w:rsidRPr="002D446B">
        <w:rPr>
          <w:sz w:val="23"/>
          <w:szCs w:val="23"/>
        </w:rPr>
        <w:t>DESPEN o a</w:t>
      </w:r>
      <w:r w:rsidR="001D1FE0" w:rsidRPr="002D446B">
        <w:rPr>
          <w:sz w:val="23"/>
          <w:szCs w:val="23"/>
        </w:rPr>
        <w:t>l Órgano de Enlace que según corresponda.</w:t>
      </w:r>
    </w:p>
    <w:p w14:paraId="1BE63DC9" w14:textId="491C97C4" w:rsidR="00056CEF" w:rsidRPr="002D446B" w:rsidRDefault="001D1FE0" w:rsidP="00056CEF">
      <w:pPr>
        <w:spacing w:before="240" w:line="295" w:lineRule="auto"/>
        <w:rPr>
          <w:sz w:val="23"/>
          <w:szCs w:val="23"/>
        </w:rPr>
      </w:pPr>
      <w:r w:rsidRPr="002D446B">
        <w:rPr>
          <w:sz w:val="23"/>
          <w:szCs w:val="23"/>
        </w:rPr>
        <w:t>No pasa por desapercibido, que</w:t>
      </w:r>
      <w:r w:rsidR="00BE5CA1" w:rsidRPr="002D446B">
        <w:rPr>
          <w:sz w:val="23"/>
          <w:szCs w:val="23"/>
        </w:rPr>
        <w:t xml:space="preserve"> en términos de lo previsto en el artículo 41, base V, apartado “D” de la Constitución Federal, 30 numeral 3 de la Ley General, al INE le corresponde ejercer la rectoría, regula la organización y funcionamiento del SPEN, comprendiendo la selección, ingreso, capacitación, profesionalizació</w:t>
      </w:r>
      <w:r w:rsidR="002D446B" w:rsidRPr="002D446B">
        <w:rPr>
          <w:sz w:val="23"/>
          <w:szCs w:val="23"/>
        </w:rPr>
        <w:t>n</w:t>
      </w:r>
      <w:r w:rsidR="00BE5CA1" w:rsidRPr="002D446B">
        <w:rPr>
          <w:sz w:val="23"/>
          <w:szCs w:val="23"/>
        </w:rPr>
        <w:t xml:space="preserve">, promoción, evaluación, rotación, permanencia y disciplina de los servidores públicos de los órganos ejecutivos y técnico del INE así como de los Organismos Públicos Locales; </w:t>
      </w:r>
      <w:r w:rsidR="008C515F" w:rsidRPr="002D446B">
        <w:rPr>
          <w:sz w:val="23"/>
          <w:szCs w:val="23"/>
        </w:rPr>
        <w:t xml:space="preserve">por lo que </w:t>
      </w:r>
      <w:r w:rsidR="00BE5CA1" w:rsidRPr="002D446B">
        <w:rPr>
          <w:sz w:val="23"/>
          <w:szCs w:val="23"/>
        </w:rPr>
        <w:t>en el caso concreto</w:t>
      </w:r>
      <w:r w:rsidR="000F077F" w:rsidRPr="002D446B">
        <w:rPr>
          <w:sz w:val="23"/>
          <w:szCs w:val="23"/>
        </w:rPr>
        <w:t>,</w:t>
      </w:r>
      <w:r w:rsidR="00BE5CA1" w:rsidRPr="002D446B">
        <w:rPr>
          <w:sz w:val="23"/>
          <w:szCs w:val="23"/>
        </w:rPr>
        <w:t xml:space="preserve"> la</w:t>
      </w:r>
      <w:r w:rsidR="00780553" w:rsidRPr="002D446B">
        <w:rPr>
          <w:sz w:val="23"/>
          <w:szCs w:val="23"/>
        </w:rPr>
        <w:t xml:space="preserve"> injerencia </w:t>
      </w:r>
      <w:r w:rsidR="00BE5CA1" w:rsidRPr="002D446B">
        <w:rPr>
          <w:sz w:val="23"/>
          <w:szCs w:val="23"/>
        </w:rPr>
        <w:t>d</w:t>
      </w:r>
      <w:r w:rsidR="00780553" w:rsidRPr="002D446B">
        <w:rPr>
          <w:sz w:val="23"/>
          <w:szCs w:val="23"/>
        </w:rPr>
        <w:t>el Instituto Electoral, fue en lo relativo a las entrevistas</w:t>
      </w:r>
      <w:r w:rsidR="00BE5CA1" w:rsidRPr="002D446B">
        <w:rPr>
          <w:sz w:val="23"/>
          <w:szCs w:val="23"/>
        </w:rPr>
        <w:t xml:space="preserve"> a las y los aspirantes a las diversas plazas</w:t>
      </w:r>
      <w:r w:rsidR="000F077F" w:rsidRPr="002D446B">
        <w:rPr>
          <w:sz w:val="23"/>
          <w:szCs w:val="23"/>
        </w:rPr>
        <w:t xml:space="preserve">, </w:t>
      </w:r>
      <w:r w:rsidR="00BE5CA1" w:rsidRPr="002D446B">
        <w:rPr>
          <w:sz w:val="23"/>
          <w:szCs w:val="23"/>
        </w:rPr>
        <w:t xml:space="preserve">en </w:t>
      </w:r>
      <w:r w:rsidR="00780553" w:rsidRPr="002D446B">
        <w:rPr>
          <w:sz w:val="23"/>
          <w:szCs w:val="23"/>
        </w:rPr>
        <w:t>la</w:t>
      </w:r>
      <w:r w:rsidR="008C515F" w:rsidRPr="002D446B">
        <w:rPr>
          <w:sz w:val="23"/>
          <w:szCs w:val="23"/>
        </w:rPr>
        <w:t>s</w:t>
      </w:r>
      <w:r w:rsidR="00780553" w:rsidRPr="002D446B">
        <w:rPr>
          <w:sz w:val="23"/>
          <w:szCs w:val="23"/>
        </w:rPr>
        <w:t xml:space="preserve"> que no fue participe el titular de la Dirección Jur</w:t>
      </w:r>
      <w:r w:rsidR="000F077F" w:rsidRPr="002D446B">
        <w:rPr>
          <w:sz w:val="23"/>
          <w:szCs w:val="23"/>
        </w:rPr>
        <w:t xml:space="preserve">ídica, </w:t>
      </w:r>
      <w:r w:rsidR="00780553" w:rsidRPr="002D446B">
        <w:rPr>
          <w:sz w:val="23"/>
          <w:szCs w:val="23"/>
        </w:rPr>
        <w:t xml:space="preserve">a razón de la </w:t>
      </w:r>
      <w:r w:rsidR="008C515F" w:rsidRPr="002D446B">
        <w:rPr>
          <w:sz w:val="23"/>
          <w:szCs w:val="23"/>
        </w:rPr>
        <w:t xml:space="preserve">referida </w:t>
      </w:r>
      <w:r w:rsidR="00780553" w:rsidRPr="002D446B">
        <w:rPr>
          <w:sz w:val="23"/>
          <w:szCs w:val="23"/>
        </w:rPr>
        <w:t xml:space="preserve">excusa. </w:t>
      </w:r>
    </w:p>
    <w:p w14:paraId="7472B218" w14:textId="27BDCF21" w:rsidR="009D016D" w:rsidRPr="002D446B" w:rsidRDefault="009D016D" w:rsidP="00056CEF">
      <w:pPr>
        <w:spacing w:before="240" w:line="295" w:lineRule="auto"/>
        <w:rPr>
          <w:sz w:val="23"/>
          <w:szCs w:val="23"/>
        </w:rPr>
      </w:pPr>
      <w:r w:rsidRPr="002D446B">
        <w:rPr>
          <w:sz w:val="23"/>
          <w:szCs w:val="23"/>
        </w:rPr>
        <w:t xml:space="preserve">Cabe destacar, que mediante el acuerdo CE/2017/011 aprobado el  22 de junio de 2017, se modificó la estructura organizacional básica del Instituto Electoral, con la finalidad de dotar a las áreas que realizan las funciones sustantivas inherentes a la organización de procesos electorales o de participación ciudadana del personal necesario para el ejercicio de sus atribuciones con motivo del </w:t>
      </w:r>
      <w:r w:rsidRPr="002D446B">
        <w:rPr>
          <w:sz w:val="23"/>
          <w:szCs w:val="23"/>
        </w:rPr>
        <w:lastRenderedPageBreak/>
        <w:t xml:space="preserve">proceso electoral local ordinario, en dicho documento se determinó que algunas plazas de la rama administrativa, cambiarían de adscripción, tal como sucedió con la otrora Subdirección Jurídica, que formó parte de la estructura de la Dirección Jurídica, cambiando la adscripción de la Coordinación de lo Contencioso para su incorporación al Servicio Profesional Electoral Nacional. </w:t>
      </w:r>
    </w:p>
    <w:p w14:paraId="6EA0C860" w14:textId="662586F4" w:rsidR="00F1238E" w:rsidRPr="002D446B" w:rsidRDefault="00DC5E9D" w:rsidP="00F1238E">
      <w:pPr>
        <w:spacing w:before="240" w:line="295" w:lineRule="auto"/>
        <w:rPr>
          <w:sz w:val="23"/>
          <w:szCs w:val="23"/>
        </w:rPr>
      </w:pPr>
      <w:r w:rsidRPr="002D446B">
        <w:rPr>
          <w:sz w:val="23"/>
          <w:szCs w:val="23"/>
        </w:rPr>
        <w:t>Asimismo, la</w:t>
      </w:r>
      <w:r w:rsidR="00F1238E" w:rsidRPr="002D446B">
        <w:rPr>
          <w:sz w:val="23"/>
          <w:szCs w:val="23"/>
        </w:rPr>
        <w:t xml:space="preserve"> Ley Electoral confiere expresamente a la Secretaría Ejecutiva, la elaboración de resoluciones de los procedimientos sancionadores, lo cual se relaciona con las atr</w:t>
      </w:r>
      <w:r w:rsidR="007500D7" w:rsidRPr="002D446B">
        <w:rPr>
          <w:sz w:val="23"/>
          <w:szCs w:val="23"/>
        </w:rPr>
        <w:t xml:space="preserve">ibuciones establecidas en el </w:t>
      </w:r>
      <w:r w:rsidR="00F1238E" w:rsidRPr="002D446B">
        <w:rPr>
          <w:sz w:val="23"/>
          <w:szCs w:val="23"/>
        </w:rPr>
        <w:t xml:space="preserve">artículo 7 del Reglamento de Denuncias y Quejas, de ahí que </w:t>
      </w:r>
      <w:r w:rsidRPr="002D446B">
        <w:rPr>
          <w:sz w:val="23"/>
          <w:szCs w:val="23"/>
        </w:rPr>
        <w:t xml:space="preserve">la decisión en cuanto al sentido </w:t>
      </w:r>
      <w:r w:rsidR="007500D7" w:rsidRPr="002D446B">
        <w:rPr>
          <w:sz w:val="23"/>
          <w:szCs w:val="23"/>
        </w:rPr>
        <w:t xml:space="preserve">de </w:t>
      </w:r>
      <w:r w:rsidRPr="002D446B">
        <w:rPr>
          <w:sz w:val="23"/>
          <w:szCs w:val="23"/>
        </w:rPr>
        <w:t>los procedimientos sancionadores únicamente le corresponda</w:t>
      </w:r>
      <w:r w:rsidR="00F1238E" w:rsidRPr="002D446B">
        <w:rPr>
          <w:sz w:val="23"/>
          <w:szCs w:val="23"/>
        </w:rPr>
        <w:t xml:space="preserve"> a la Secretaría, que a su vez propone al Consejo Estatal. </w:t>
      </w:r>
    </w:p>
    <w:p w14:paraId="495E00CC" w14:textId="6A69FE82" w:rsidR="00F1238E" w:rsidRPr="002D446B" w:rsidRDefault="00F1238E" w:rsidP="000A032B">
      <w:pPr>
        <w:spacing w:before="240" w:line="295" w:lineRule="auto"/>
        <w:rPr>
          <w:sz w:val="23"/>
          <w:szCs w:val="23"/>
        </w:rPr>
      </w:pPr>
      <w:r w:rsidRPr="002D446B">
        <w:rPr>
          <w:sz w:val="23"/>
          <w:szCs w:val="23"/>
        </w:rPr>
        <w:t>Por otro lado, el artículo 8 del referido ordenamiento, enuncia las atribuciones de la Coordinación de lo Contencioso, mismas que se encuentran sujetas únicamente a la instrucción o determinación de la Secretaría Ejecutiva, de ahí se advierte que di</w:t>
      </w:r>
      <w:r w:rsidR="006D086C" w:rsidRPr="002D446B">
        <w:rPr>
          <w:sz w:val="23"/>
          <w:szCs w:val="23"/>
        </w:rPr>
        <w:t>cha coordinación no está</w:t>
      </w:r>
      <w:r w:rsidRPr="002D446B">
        <w:rPr>
          <w:sz w:val="23"/>
          <w:szCs w:val="23"/>
        </w:rPr>
        <w:t xml:space="preserve"> sujeta ni estructural ni administrativamente a la Dirección Jurídica, razón por la cual se considera que no es factible que surja algún conflicto de interés familiar, personal o de negocios entre las titularidades de la </w:t>
      </w:r>
      <w:r w:rsidR="006A5665" w:rsidRPr="002D446B">
        <w:rPr>
          <w:sz w:val="23"/>
          <w:szCs w:val="23"/>
        </w:rPr>
        <w:t>Dirección y Coordinación antes mencionadas</w:t>
      </w:r>
      <w:r w:rsidR="006D086C" w:rsidRPr="002D446B">
        <w:rPr>
          <w:sz w:val="23"/>
          <w:szCs w:val="23"/>
        </w:rPr>
        <w:t>, el indic</w:t>
      </w:r>
      <w:r w:rsidR="007500D7" w:rsidRPr="002D446B">
        <w:rPr>
          <w:sz w:val="23"/>
          <w:szCs w:val="23"/>
        </w:rPr>
        <w:t>ar  lo contrario implica</w:t>
      </w:r>
      <w:r w:rsidR="006D086C" w:rsidRPr="002D446B">
        <w:rPr>
          <w:sz w:val="23"/>
          <w:szCs w:val="23"/>
        </w:rPr>
        <w:t xml:space="preserve"> </w:t>
      </w:r>
      <w:r w:rsidR="007500D7" w:rsidRPr="002D446B">
        <w:rPr>
          <w:sz w:val="23"/>
          <w:szCs w:val="23"/>
        </w:rPr>
        <w:t xml:space="preserve">juzgar a </w:t>
      </w:r>
      <w:r w:rsidR="006D086C" w:rsidRPr="002D446B">
        <w:rPr>
          <w:sz w:val="23"/>
          <w:szCs w:val="23"/>
        </w:rPr>
        <w:t xml:space="preserve">priori a quién acreditó con conocimientos y </w:t>
      </w:r>
      <w:r w:rsidR="000A032B" w:rsidRPr="002D446B">
        <w:rPr>
          <w:sz w:val="23"/>
          <w:szCs w:val="23"/>
        </w:rPr>
        <w:t xml:space="preserve">obtuvo por </w:t>
      </w:r>
      <w:r w:rsidR="006D086C" w:rsidRPr="002D446B">
        <w:rPr>
          <w:sz w:val="23"/>
          <w:szCs w:val="23"/>
        </w:rPr>
        <w:t xml:space="preserve">mérito propio una </w:t>
      </w:r>
      <w:r w:rsidR="00216D5F" w:rsidRPr="002D446B">
        <w:rPr>
          <w:sz w:val="23"/>
          <w:szCs w:val="23"/>
        </w:rPr>
        <w:t xml:space="preserve">plaza mediante concurso público. </w:t>
      </w:r>
    </w:p>
    <w:p w14:paraId="6978F86C" w14:textId="77777777" w:rsidR="000A032B" w:rsidRPr="002D446B" w:rsidRDefault="000A032B" w:rsidP="000A032B">
      <w:pPr>
        <w:spacing w:before="120" w:after="120" w:line="295" w:lineRule="auto"/>
        <w:ind w:hanging="624"/>
        <w:contextualSpacing/>
        <w:rPr>
          <w:rStyle w:val="Ttulo2Car"/>
        </w:rPr>
      </w:pPr>
      <w:r w:rsidRPr="002D446B">
        <w:rPr>
          <w:rStyle w:val="Ttulo2Car"/>
        </w:rPr>
        <w:t>2.14. Designación de cargos</w:t>
      </w:r>
    </w:p>
    <w:p w14:paraId="54CAE39F" w14:textId="17D9F512" w:rsidR="000A032B" w:rsidRPr="002D446B" w:rsidRDefault="000A032B" w:rsidP="000A032B">
      <w:pPr>
        <w:spacing w:before="120" w:after="120" w:line="295" w:lineRule="auto"/>
        <w:contextualSpacing/>
        <w:rPr>
          <w:sz w:val="23"/>
          <w:szCs w:val="23"/>
        </w:rPr>
      </w:pPr>
      <w:r w:rsidRPr="002D446B">
        <w:rPr>
          <w:sz w:val="23"/>
          <w:szCs w:val="23"/>
        </w:rPr>
        <w:t>En ese sentido, considerando que las personas mencionadas en el punto 2.12 inciso i) cumplieron con los requisitos señalados en los artículos 402 del Estatuto, 15 y 17 de los Lineamientos y acreditaron cada una de las etapas y requerimientos establecidos en la Convocatoria del Concurso Público, este Consejo Estatal aprueba su incorporación y designación conforme a los cargos y puestos del Servicio Profesional de este Instituto Electoral descritos en el presente acuerdo.</w:t>
      </w:r>
    </w:p>
    <w:p w14:paraId="374B6A96" w14:textId="77777777" w:rsidR="000A032B" w:rsidRPr="002D446B" w:rsidRDefault="000A032B" w:rsidP="000A032B">
      <w:pPr>
        <w:spacing w:line="295" w:lineRule="auto"/>
        <w:ind w:left="0"/>
        <w:rPr>
          <w:sz w:val="23"/>
          <w:szCs w:val="23"/>
        </w:rPr>
      </w:pPr>
    </w:p>
    <w:p w14:paraId="068B2401" w14:textId="03DC58E8" w:rsidR="000A032B" w:rsidRPr="002D446B" w:rsidRDefault="000A032B" w:rsidP="000A032B">
      <w:pPr>
        <w:spacing w:line="295" w:lineRule="auto"/>
        <w:ind w:left="0"/>
        <w:rPr>
          <w:sz w:val="23"/>
          <w:szCs w:val="23"/>
        </w:rPr>
      </w:pPr>
      <w:r w:rsidRPr="002D446B">
        <w:rPr>
          <w:sz w:val="23"/>
          <w:szCs w:val="23"/>
        </w:rPr>
        <w:t>Sobre la base de las consideraciones señaladas, este Consejo Estatal emite el siguiente:</w:t>
      </w:r>
    </w:p>
    <w:p w14:paraId="6E1A4818" w14:textId="77777777" w:rsidR="00D51AD4" w:rsidRPr="002D446B" w:rsidRDefault="00D51AD4" w:rsidP="002B7E5B">
      <w:pPr>
        <w:pStyle w:val="Ttulo1"/>
      </w:pPr>
      <w:r w:rsidRPr="002D446B">
        <w:lastRenderedPageBreak/>
        <w:t>Acuerdo</w:t>
      </w:r>
    </w:p>
    <w:p w14:paraId="5D636886" w14:textId="7AD94FC5" w:rsidR="001E202D" w:rsidRPr="002D446B" w:rsidRDefault="00D51AD4" w:rsidP="007667A3">
      <w:pPr>
        <w:pStyle w:val="Puntos"/>
        <w:spacing w:line="295" w:lineRule="auto"/>
        <w:ind w:left="0"/>
        <w:rPr>
          <w:sz w:val="23"/>
          <w:szCs w:val="23"/>
        </w:rPr>
      </w:pPr>
      <w:r w:rsidRPr="002D446B">
        <w:rPr>
          <w:b/>
          <w:bCs/>
          <w:sz w:val="23"/>
          <w:szCs w:val="23"/>
        </w:rPr>
        <w:t>Primero.</w:t>
      </w:r>
      <w:r w:rsidRPr="002D446B">
        <w:rPr>
          <w:sz w:val="23"/>
          <w:szCs w:val="23"/>
        </w:rPr>
        <w:t xml:space="preserve"> Por las razones y argumentos mencionados, </w:t>
      </w:r>
      <w:r w:rsidR="001E202D" w:rsidRPr="002D446B">
        <w:rPr>
          <w:sz w:val="23"/>
          <w:szCs w:val="23"/>
        </w:rPr>
        <w:t xml:space="preserve">con motivo de su acreditación en el Concurso Público 2022 – 2023 de ingreso, </w:t>
      </w:r>
      <w:r w:rsidRPr="002D446B">
        <w:rPr>
          <w:sz w:val="23"/>
          <w:szCs w:val="23"/>
        </w:rPr>
        <w:t>se aprueba</w:t>
      </w:r>
      <w:r w:rsidR="007667A3" w:rsidRPr="002D446B">
        <w:rPr>
          <w:sz w:val="23"/>
          <w:szCs w:val="23"/>
        </w:rPr>
        <w:t xml:space="preserve"> </w:t>
      </w:r>
      <w:r w:rsidR="001E202D" w:rsidRPr="002D446B">
        <w:rPr>
          <w:sz w:val="23"/>
          <w:szCs w:val="23"/>
        </w:rPr>
        <w:t xml:space="preserve">la designación </w:t>
      </w:r>
      <w:r w:rsidR="000A7908" w:rsidRPr="002D446B">
        <w:rPr>
          <w:sz w:val="23"/>
          <w:szCs w:val="23"/>
        </w:rPr>
        <w:t xml:space="preserve">y su incorporación </w:t>
      </w:r>
      <w:r w:rsidR="001E202D" w:rsidRPr="002D446B">
        <w:rPr>
          <w:sz w:val="23"/>
          <w:szCs w:val="23"/>
        </w:rPr>
        <w:t>como servidoras públicas del Servicio Profesional Electoral Nacional del Instituto Electoral y de Participación Ciudadana de Tabasco, a las personas que a continuación se mencionan:</w:t>
      </w:r>
    </w:p>
    <w:tbl>
      <w:tblPr>
        <w:tblStyle w:val="Tablaconcuadrcula"/>
        <w:tblW w:w="0" w:type="auto"/>
        <w:tblLook w:val="04A0" w:firstRow="1" w:lastRow="0" w:firstColumn="1" w:lastColumn="0" w:noHBand="0" w:noVBand="1"/>
      </w:tblPr>
      <w:tblGrid>
        <w:gridCol w:w="3681"/>
        <w:gridCol w:w="5103"/>
      </w:tblGrid>
      <w:tr w:rsidR="002D446B" w:rsidRPr="002D446B" w14:paraId="7FC1635A" w14:textId="77777777" w:rsidTr="001E202D">
        <w:tc>
          <w:tcPr>
            <w:tcW w:w="3681" w:type="dxa"/>
            <w:shd w:val="clear" w:color="auto" w:fill="993366"/>
            <w:vAlign w:val="center"/>
          </w:tcPr>
          <w:p w14:paraId="55BC31EA" w14:textId="360E89D7" w:rsidR="001E202D" w:rsidRPr="002D446B" w:rsidRDefault="001E202D" w:rsidP="001E202D">
            <w:pPr>
              <w:pStyle w:val="Puntos"/>
              <w:spacing w:before="60" w:after="60" w:line="295" w:lineRule="auto"/>
              <w:ind w:left="0"/>
              <w:jc w:val="center"/>
              <w:rPr>
                <w:b/>
                <w:bCs/>
                <w:sz w:val="20"/>
                <w:szCs w:val="20"/>
              </w:rPr>
            </w:pPr>
            <w:r w:rsidRPr="002D446B">
              <w:rPr>
                <w:b/>
                <w:bCs/>
                <w:sz w:val="20"/>
                <w:szCs w:val="20"/>
              </w:rPr>
              <w:t>Nombre</w:t>
            </w:r>
          </w:p>
        </w:tc>
        <w:tc>
          <w:tcPr>
            <w:tcW w:w="5103" w:type="dxa"/>
            <w:shd w:val="clear" w:color="auto" w:fill="993366"/>
            <w:vAlign w:val="center"/>
          </w:tcPr>
          <w:p w14:paraId="2FD3C57C" w14:textId="597E3878" w:rsidR="001E202D" w:rsidRPr="002D446B" w:rsidRDefault="001E202D" w:rsidP="001E202D">
            <w:pPr>
              <w:pStyle w:val="Puntos"/>
              <w:spacing w:before="60" w:after="60" w:line="295" w:lineRule="auto"/>
              <w:ind w:left="0"/>
              <w:jc w:val="center"/>
              <w:rPr>
                <w:b/>
                <w:bCs/>
                <w:sz w:val="20"/>
                <w:szCs w:val="20"/>
              </w:rPr>
            </w:pPr>
            <w:r w:rsidRPr="002D446B">
              <w:rPr>
                <w:b/>
                <w:bCs/>
                <w:sz w:val="20"/>
                <w:szCs w:val="20"/>
              </w:rPr>
              <w:t>Cargo</w:t>
            </w:r>
          </w:p>
        </w:tc>
      </w:tr>
      <w:tr w:rsidR="002D446B" w:rsidRPr="002D446B" w14:paraId="65FCF063" w14:textId="77777777" w:rsidTr="001E202D">
        <w:tc>
          <w:tcPr>
            <w:tcW w:w="3681" w:type="dxa"/>
            <w:vAlign w:val="center"/>
          </w:tcPr>
          <w:p w14:paraId="1C6795B8" w14:textId="777ECDED" w:rsidR="001E202D" w:rsidRPr="002D446B" w:rsidRDefault="001E202D" w:rsidP="001E202D">
            <w:pPr>
              <w:pStyle w:val="Puntos"/>
              <w:spacing w:before="60" w:after="60" w:line="295" w:lineRule="auto"/>
              <w:ind w:left="0"/>
              <w:rPr>
                <w:b/>
                <w:bCs/>
                <w:sz w:val="20"/>
                <w:szCs w:val="20"/>
              </w:rPr>
            </w:pPr>
            <w:r w:rsidRPr="002D446B">
              <w:rPr>
                <w:b/>
                <w:bCs/>
                <w:sz w:val="20"/>
                <w:szCs w:val="20"/>
              </w:rPr>
              <w:t>Elizabeth Ibarra Urióstegui</w:t>
            </w:r>
          </w:p>
        </w:tc>
        <w:tc>
          <w:tcPr>
            <w:tcW w:w="5103" w:type="dxa"/>
            <w:vAlign w:val="center"/>
          </w:tcPr>
          <w:p w14:paraId="4CE7764E" w14:textId="1EFBB671" w:rsidR="001E202D" w:rsidRPr="002D446B" w:rsidRDefault="001E202D" w:rsidP="001E202D">
            <w:pPr>
              <w:pStyle w:val="Puntos"/>
              <w:spacing w:before="60" w:after="60" w:line="295" w:lineRule="auto"/>
              <w:ind w:left="0"/>
              <w:rPr>
                <w:b/>
                <w:bCs/>
                <w:sz w:val="20"/>
                <w:szCs w:val="20"/>
              </w:rPr>
            </w:pPr>
            <w:r w:rsidRPr="002D446B">
              <w:rPr>
                <w:b/>
                <w:bCs/>
                <w:sz w:val="20"/>
                <w:szCs w:val="20"/>
              </w:rPr>
              <w:t>Coordinadora de Educación Cívica</w:t>
            </w:r>
          </w:p>
        </w:tc>
      </w:tr>
      <w:tr w:rsidR="002D446B" w:rsidRPr="002D446B" w14:paraId="4DC3E46A" w14:textId="77777777" w:rsidTr="001E202D">
        <w:tc>
          <w:tcPr>
            <w:tcW w:w="3681" w:type="dxa"/>
            <w:vAlign w:val="center"/>
          </w:tcPr>
          <w:p w14:paraId="36526AC6" w14:textId="24C69C8A" w:rsidR="001E202D" w:rsidRPr="002D446B" w:rsidRDefault="001E202D" w:rsidP="001E202D">
            <w:pPr>
              <w:pStyle w:val="Puntos"/>
              <w:spacing w:before="60" w:after="60" w:line="295" w:lineRule="auto"/>
              <w:ind w:left="0"/>
              <w:rPr>
                <w:b/>
                <w:bCs/>
                <w:sz w:val="20"/>
                <w:szCs w:val="20"/>
              </w:rPr>
            </w:pPr>
            <w:r w:rsidRPr="002D446B">
              <w:rPr>
                <w:b/>
                <w:bCs/>
                <w:sz w:val="20"/>
                <w:szCs w:val="20"/>
              </w:rPr>
              <w:t>Yarelitzel Ovalle Morales</w:t>
            </w:r>
          </w:p>
        </w:tc>
        <w:tc>
          <w:tcPr>
            <w:tcW w:w="5103" w:type="dxa"/>
            <w:vAlign w:val="center"/>
          </w:tcPr>
          <w:p w14:paraId="12D6F3FE" w14:textId="5ECCAD89" w:rsidR="001E202D" w:rsidRPr="002D446B" w:rsidRDefault="001E202D" w:rsidP="001E202D">
            <w:pPr>
              <w:pStyle w:val="Puntos"/>
              <w:spacing w:before="60" w:after="60" w:line="295" w:lineRule="auto"/>
              <w:ind w:left="0"/>
              <w:rPr>
                <w:b/>
                <w:bCs/>
                <w:sz w:val="20"/>
                <w:szCs w:val="20"/>
              </w:rPr>
            </w:pPr>
            <w:r w:rsidRPr="002D446B">
              <w:rPr>
                <w:b/>
                <w:bCs/>
                <w:sz w:val="20"/>
                <w:szCs w:val="20"/>
              </w:rPr>
              <w:t xml:space="preserve">Coordinadora de lo Contencioso Electoral </w:t>
            </w:r>
          </w:p>
        </w:tc>
      </w:tr>
      <w:tr w:rsidR="002D446B" w:rsidRPr="002D446B" w14:paraId="34970E3C" w14:textId="77777777" w:rsidTr="001E202D">
        <w:tc>
          <w:tcPr>
            <w:tcW w:w="3681" w:type="dxa"/>
            <w:vAlign w:val="center"/>
          </w:tcPr>
          <w:p w14:paraId="6587CB6C" w14:textId="7A2675EF" w:rsidR="001E202D" w:rsidRPr="002D446B" w:rsidRDefault="001E202D" w:rsidP="001E202D">
            <w:pPr>
              <w:pStyle w:val="Puntos"/>
              <w:spacing w:before="60" w:after="60" w:line="295" w:lineRule="auto"/>
              <w:ind w:left="0"/>
              <w:rPr>
                <w:b/>
                <w:bCs/>
                <w:sz w:val="20"/>
                <w:szCs w:val="20"/>
              </w:rPr>
            </w:pPr>
            <w:r w:rsidRPr="002D446B">
              <w:rPr>
                <w:b/>
                <w:bCs/>
                <w:sz w:val="20"/>
                <w:szCs w:val="20"/>
              </w:rPr>
              <w:t>Juana María Acosta Rodríguez</w:t>
            </w:r>
          </w:p>
        </w:tc>
        <w:tc>
          <w:tcPr>
            <w:tcW w:w="5103" w:type="dxa"/>
            <w:vAlign w:val="center"/>
          </w:tcPr>
          <w:p w14:paraId="2593DD21" w14:textId="67B2AA78" w:rsidR="001E202D" w:rsidRPr="002D446B" w:rsidRDefault="001E202D" w:rsidP="001E202D">
            <w:pPr>
              <w:pStyle w:val="Puntos"/>
              <w:spacing w:before="60" w:after="60" w:line="295" w:lineRule="auto"/>
              <w:ind w:left="0"/>
              <w:rPr>
                <w:b/>
                <w:bCs/>
                <w:sz w:val="20"/>
                <w:szCs w:val="20"/>
              </w:rPr>
            </w:pPr>
            <w:r w:rsidRPr="002D446B">
              <w:rPr>
                <w:b/>
                <w:bCs/>
                <w:sz w:val="20"/>
                <w:szCs w:val="20"/>
              </w:rPr>
              <w:t>Coordinadora de Prerrogativas y Partidos Políticos</w:t>
            </w:r>
          </w:p>
        </w:tc>
      </w:tr>
      <w:tr w:rsidR="002D446B" w:rsidRPr="002D446B" w14:paraId="312419CE" w14:textId="77777777" w:rsidTr="001E202D">
        <w:tc>
          <w:tcPr>
            <w:tcW w:w="3681" w:type="dxa"/>
            <w:vAlign w:val="center"/>
          </w:tcPr>
          <w:p w14:paraId="1FE9E992" w14:textId="63029127" w:rsidR="001E202D" w:rsidRPr="002D446B" w:rsidRDefault="001E202D" w:rsidP="001E202D">
            <w:pPr>
              <w:pStyle w:val="Puntos"/>
              <w:spacing w:before="60" w:after="60" w:line="295" w:lineRule="auto"/>
              <w:ind w:left="0"/>
              <w:rPr>
                <w:b/>
                <w:bCs/>
                <w:sz w:val="20"/>
                <w:szCs w:val="20"/>
              </w:rPr>
            </w:pPr>
            <w:r w:rsidRPr="002D446B">
              <w:rPr>
                <w:b/>
                <w:bCs/>
                <w:sz w:val="20"/>
                <w:szCs w:val="20"/>
              </w:rPr>
              <w:t>Luis Felipe Ricárdez Medina</w:t>
            </w:r>
          </w:p>
        </w:tc>
        <w:tc>
          <w:tcPr>
            <w:tcW w:w="5103" w:type="dxa"/>
            <w:vAlign w:val="center"/>
          </w:tcPr>
          <w:p w14:paraId="6BB24593" w14:textId="3052DF01" w:rsidR="001E202D" w:rsidRPr="002D446B" w:rsidRDefault="001E202D" w:rsidP="001E202D">
            <w:pPr>
              <w:pStyle w:val="Puntos"/>
              <w:spacing w:before="60" w:after="60" w:line="295" w:lineRule="auto"/>
              <w:ind w:left="0"/>
              <w:rPr>
                <w:b/>
                <w:bCs/>
                <w:sz w:val="20"/>
                <w:szCs w:val="20"/>
              </w:rPr>
            </w:pPr>
            <w:r w:rsidRPr="002D446B">
              <w:rPr>
                <w:b/>
                <w:bCs/>
                <w:sz w:val="20"/>
                <w:szCs w:val="20"/>
              </w:rPr>
              <w:t>Técnico de lo Contencioso Electoral</w:t>
            </w:r>
          </w:p>
        </w:tc>
      </w:tr>
      <w:tr w:rsidR="002D446B" w:rsidRPr="002D446B" w14:paraId="70F451E6" w14:textId="77777777" w:rsidTr="001E202D">
        <w:tc>
          <w:tcPr>
            <w:tcW w:w="3681" w:type="dxa"/>
            <w:vAlign w:val="center"/>
          </w:tcPr>
          <w:p w14:paraId="7396F5F9" w14:textId="152E3417" w:rsidR="001E202D" w:rsidRPr="002D446B" w:rsidRDefault="001E202D" w:rsidP="001E202D">
            <w:pPr>
              <w:pStyle w:val="Puntos"/>
              <w:spacing w:before="60" w:after="60" w:line="295" w:lineRule="auto"/>
              <w:ind w:left="0"/>
              <w:rPr>
                <w:b/>
                <w:bCs/>
                <w:sz w:val="20"/>
                <w:szCs w:val="20"/>
              </w:rPr>
            </w:pPr>
            <w:r w:rsidRPr="002D446B">
              <w:rPr>
                <w:b/>
                <w:bCs/>
                <w:sz w:val="20"/>
                <w:szCs w:val="20"/>
              </w:rPr>
              <w:t>Diana Ramos López</w:t>
            </w:r>
          </w:p>
        </w:tc>
        <w:tc>
          <w:tcPr>
            <w:tcW w:w="5103" w:type="dxa"/>
            <w:vAlign w:val="center"/>
          </w:tcPr>
          <w:p w14:paraId="01673F4E" w14:textId="663BE323" w:rsidR="001E202D" w:rsidRPr="002D446B" w:rsidRDefault="001E202D" w:rsidP="001E202D">
            <w:pPr>
              <w:pStyle w:val="Puntos"/>
              <w:spacing w:before="60" w:after="60" w:line="295" w:lineRule="auto"/>
              <w:ind w:left="0"/>
              <w:rPr>
                <w:b/>
                <w:bCs/>
                <w:sz w:val="20"/>
                <w:szCs w:val="20"/>
              </w:rPr>
            </w:pPr>
            <w:r w:rsidRPr="002D446B">
              <w:rPr>
                <w:b/>
                <w:bCs/>
                <w:sz w:val="20"/>
                <w:szCs w:val="20"/>
              </w:rPr>
              <w:t>Técnica de Organización Electoral</w:t>
            </w:r>
          </w:p>
        </w:tc>
      </w:tr>
      <w:tr w:rsidR="002D446B" w:rsidRPr="002D446B" w14:paraId="2FD7AC61" w14:textId="77777777" w:rsidTr="001E202D">
        <w:tc>
          <w:tcPr>
            <w:tcW w:w="3681" w:type="dxa"/>
            <w:vAlign w:val="center"/>
          </w:tcPr>
          <w:p w14:paraId="21ADBE97" w14:textId="10FE93EB" w:rsidR="001E202D" w:rsidRPr="002D446B" w:rsidRDefault="001E202D" w:rsidP="001E202D">
            <w:pPr>
              <w:pStyle w:val="Puntos"/>
              <w:spacing w:before="60" w:after="60" w:line="295" w:lineRule="auto"/>
              <w:ind w:left="0"/>
              <w:rPr>
                <w:b/>
                <w:bCs/>
                <w:sz w:val="20"/>
                <w:szCs w:val="20"/>
              </w:rPr>
            </w:pPr>
            <w:r w:rsidRPr="002D446B">
              <w:rPr>
                <w:b/>
                <w:bCs/>
                <w:sz w:val="20"/>
                <w:szCs w:val="20"/>
              </w:rPr>
              <w:t>Alejandro Haddad Castillo</w:t>
            </w:r>
          </w:p>
        </w:tc>
        <w:tc>
          <w:tcPr>
            <w:tcW w:w="5103" w:type="dxa"/>
            <w:vAlign w:val="center"/>
          </w:tcPr>
          <w:p w14:paraId="21756606" w14:textId="7FA12D58" w:rsidR="001E202D" w:rsidRPr="002D446B" w:rsidRDefault="001E202D" w:rsidP="001E202D">
            <w:pPr>
              <w:pStyle w:val="Puntos"/>
              <w:spacing w:before="60" w:after="60" w:line="295" w:lineRule="auto"/>
              <w:ind w:left="0"/>
              <w:rPr>
                <w:b/>
                <w:bCs/>
                <w:sz w:val="20"/>
                <w:szCs w:val="20"/>
              </w:rPr>
            </w:pPr>
            <w:r w:rsidRPr="002D446B">
              <w:rPr>
                <w:b/>
                <w:bCs/>
                <w:sz w:val="20"/>
                <w:szCs w:val="20"/>
              </w:rPr>
              <w:t>Técnico de Organización Electoral</w:t>
            </w:r>
          </w:p>
        </w:tc>
      </w:tr>
      <w:tr w:rsidR="002D446B" w:rsidRPr="002D446B" w14:paraId="5E9F74F5" w14:textId="77777777" w:rsidTr="001E202D">
        <w:tc>
          <w:tcPr>
            <w:tcW w:w="3681" w:type="dxa"/>
            <w:vAlign w:val="center"/>
          </w:tcPr>
          <w:p w14:paraId="47B52C8C" w14:textId="7267F396" w:rsidR="001E202D" w:rsidRPr="002D446B" w:rsidRDefault="001E202D" w:rsidP="001E202D">
            <w:pPr>
              <w:pStyle w:val="Puntos"/>
              <w:spacing w:before="60" w:after="60" w:line="295" w:lineRule="auto"/>
              <w:ind w:left="0"/>
              <w:rPr>
                <w:b/>
                <w:bCs/>
                <w:sz w:val="20"/>
                <w:szCs w:val="20"/>
              </w:rPr>
            </w:pPr>
            <w:r w:rsidRPr="002D446B">
              <w:rPr>
                <w:b/>
                <w:bCs/>
                <w:sz w:val="20"/>
                <w:szCs w:val="20"/>
              </w:rPr>
              <w:t>Jorge Alberto Saráoz Dozal</w:t>
            </w:r>
          </w:p>
        </w:tc>
        <w:tc>
          <w:tcPr>
            <w:tcW w:w="5103" w:type="dxa"/>
            <w:vAlign w:val="center"/>
          </w:tcPr>
          <w:p w14:paraId="0C7AD08D" w14:textId="142A1F4E" w:rsidR="001E202D" w:rsidRPr="002D446B" w:rsidRDefault="001E202D" w:rsidP="001E202D">
            <w:pPr>
              <w:pStyle w:val="Puntos"/>
              <w:spacing w:before="60" w:after="60" w:line="295" w:lineRule="auto"/>
              <w:ind w:left="0"/>
              <w:rPr>
                <w:b/>
                <w:bCs/>
                <w:sz w:val="20"/>
                <w:szCs w:val="20"/>
              </w:rPr>
            </w:pPr>
            <w:r w:rsidRPr="002D446B">
              <w:rPr>
                <w:b/>
                <w:bCs/>
                <w:sz w:val="20"/>
                <w:szCs w:val="20"/>
              </w:rPr>
              <w:t>Técnico de Participación Ciudadana</w:t>
            </w:r>
          </w:p>
        </w:tc>
      </w:tr>
      <w:tr w:rsidR="002D446B" w:rsidRPr="002D446B" w14:paraId="0095CD20" w14:textId="77777777" w:rsidTr="001E202D">
        <w:tc>
          <w:tcPr>
            <w:tcW w:w="3681" w:type="dxa"/>
            <w:vAlign w:val="center"/>
          </w:tcPr>
          <w:p w14:paraId="76064A8B" w14:textId="3CE5EB78" w:rsidR="001E202D" w:rsidRPr="002D446B" w:rsidRDefault="001E202D" w:rsidP="001E202D">
            <w:pPr>
              <w:pStyle w:val="Puntos"/>
              <w:spacing w:before="60" w:after="60" w:line="295" w:lineRule="auto"/>
              <w:ind w:left="0"/>
              <w:rPr>
                <w:b/>
                <w:bCs/>
                <w:sz w:val="20"/>
                <w:szCs w:val="20"/>
              </w:rPr>
            </w:pPr>
            <w:r w:rsidRPr="002D446B">
              <w:rPr>
                <w:b/>
                <w:bCs/>
                <w:sz w:val="20"/>
                <w:szCs w:val="20"/>
              </w:rPr>
              <w:t>Ángela Guadalupe Araujo Segura</w:t>
            </w:r>
          </w:p>
        </w:tc>
        <w:tc>
          <w:tcPr>
            <w:tcW w:w="5103" w:type="dxa"/>
            <w:vAlign w:val="center"/>
          </w:tcPr>
          <w:p w14:paraId="6A66B0B4" w14:textId="7C5DC522" w:rsidR="001E202D" w:rsidRPr="002D446B" w:rsidRDefault="001E202D" w:rsidP="001E202D">
            <w:pPr>
              <w:pStyle w:val="Puntos"/>
              <w:spacing w:before="60" w:after="60" w:line="295" w:lineRule="auto"/>
              <w:ind w:left="0"/>
              <w:rPr>
                <w:b/>
                <w:bCs/>
                <w:sz w:val="20"/>
                <w:szCs w:val="20"/>
              </w:rPr>
            </w:pPr>
            <w:r w:rsidRPr="002D446B">
              <w:rPr>
                <w:b/>
                <w:bCs/>
                <w:sz w:val="20"/>
                <w:szCs w:val="20"/>
              </w:rPr>
              <w:t>Técnico de Prerrogativas y Partidos Políticos</w:t>
            </w:r>
          </w:p>
        </w:tc>
      </w:tr>
      <w:tr w:rsidR="002D446B" w:rsidRPr="002D446B" w14:paraId="4816EFA7" w14:textId="77777777" w:rsidTr="001E202D">
        <w:tc>
          <w:tcPr>
            <w:tcW w:w="3681" w:type="dxa"/>
            <w:vAlign w:val="center"/>
          </w:tcPr>
          <w:p w14:paraId="26FA8C29" w14:textId="78B59649" w:rsidR="001E202D" w:rsidRPr="002D446B" w:rsidRDefault="001E202D" w:rsidP="001E202D">
            <w:pPr>
              <w:pStyle w:val="Puntos"/>
              <w:spacing w:before="60" w:after="60" w:line="295" w:lineRule="auto"/>
              <w:ind w:left="0"/>
              <w:rPr>
                <w:b/>
                <w:bCs/>
                <w:sz w:val="20"/>
                <w:szCs w:val="20"/>
              </w:rPr>
            </w:pPr>
            <w:r w:rsidRPr="002D446B">
              <w:rPr>
                <w:b/>
                <w:bCs/>
                <w:sz w:val="20"/>
                <w:szCs w:val="20"/>
              </w:rPr>
              <w:t>Christian de Jesús Montejo Córdova</w:t>
            </w:r>
          </w:p>
        </w:tc>
        <w:tc>
          <w:tcPr>
            <w:tcW w:w="5103" w:type="dxa"/>
            <w:vAlign w:val="center"/>
          </w:tcPr>
          <w:p w14:paraId="74DFC860" w14:textId="5B44E6C7" w:rsidR="001E202D" w:rsidRPr="002D446B" w:rsidRDefault="001E202D" w:rsidP="001E202D">
            <w:pPr>
              <w:pStyle w:val="Puntos"/>
              <w:spacing w:before="60" w:after="60" w:line="295" w:lineRule="auto"/>
              <w:ind w:left="0"/>
              <w:rPr>
                <w:b/>
                <w:bCs/>
                <w:sz w:val="20"/>
                <w:szCs w:val="20"/>
              </w:rPr>
            </w:pPr>
            <w:r w:rsidRPr="002D446B">
              <w:rPr>
                <w:b/>
                <w:bCs/>
                <w:sz w:val="20"/>
                <w:szCs w:val="20"/>
              </w:rPr>
              <w:t>Técnico de Prerrogativas y Partidos Políticos</w:t>
            </w:r>
          </w:p>
        </w:tc>
      </w:tr>
    </w:tbl>
    <w:p w14:paraId="65C08905" w14:textId="3801663F" w:rsidR="006563BB" w:rsidRPr="002D446B" w:rsidRDefault="00D51AD4" w:rsidP="00C72EB7">
      <w:pPr>
        <w:pStyle w:val="Puntos"/>
        <w:spacing w:before="240" w:line="295" w:lineRule="auto"/>
        <w:ind w:left="0"/>
        <w:rPr>
          <w:sz w:val="23"/>
          <w:szCs w:val="23"/>
        </w:rPr>
      </w:pPr>
      <w:r w:rsidRPr="002D446B">
        <w:rPr>
          <w:b/>
          <w:bCs/>
          <w:sz w:val="23"/>
          <w:szCs w:val="23"/>
        </w:rPr>
        <w:t>Segundo.</w:t>
      </w:r>
      <w:r w:rsidRPr="002D446B">
        <w:rPr>
          <w:sz w:val="23"/>
          <w:szCs w:val="23"/>
        </w:rPr>
        <w:t xml:space="preserve"> </w:t>
      </w:r>
      <w:r w:rsidR="006563BB" w:rsidRPr="002D446B">
        <w:rPr>
          <w:sz w:val="23"/>
          <w:szCs w:val="23"/>
        </w:rPr>
        <w:t xml:space="preserve">Para efectos de dar cumplimiento a lo establecido en el presente acuerdo, se instruye a la Secretaría Ejecutiva de este Instituto, para que notifique </w:t>
      </w:r>
      <w:r w:rsidR="00EF44E7" w:rsidRPr="002D446B">
        <w:rPr>
          <w:sz w:val="23"/>
          <w:szCs w:val="23"/>
        </w:rPr>
        <w:t xml:space="preserve">el contenido del </w:t>
      </w:r>
      <w:r w:rsidR="006563BB" w:rsidRPr="002D446B">
        <w:rPr>
          <w:sz w:val="23"/>
          <w:szCs w:val="23"/>
        </w:rPr>
        <w:t xml:space="preserve">presente </w:t>
      </w:r>
      <w:r w:rsidR="00EF44E7" w:rsidRPr="002D446B">
        <w:rPr>
          <w:sz w:val="23"/>
          <w:szCs w:val="23"/>
        </w:rPr>
        <w:t>acuerdo</w:t>
      </w:r>
      <w:r w:rsidR="006563BB" w:rsidRPr="002D446B">
        <w:rPr>
          <w:sz w:val="23"/>
          <w:szCs w:val="23"/>
        </w:rPr>
        <w:t>, expida</w:t>
      </w:r>
      <w:r w:rsidR="006458AE" w:rsidRPr="002D446B">
        <w:rPr>
          <w:sz w:val="23"/>
          <w:szCs w:val="23"/>
        </w:rPr>
        <w:t xml:space="preserve"> </w:t>
      </w:r>
      <w:r w:rsidR="006563BB" w:rsidRPr="002D446B">
        <w:rPr>
          <w:sz w:val="23"/>
          <w:szCs w:val="23"/>
        </w:rPr>
        <w:t xml:space="preserve">los nombramientos y oficios de adscripción respectivos a </w:t>
      </w:r>
      <w:r w:rsidR="002D446B" w:rsidRPr="002D446B">
        <w:rPr>
          <w:sz w:val="23"/>
          <w:szCs w:val="23"/>
        </w:rPr>
        <w:t xml:space="preserve">los y </w:t>
      </w:r>
      <w:r w:rsidR="006563BB" w:rsidRPr="002D446B">
        <w:rPr>
          <w:sz w:val="23"/>
          <w:szCs w:val="23"/>
        </w:rPr>
        <w:t xml:space="preserve">las servidoras públicas designadas, en términos de lo establecido en </w:t>
      </w:r>
      <w:r w:rsidR="00982F4F" w:rsidRPr="002D446B">
        <w:rPr>
          <w:sz w:val="23"/>
          <w:szCs w:val="23"/>
        </w:rPr>
        <w:t>el</w:t>
      </w:r>
      <w:r w:rsidR="006563BB" w:rsidRPr="002D446B">
        <w:rPr>
          <w:sz w:val="23"/>
          <w:szCs w:val="23"/>
        </w:rPr>
        <w:t xml:space="preserve"> artículo </w:t>
      </w:r>
      <w:r w:rsidR="00982F4F" w:rsidRPr="002D446B">
        <w:rPr>
          <w:sz w:val="23"/>
          <w:szCs w:val="23"/>
        </w:rPr>
        <w:t>391</w:t>
      </w:r>
      <w:r w:rsidR="006563BB" w:rsidRPr="002D446B">
        <w:rPr>
          <w:sz w:val="23"/>
          <w:szCs w:val="23"/>
        </w:rPr>
        <w:t xml:space="preserve"> del Estatuto del Servicio Profesional Electoral Nacional y del Personal de la Rama Administrativa.</w:t>
      </w:r>
    </w:p>
    <w:p w14:paraId="7EC7C048" w14:textId="4B768857" w:rsidR="00DF3E7D" w:rsidRPr="002D446B" w:rsidRDefault="003D7EEB" w:rsidP="00DF3E7D">
      <w:pPr>
        <w:pStyle w:val="Puntos"/>
        <w:spacing w:line="295" w:lineRule="auto"/>
        <w:ind w:left="0"/>
        <w:rPr>
          <w:b/>
          <w:bCs/>
          <w:sz w:val="23"/>
          <w:szCs w:val="23"/>
        </w:rPr>
      </w:pPr>
      <w:r w:rsidRPr="002D446B">
        <w:rPr>
          <w:b/>
          <w:bCs/>
          <w:sz w:val="23"/>
          <w:szCs w:val="23"/>
        </w:rPr>
        <w:t xml:space="preserve">Tercero. </w:t>
      </w:r>
      <w:r w:rsidR="00DF3E7D" w:rsidRPr="002D446B">
        <w:rPr>
          <w:sz w:val="23"/>
          <w:szCs w:val="23"/>
        </w:rPr>
        <w:t>Para el caso de que cualquiera de las personas designadas no se presente a tomar posesión del cargo, se estará a la dispuesto en el artículo 83 de los Lineamientos, y en su caso, se procederá a cubrir las vacantes persistentes mediante la lista de reserva.</w:t>
      </w:r>
    </w:p>
    <w:p w14:paraId="04828C9F" w14:textId="1E864FAC" w:rsidR="001765C0" w:rsidRPr="002D446B" w:rsidRDefault="00DF3E7D" w:rsidP="002A5C36">
      <w:pPr>
        <w:pStyle w:val="Puntos"/>
        <w:spacing w:line="295" w:lineRule="auto"/>
        <w:ind w:left="0"/>
        <w:rPr>
          <w:b/>
          <w:bCs/>
          <w:sz w:val="23"/>
          <w:szCs w:val="23"/>
        </w:rPr>
      </w:pPr>
      <w:r w:rsidRPr="002D446B">
        <w:rPr>
          <w:b/>
          <w:bCs/>
          <w:sz w:val="23"/>
          <w:szCs w:val="23"/>
        </w:rPr>
        <w:t xml:space="preserve">Cuarto. </w:t>
      </w:r>
      <w:r w:rsidR="001765C0" w:rsidRPr="002D446B">
        <w:rPr>
          <w:sz w:val="23"/>
          <w:szCs w:val="23"/>
        </w:rPr>
        <w:t>Se</w:t>
      </w:r>
      <w:r w:rsidR="00D32357" w:rsidRPr="002D446B">
        <w:rPr>
          <w:sz w:val="23"/>
          <w:szCs w:val="23"/>
        </w:rPr>
        <w:t xml:space="preserve"> instruye a la Dirección Ejecutiva de Administración realice los trámites administrativos para la incorporación de las personas designadas </w:t>
      </w:r>
      <w:r w:rsidR="001765C0" w:rsidRPr="002D446B">
        <w:rPr>
          <w:sz w:val="23"/>
          <w:szCs w:val="23"/>
        </w:rPr>
        <w:t xml:space="preserve">en el presente </w:t>
      </w:r>
      <w:r w:rsidR="001765C0" w:rsidRPr="002D446B">
        <w:rPr>
          <w:sz w:val="23"/>
          <w:szCs w:val="23"/>
        </w:rPr>
        <w:lastRenderedPageBreak/>
        <w:t>acuerdo; por lo que se dejan sin efectos los nombramientos de las personas designadas en las encargadurías de despacho de las plazas motivo de Concurso Público, quienes en su caso deberán reincorporarse a las plazas que originalmente les corresponden.</w:t>
      </w:r>
    </w:p>
    <w:p w14:paraId="7402E3FC" w14:textId="75485AC0" w:rsidR="00D51AD4" w:rsidRPr="002D446B" w:rsidRDefault="00DF3E7D" w:rsidP="002A5C36">
      <w:pPr>
        <w:pStyle w:val="Puntos"/>
        <w:spacing w:line="295" w:lineRule="auto"/>
        <w:ind w:left="0"/>
        <w:rPr>
          <w:sz w:val="23"/>
          <w:szCs w:val="23"/>
        </w:rPr>
      </w:pPr>
      <w:r w:rsidRPr="002D446B">
        <w:rPr>
          <w:b/>
          <w:bCs/>
          <w:sz w:val="23"/>
          <w:szCs w:val="23"/>
        </w:rPr>
        <w:t xml:space="preserve">Quinto. </w:t>
      </w:r>
      <w:r w:rsidR="00D51AD4" w:rsidRPr="002D446B">
        <w:rPr>
          <w:sz w:val="23"/>
          <w:szCs w:val="23"/>
        </w:rPr>
        <w:t>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3B3EB3B7" w:rsidR="00D51AD4" w:rsidRPr="002D446B" w:rsidRDefault="00DF3E7D" w:rsidP="002A5C36">
      <w:pPr>
        <w:pStyle w:val="Puntos"/>
        <w:spacing w:line="295" w:lineRule="auto"/>
        <w:ind w:left="0"/>
        <w:rPr>
          <w:sz w:val="23"/>
          <w:szCs w:val="23"/>
        </w:rPr>
      </w:pPr>
      <w:r w:rsidRPr="002D446B">
        <w:rPr>
          <w:b/>
          <w:bCs/>
          <w:sz w:val="23"/>
          <w:szCs w:val="23"/>
        </w:rPr>
        <w:t>Sexto</w:t>
      </w:r>
      <w:r w:rsidR="00D51AD4" w:rsidRPr="002D446B">
        <w:rPr>
          <w:b/>
          <w:bCs/>
          <w:sz w:val="23"/>
          <w:szCs w:val="23"/>
        </w:rPr>
        <w:t>.</w:t>
      </w:r>
      <w:r w:rsidR="00D51AD4" w:rsidRPr="002D446B">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011B7A25" w14:textId="1E74A481" w:rsidR="008559B0" w:rsidRDefault="00EE4D92" w:rsidP="008559B0">
      <w:pPr>
        <w:pStyle w:val="Puntos"/>
        <w:spacing w:line="295" w:lineRule="auto"/>
        <w:ind w:left="0"/>
        <w:rPr>
          <w:sz w:val="23"/>
          <w:szCs w:val="23"/>
        </w:rPr>
      </w:pPr>
      <w:r w:rsidRPr="002D446B">
        <w:rPr>
          <w:sz w:val="23"/>
          <w:szCs w:val="23"/>
        </w:rPr>
        <w:t xml:space="preserve">El presente acuerdo fue aprobado </w:t>
      </w:r>
      <w:r w:rsidR="008559B0">
        <w:rPr>
          <w:sz w:val="23"/>
          <w:szCs w:val="23"/>
        </w:rPr>
        <w:t xml:space="preserve">en lo general </w:t>
      </w:r>
      <w:r w:rsidRPr="002D446B">
        <w:rPr>
          <w:sz w:val="23"/>
          <w:szCs w:val="23"/>
        </w:rPr>
        <w:t xml:space="preserve">en sesión ordinaria efectuada el 31 de marzo del año dos mil veintitrés, por </w:t>
      </w:r>
      <w:r w:rsidR="008559B0">
        <w:rPr>
          <w:sz w:val="23"/>
          <w:szCs w:val="23"/>
        </w:rPr>
        <w:t xml:space="preserve">votación unánime de las y los </w:t>
      </w:r>
      <w:r w:rsidRPr="002D446B">
        <w:rPr>
          <w:sz w:val="23"/>
          <w:szCs w:val="23"/>
        </w:rPr>
        <w:t>Consejeros Electorales del Consejo Estatal del Instituto Electoral y de Participación Ciudadana de Tabasco:</w:t>
      </w:r>
      <w:r w:rsidR="00EC1F48" w:rsidRPr="002D446B">
        <w:rPr>
          <w:sz w:val="23"/>
          <w:szCs w:val="23"/>
        </w:rPr>
        <w:t xml:space="preserve"> </w:t>
      </w:r>
      <w:r w:rsidR="008559B0" w:rsidRPr="008559B0">
        <w:rPr>
          <w:sz w:val="23"/>
          <w:szCs w:val="23"/>
        </w:rPr>
        <w:t>Mtra. Rosselvy del Carmen Domínguez Arévalo, Licda. María Elvia Magaña Sandoval, Mtro. Juan Correa López, M.D. Víctor Humberto Mejía Naranjo, Lic. Hernán González Sala, Lic. Vladimir Hernández Venegas y la Consejera Presidenta, Mtra. Elizabeth Nava Gutiérrez.</w:t>
      </w:r>
    </w:p>
    <w:p w14:paraId="402D6331" w14:textId="7A283F17" w:rsidR="008559B0" w:rsidRDefault="008559B0" w:rsidP="008559B0">
      <w:pPr>
        <w:pStyle w:val="Puntos"/>
        <w:spacing w:line="295" w:lineRule="auto"/>
        <w:ind w:left="0"/>
        <w:rPr>
          <w:sz w:val="23"/>
          <w:szCs w:val="23"/>
        </w:rPr>
      </w:pPr>
      <w:r>
        <w:rPr>
          <w:sz w:val="23"/>
          <w:szCs w:val="23"/>
        </w:rPr>
        <w:t xml:space="preserve">Se aprobó en lo particular </w:t>
      </w:r>
      <w:r>
        <w:rPr>
          <w:sz w:val="23"/>
          <w:szCs w:val="23"/>
        </w:rPr>
        <w:t xml:space="preserve">por lo que hace a la </w:t>
      </w:r>
      <w:r>
        <w:rPr>
          <w:sz w:val="23"/>
          <w:szCs w:val="23"/>
        </w:rPr>
        <w:t xml:space="preserve">Coordinación de lo Contencioso Electoral, por mayoría </w:t>
      </w:r>
      <w:r w:rsidR="00720207">
        <w:rPr>
          <w:sz w:val="23"/>
          <w:szCs w:val="23"/>
        </w:rPr>
        <w:t xml:space="preserve">de </w:t>
      </w:r>
      <w:r>
        <w:rPr>
          <w:sz w:val="23"/>
          <w:szCs w:val="23"/>
        </w:rPr>
        <w:t xml:space="preserve">cuatro votos a favor de las y los Consejeros Electorales </w:t>
      </w:r>
      <w:r w:rsidRPr="002D446B">
        <w:rPr>
          <w:sz w:val="23"/>
          <w:szCs w:val="23"/>
        </w:rPr>
        <w:t xml:space="preserve">del Consejo Estatal del Instituto Electoral y de Participación Ciudadana de Tabasco: </w:t>
      </w:r>
      <w:r w:rsidRPr="008559B0">
        <w:rPr>
          <w:sz w:val="23"/>
          <w:szCs w:val="23"/>
        </w:rPr>
        <w:t>Licda. María Elvia Magaña Sandoval, Mtro. Juan Correa López, Lic. Vladimir Hernández Venegas y la Consejera Presidenta, Mtra. Elizabeth Nava Gutiérr</w:t>
      </w:r>
      <w:r>
        <w:rPr>
          <w:sz w:val="23"/>
          <w:szCs w:val="23"/>
        </w:rPr>
        <w:t xml:space="preserve">ez; el voto en contra del Consejero Electoral, </w:t>
      </w:r>
      <w:r w:rsidRPr="008559B0">
        <w:rPr>
          <w:sz w:val="23"/>
          <w:szCs w:val="23"/>
        </w:rPr>
        <w:t>M.D. Víctor Humberto Mejía Naranjo</w:t>
      </w:r>
      <w:r>
        <w:rPr>
          <w:sz w:val="23"/>
          <w:szCs w:val="23"/>
        </w:rPr>
        <w:t xml:space="preserve"> y los votos particulares de la Consejera </w:t>
      </w:r>
      <w:r>
        <w:rPr>
          <w:sz w:val="23"/>
          <w:szCs w:val="23"/>
        </w:rPr>
        <w:t xml:space="preserve">y el Consejero </w:t>
      </w:r>
      <w:r>
        <w:rPr>
          <w:sz w:val="23"/>
          <w:szCs w:val="23"/>
        </w:rPr>
        <w:t>Electoral</w:t>
      </w:r>
      <w:r w:rsidR="00B55BC2">
        <w:rPr>
          <w:sz w:val="23"/>
          <w:szCs w:val="23"/>
        </w:rPr>
        <w:t>:</w:t>
      </w:r>
      <w:bookmarkStart w:id="0" w:name="_GoBack"/>
      <w:bookmarkEnd w:id="0"/>
      <w:r>
        <w:rPr>
          <w:sz w:val="23"/>
          <w:szCs w:val="23"/>
        </w:rPr>
        <w:t xml:space="preserve"> </w:t>
      </w:r>
      <w:r w:rsidRPr="002D446B">
        <w:rPr>
          <w:sz w:val="23"/>
          <w:szCs w:val="23"/>
        </w:rPr>
        <w:t>Mtra. Rosselvy del Carmen Domínguez Arévalo</w:t>
      </w:r>
      <w:r>
        <w:rPr>
          <w:sz w:val="23"/>
          <w:szCs w:val="23"/>
        </w:rPr>
        <w:t xml:space="preserve"> y </w:t>
      </w:r>
      <w:r w:rsidRPr="008559B0">
        <w:rPr>
          <w:sz w:val="23"/>
          <w:szCs w:val="23"/>
        </w:rPr>
        <w:t>Lic. Hernán González Sala</w:t>
      </w:r>
      <w:r>
        <w:rPr>
          <w:sz w:val="23"/>
          <w:szCs w:val="23"/>
        </w:rPr>
        <w:t>.</w:t>
      </w:r>
    </w:p>
    <w:p w14:paraId="3C27D10C" w14:textId="44FC6473" w:rsidR="008559B0" w:rsidRDefault="008559B0" w:rsidP="008559B0">
      <w:pPr>
        <w:pStyle w:val="Puntos"/>
        <w:spacing w:line="295" w:lineRule="auto"/>
        <w:ind w:left="0"/>
        <w:rPr>
          <w:sz w:val="23"/>
          <w:szCs w:val="23"/>
        </w:rPr>
      </w:pPr>
    </w:p>
    <w:p w14:paraId="66F7F176" w14:textId="6A31C31A" w:rsidR="00012B73" w:rsidRPr="002D446B" w:rsidRDefault="00012B73" w:rsidP="002B3031">
      <w:pPr>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2D446B" w:rsidRPr="002D446B" w14:paraId="0A63656E" w14:textId="77777777" w:rsidTr="00D3762F">
        <w:tc>
          <w:tcPr>
            <w:tcW w:w="4395" w:type="dxa"/>
          </w:tcPr>
          <w:p w14:paraId="65CD7ECC" w14:textId="77777777" w:rsidR="007B63AE" w:rsidRPr="002D446B" w:rsidRDefault="007B63AE" w:rsidP="00D3762F">
            <w:pPr>
              <w:widowControl w:val="0"/>
              <w:spacing w:after="0" w:line="288" w:lineRule="auto"/>
              <w:ind w:left="0"/>
              <w:jc w:val="center"/>
              <w:rPr>
                <w:b/>
                <w:spacing w:val="-10"/>
                <w:sz w:val="23"/>
                <w:szCs w:val="23"/>
              </w:rPr>
            </w:pPr>
            <w:r w:rsidRPr="002D446B">
              <w:rPr>
                <w:b/>
                <w:spacing w:val="-10"/>
                <w:sz w:val="23"/>
                <w:szCs w:val="23"/>
              </w:rPr>
              <w:t>MTRA. ELIZABETH NAVA GUTIÉRREZ</w:t>
            </w:r>
          </w:p>
          <w:p w14:paraId="17863579" w14:textId="77777777" w:rsidR="007B63AE" w:rsidRPr="002D446B" w:rsidRDefault="007B63AE" w:rsidP="00D3762F">
            <w:pPr>
              <w:widowControl w:val="0"/>
              <w:spacing w:after="0" w:line="288" w:lineRule="auto"/>
              <w:ind w:left="0"/>
              <w:jc w:val="center"/>
              <w:rPr>
                <w:b/>
                <w:sz w:val="23"/>
                <w:szCs w:val="23"/>
              </w:rPr>
            </w:pPr>
            <w:r w:rsidRPr="002D446B">
              <w:rPr>
                <w:b/>
                <w:spacing w:val="-10"/>
                <w:sz w:val="23"/>
                <w:szCs w:val="23"/>
              </w:rPr>
              <w:t>CONSEJERA PRESIDENTA</w:t>
            </w:r>
          </w:p>
        </w:tc>
        <w:tc>
          <w:tcPr>
            <w:tcW w:w="278" w:type="dxa"/>
          </w:tcPr>
          <w:p w14:paraId="12BE22E0" w14:textId="77777777" w:rsidR="007B63AE" w:rsidRPr="002D446B" w:rsidRDefault="007B63AE" w:rsidP="00D3762F">
            <w:pPr>
              <w:widowControl w:val="0"/>
              <w:spacing w:after="0" w:line="288" w:lineRule="auto"/>
              <w:rPr>
                <w:b/>
                <w:sz w:val="23"/>
                <w:szCs w:val="23"/>
              </w:rPr>
            </w:pPr>
          </w:p>
        </w:tc>
        <w:tc>
          <w:tcPr>
            <w:tcW w:w="4400" w:type="dxa"/>
          </w:tcPr>
          <w:p w14:paraId="234C9C88" w14:textId="77777777" w:rsidR="007B63AE" w:rsidRPr="002D446B" w:rsidRDefault="007B63AE" w:rsidP="00D3762F">
            <w:pPr>
              <w:widowControl w:val="0"/>
              <w:spacing w:after="0" w:line="288" w:lineRule="auto"/>
              <w:ind w:left="0"/>
              <w:jc w:val="center"/>
              <w:rPr>
                <w:b/>
                <w:spacing w:val="-10"/>
                <w:sz w:val="23"/>
                <w:szCs w:val="23"/>
              </w:rPr>
            </w:pPr>
            <w:r w:rsidRPr="002D446B">
              <w:rPr>
                <w:b/>
                <w:spacing w:val="-10"/>
                <w:sz w:val="23"/>
                <w:szCs w:val="23"/>
              </w:rPr>
              <w:t>LIC. JORGE ALBERTO ZAVALA FRÍAS</w:t>
            </w:r>
          </w:p>
          <w:p w14:paraId="4D1DC6E0" w14:textId="77777777" w:rsidR="007B63AE" w:rsidRPr="002D446B" w:rsidRDefault="007B63AE" w:rsidP="00D3762F">
            <w:pPr>
              <w:widowControl w:val="0"/>
              <w:spacing w:after="0" w:line="288" w:lineRule="auto"/>
              <w:ind w:left="0"/>
              <w:jc w:val="center"/>
              <w:rPr>
                <w:b/>
                <w:sz w:val="23"/>
                <w:szCs w:val="23"/>
              </w:rPr>
            </w:pPr>
            <w:r w:rsidRPr="002D446B">
              <w:rPr>
                <w:b/>
                <w:spacing w:val="-10"/>
                <w:sz w:val="23"/>
                <w:szCs w:val="23"/>
              </w:rPr>
              <w:t>SECRETARIO DEL CONSEJO</w:t>
            </w:r>
          </w:p>
        </w:tc>
      </w:tr>
    </w:tbl>
    <w:p w14:paraId="3395F4B6" w14:textId="4ED73826" w:rsidR="00466297" w:rsidRPr="002D446B" w:rsidRDefault="00466297" w:rsidP="002B3031">
      <w:pPr>
        <w:ind w:left="0"/>
        <w:rPr>
          <w:sz w:val="23"/>
          <w:szCs w:val="23"/>
        </w:rPr>
      </w:pPr>
    </w:p>
    <w:sectPr w:rsidR="00466297" w:rsidRPr="002D446B" w:rsidSect="00C413FD">
      <w:headerReference w:type="default" r:id="rId9"/>
      <w:footerReference w:type="default" r:id="rId10"/>
      <w:headerReference w:type="first" r:id="rId11"/>
      <w:pgSz w:w="12240" w:h="15840" w:code="1"/>
      <w:pgMar w:top="2552" w:right="1701" w:bottom="1418"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7419" w14:textId="77777777" w:rsidR="00C20958" w:rsidRDefault="00C20958" w:rsidP="00B7341E">
      <w:r>
        <w:separator/>
      </w:r>
    </w:p>
  </w:endnote>
  <w:endnote w:type="continuationSeparator" w:id="0">
    <w:p w14:paraId="1523798C" w14:textId="77777777" w:rsidR="00C20958" w:rsidRDefault="00C20958" w:rsidP="00B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ouis George Cafe">
    <w:panose1 w:val="00000000000000000000"/>
    <w:charset w:val="81"/>
    <w:family w:val="auto"/>
    <w:pitch w:val="variable"/>
    <w:sig w:usb0="01002A87" w:usb1="090F0000" w:usb2="00000010" w:usb3="00000000" w:csb0="003F00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06408398"/>
      <w:docPartObj>
        <w:docPartGallery w:val="Page Numbers (Bottom of Page)"/>
        <w:docPartUnique/>
      </w:docPartObj>
    </w:sdtPr>
    <w:sdtEndPr/>
    <w:sdtContent>
      <w:sdt>
        <w:sdtPr>
          <w:rPr>
            <w:b/>
            <w:bCs/>
            <w:color w:val="660033"/>
            <w:lang w:val="es-ES"/>
          </w:rPr>
          <w:id w:val="-215821050"/>
          <w:docPartObj>
            <w:docPartGallery w:val="Page Numbers (Bottom of Page)"/>
            <w:docPartUnique/>
          </w:docPartObj>
        </w:sdtPr>
        <w:sdtEndPr>
          <w:rPr>
            <w:sz w:val="20"/>
            <w:szCs w:val="20"/>
          </w:rPr>
        </w:sdtEndPr>
        <w:sdtContent>
          <w:p w14:paraId="51D053B1" w14:textId="3E4C9E5C" w:rsidR="007050DB" w:rsidRPr="0083287A" w:rsidRDefault="0083287A" w:rsidP="0083287A">
            <w:pPr>
              <w:pStyle w:val="Piedepgina"/>
              <w:ind w:left="510"/>
              <w:jc w:val="right"/>
              <w:rPr>
                <w:b/>
                <w:bCs/>
                <w:color w:val="660033"/>
                <w:sz w:val="20"/>
                <w:szCs w:val="20"/>
                <w:lang w:val="es-ES"/>
              </w:rPr>
            </w:pPr>
            <w:r w:rsidRPr="00B25371">
              <w:rPr>
                <w:b/>
                <w:bCs/>
                <w:color w:val="660033"/>
                <w:sz w:val="20"/>
                <w:szCs w:val="20"/>
                <w:lang w:val="es-ES"/>
              </w:rPr>
              <w:t xml:space="preserve">Página  </w:t>
            </w:r>
            <w:r w:rsidRPr="00B25371">
              <w:rPr>
                <w:b/>
                <w:bCs/>
                <w:color w:val="660033"/>
                <w:sz w:val="20"/>
                <w:szCs w:val="20"/>
              </w:rPr>
              <w:fldChar w:fldCharType="begin"/>
            </w:r>
            <w:r w:rsidRPr="00B25371">
              <w:rPr>
                <w:b/>
                <w:bCs/>
                <w:color w:val="660033"/>
                <w:sz w:val="20"/>
                <w:szCs w:val="20"/>
              </w:rPr>
              <w:instrText>PAGE   \* MERGEFORMAT</w:instrText>
            </w:r>
            <w:r w:rsidRPr="00B25371">
              <w:rPr>
                <w:b/>
                <w:bCs/>
                <w:color w:val="660033"/>
                <w:sz w:val="20"/>
                <w:szCs w:val="20"/>
              </w:rPr>
              <w:fldChar w:fldCharType="separate"/>
            </w:r>
            <w:r w:rsidR="00B55BC2">
              <w:rPr>
                <w:b/>
                <w:bCs/>
                <w:noProof/>
                <w:color w:val="660033"/>
                <w:sz w:val="20"/>
                <w:szCs w:val="20"/>
              </w:rPr>
              <w:t>19</w:t>
            </w:r>
            <w:r w:rsidRPr="00B25371">
              <w:rPr>
                <w:b/>
                <w:bCs/>
                <w:color w:val="660033"/>
                <w:sz w:val="20"/>
                <w:szCs w:val="20"/>
              </w:rPr>
              <w:fldChar w:fldCharType="end"/>
            </w:r>
            <w:r w:rsidRPr="00B25371">
              <w:rPr>
                <w:b/>
                <w:bCs/>
                <w:color w:val="660033"/>
                <w:sz w:val="20"/>
                <w:szCs w:val="20"/>
                <w:lang w:val="es-ES"/>
              </w:rPr>
              <w:t xml:space="preserve"> | </w:t>
            </w:r>
            <w:r w:rsidRPr="00B25371">
              <w:rPr>
                <w:b/>
                <w:bCs/>
                <w:color w:val="660033"/>
                <w:sz w:val="20"/>
                <w:szCs w:val="20"/>
                <w:lang w:val="es-ES"/>
              </w:rPr>
              <w:fldChar w:fldCharType="begin"/>
            </w:r>
            <w:r w:rsidRPr="00B25371">
              <w:rPr>
                <w:b/>
                <w:bCs/>
                <w:color w:val="660033"/>
                <w:sz w:val="20"/>
                <w:szCs w:val="20"/>
                <w:lang w:val="es-ES"/>
              </w:rPr>
              <w:instrText xml:space="preserve"> NUMPAGES   \* MERGEFORMAT </w:instrText>
            </w:r>
            <w:r w:rsidRPr="00B25371">
              <w:rPr>
                <w:b/>
                <w:bCs/>
                <w:color w:val="660033"/>
                <w:sz w:val="20"/>
                <w:szCs w:val="20"/>
                <w:lang w:val="es-ES"/>
              </w:rPr>
              <w:fldChar w:fldCharType="separate"/>
            </w:r>
            <w:r w:rsidR="00B55BC2">
              <w:rPr>
                <w:b/>
                <w:bCs/>
                <w:noProof/>
                <w:color w:val="660033"/>
                <w:sz w:val="20"/>
                <w:szCs w:val="20"/>
                <w:lang w:val="es-ES"/>
              </w:rPr>
              <w:t>19</w:t>
            </w:r>
            <w:r w:rsidRPr="00B25371">
              <w:rPr>
                <w:b/>
                <w:bCs/>
                <w:color w:val="660033"/>
                <w:sz w:val="20"/>
                <w:szCs w:val="20"/>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E5591" w14:textId="77777777" w:rsidR="00C20958" w:rsidRDefault="00C20958" w:rsidP="00B7341E">
      <w:r>
        <w:separator/>
      </w:r>
    </w:p>
  </w:footnote>
  <w:footnote w:type="continuationSeparator" w:id="0">
    <w:p w14:paraId="4B58D0FF" w14:textId="77777777" w:rsidR="00C20958" w:rsidRDefault="00C20958" w:rsidP="00B7341E">
      <w:r>
        <w:continuationSeparator/>
      </w:r>
    </w:p>
  </w:footnote>
  <w:footnote w:id="1">
    <w:p w14:paraId="682ECA9D" w14:textId="6E6E75E8" w:rsidR="000F49A3" w:rsidRPr="00D6737C" w:rsidRDefault="000F49A3" w:rsidP="000F49A3">
      <w:pPr>
        <w:pStyle w:val="Textonotapie"/>
        <w:ind w:left="0"/>
        <w:rPr>
          <w:sz w:val="16"/>
          <w:szCs w:val="16"/>
        </w:rPr>
      </w:pPr>
      <w:r w:rsidRPr="00D6737C">
        <w:rPr>
          <w:rStyle w:val="Refdenotaalpie"/>
          <w:sz w:val="16"/>
          <w:szCs w:val="16"/>
        </w:rPr>
        <w:footnoteRef/>
      </w:r>
      <w:r w:rsidRPr="00D6737C">
        <w:rPr>
          <w:sz w:val="16"/>
          <w:szCs w:val="16"/>
        </w:rPr>
        <w:t xml:space="preserve"> Conforme el artículo 49 de los Lineamientos, en la Convocatoria se señaló las calificaciones mínimas requeridas para alcanzar el resultado de “Aprobado” por cargo y p</w:t>
      </w:r>
      <w:r w:rsidR="002D446B">
        <w:rPr>
          <w:sz w:val="16"/>
          <w:szCs w:val="16"/>
        </w:rPr>
        <w:t>uesto sujeto a concurso: Para lo</w:t>
      </w:r>
      <w:r w:rsidRPr="00D6737C">
        <w:rPr>
          <w:sz w:val="16"/>
          <w:szCs w:val="16"/>
        </w:rPr>
        <w:t>s cargos correspondientes a las Coordinaciones, el mínimo aprobatorio era de 7.50.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D671D6" w:rsidRPr="00063338" w14:paraId="7E359488" w14:textId="77777777" w:rsidTr="00907833">
      <w:tc>
        <w:tcPr>
          <w:tcW w:w="1418" w:type="dxa"/>
        </w:tcPr>
        <w:p w14:paraId="258F8BF5" w14:textId="77777777" w:rsidR="00D671D6" w:rsidRPr="00063338" w:rsidRDefault="00D671D6" w:rsidP="00D671D6">
          <w:pPr>
            <w:pStyle w:val="Encabezado"/>
            <w:ind w:left="-170"/>
            <w:jc w:val="left"/>
          </w:pPr>
          <w:r>
            <w:rPr>
              <w:b/>
              <w:noProof/>
              <w:sz w:val="32"/>
              <w:lang w:eastAsia="es-MX"/>
            </w:rPr>
            <w:drawing>
              <wp:inline distT="0" distB="0" distL="0" distR="0" wp14:anchorId="6890119A" wp14:editId="7A0025DF">
                <wp:extent cx="1014331" cy="119940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EF90D86" w14:textId="28C409F4" w:rsidR="00D671D6" w:rsidRPr="00063338" w:rsidRDefault="00D671D6" w:rsidP="00D671D6">
          <w:pPr>
            <w:pStyle w:val="Encabezado"/>
            <w:spacing w:before="720"/>
            <w:ind w:left="0"/>
            <w:jc w:val="center"/>
            <w:rPr>
              <w:b/>
              <w:bCs/>
              <w:sz w:val="25"/>
              <w:szCs w:val="25"/>
            </w:rPr>
          </w:pPr>
          <w:r w:rsidRPr="00063338">
            <w:rPr>
              <w:b/>
              <w:bCs/>
              <w:sz w:val="25"/>
              <w:szCs w:val="25"/>
            </w:rPr>
            <w:t>INSTITUTO ELECTORAL Y DE PARTICIPACIÓN CIUDADANA DE TABASCO</w:t>
          </w:r>
        </w:p>
        <w:p w14:paraId="03888727" w14:textId="77777777" w:rsidR="00D671D6" w:rsidRPr="00063338" w:rsidRDefault="00D671D6" w:rsidP="00D671D6">
          <w:pPr>
            <w:pStyle w:val="Encabezado"/>
            <w:ind w:left="0"/>
            <w:jc w:val="center"/>
          </w:pPr>
          <w:r w:rsidRPr="00063338">
            <w:rPr>
              <w:sz w:val="26"/>
              <w:szCs w:val="26"/>
            </w:rPr>
            <w:t>CONSEJO ESTATAL</w:t>
          </w:r>
        </w:p>
      </w:tc>
      <w:tc>
        <w:tcPr>
          <w:tcW w:w="1701" w:type="dxa"/>
        </w:tcPr>
        <w:p w14:paraId="27B5A2DC" w14:textId="77777777" w:rsidR="00D671D6" w:rsidRPr="00063338" w:rsidRDefault="00D671D6" w:rsidP="00D671D6">
          <w:pPr>
            <w:pStyle w:val="Encabezado"/>
            <w:spacing w:before="480"/>
            <w:ind w:left="0"/>
          </w:pPr>
          <w:r w:rsidRPr="00063338">
            <w:rPr>
              <w:noProof/>
              <w:lang w:eastAsia="es-MX"/>
            </w:rPr>
            <w:drawing>
              <wp:inline distT="0" distB="0" distL="0" distR="0" wp14:anchorId="72B9CF8C" wp14:editId="5D5C31A8">
                <wp:extent cx="921600" cy="756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25BBD761" w:rsidR="002317D7" w:rsidRDefault="00C413FD" w:rsidP="00C413FD">
    <w:pPr>
      <w:pStyle w:val="Encabezado"/>
      <w:jc w:val="right"/>
      <w:rPr>
        <w:b/>
      </w:rPr>
    </w:pPr>
    <w:r w:rsidRPr="00C413FD">
      <w:rPr>
        <w:b/>
      </w:rPr>
      <w:t>CE/2023/</w:t>
    </w:r>
    <w:r w:rsidR="00B077FC">
      <w:rPr>
        <w:b/>
      </w:rPr>
      <w:t>009</w:t>
    </w:r>
  </w:p>
  <w:p w14:paraId="0B9F6672" w14:textId="6F2C1B9D" w:rsidR="00C413FD" w:rsidRPr="00C413FD" w:rsidRDefault="00C413FD" w:rsidP="00C413FD">
    <w:pPr>
      <w:pStyle w:val="Encabezado"/>
      <w:jc w:val="right"/>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413FD" w:rsidRPr="00063338" w14:paraId="20157A03" w14:textId="77777777" w:rsidTr="00192380">
      <w:tc>
        <w:tcPr>
          <w:tcW w:w="1418" w:type="dxa"/>
        </w:tcPr>
        <w:p w14:paraId="7F616DAA" w14:textId="456B6F47" w:rsidR="00C413FD" w:rsidRPr="00063338" w:rsidRDefault="00C413FD" w:rsidP="00C413FD">
          <w:pPr>
            <w:pStyle w:val="Encabezado"/>
            <w:ind w:left="-170"/>
            <w:jc w:val="left"/>
          </w:pPr>
          <w:r>
            <w:rPr>
              <w:b/>
              <w:noProof/>
              <w:sz w:val="32"/>
              <w:lang w:eastAsia="es-MX"/>
            </w:rPr>
            <w:drawing>
              <wp:inline distT="0" distB="0" distL="0" distR="0" wp14:anchorId="72F68E71" wp14:editId="5F9597BE">
                <wp:extent cx="1014331" cy="119940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7B920E5" w14:textId="77777777" w:rsidR="00C413FD" w:rsidRPr="00063338" w:rsidRDefault="00C413FD" w:rsidP="00C413FD">
          <w:pPr>
            <w:pStyle w:val="Encabezado"/>
            <w:spacing w:before="720"/>
            <w:ind w:left="0"/>
            <w:jc w:val="center"/>
            <w:rPr>
              <w:b/>
              <w:bCs/>
              <w:sz w:val="25"/>
              <w:szCs w:val="25"/>
            </w:rPr>
          </w:pPr>
          <w:r w:rsidRPr="00063338">
            <w:rPr>
              <w:b/>
              <w:bCs/>
              <w:sz w:val="25"/>
              <w:szCs w:val="25"/>
            </w:rPr>
            <w:t>INSTITUTO ELECTORAL Y DE PARTICIPACIÓN CIUDADANA DE TABASCO</w:t>
          </w:r>
        </w:p>
        <w:p w14:paraId="742FE10E" w14:textId="7D22B360" w:rsidR="00C413FD" w:rsidRPr="00063338" w:rsidRDefault="00C413FD" w:rsidP="00C413FD">
          <w:pPr>
            <w:pStyle w:val="Encabezado"/>
            <w:ind w:left="0"/>
            <w:jc w:val="center"/>
          </w:pPr>
          <w:r w:rsidRPr="00063338">
            <w:rPr>
              <w:sz w:val="26"/>
              <w:szCs w:val="26"/>
            </w:rPr>
            <w:t>CONSEJO ESTATAL</w:t>
          </w:r>
        </w:p>
      </w:tc>
      <w:tc>
        <w:tcPr>
          <w:tcW w:w="1701" w:type="dxa"/>
        </w:tcPr>
        <w:p w14:paraId="6BD9DD8E" w14:textId="77777777" w:rsidR="00C413FD" w:rsidRPr="00063338" w:rsidRDefault="00C413FD" w:rsidP="00C413FD">
          <w:pPr>
            <w:pStyle w:val="Encabezado"/>
            <w:spacing w:before="480"/>
            <w:ind w:left="0"/>
          </w:pPr>
          <w:r w:rsidRPr="00063338">
            <w:rPr>
              <w:noProof/>
              <w:lang w:eastAsia="es-MX"/>
            </w:rPr>
            <w:drawing>
              <wp:inline distT="0" distB="0" distL="0" distR="0" wp14:anchorId="21DC0BF2" wp14:editId="11C31976">
                <wp:extent cx="921600" cy="7560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ACFAF95" w14:textId="7E3800EB" w:rsidR="00C413FD" w:rsidRDefault="00B077FC" w:rsidP="00B077FC">
    <w:pPr>
      <w:pStyle w:val="Encabezado"/>
      <w:tabs>
        <w:tab w:val="clear" w:pos="4419"/>
        <w:tab w:val="clear" w:pos="8838"/>
        <w:tab w:val="left" w:pos="706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ED26935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BE37BE2"/>
    <w:multiLevelType w:val="hybridMultilevel"/>
    <w:tmpl w:val="0E8ED078"/>
    <w:lvl w:ilvl="0" w:tplc="3E906354">
      <w:start w:val="1"/>
      <w:numFmt w:val="upperRoman"/>
      <w:lvlText w:val="%1."/>
      <w:lvlJc w:val="left"/>
      <w:pPr>
        <w:ind w:left="1344" w:hanging="72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 w15:restartNumberingAfterBreak="0">
    <w:nsid w:val="3340558C"/>
    <w:multiLevelType w:val="hybridMultilevel"/>
    <w:tmpl w:val="F1CCC754"/>
    <w:lvl w:ilvl="0" w:tplc="9F0891E2">
      <w:start w:val="1"/>
      <w:numFmt w:val="lowerLetter"/>
      <w:pStyle w:val="Ttulo4"/>
      <w:lvlText w:val="%1)"/>
      <w:lvlJc w:val="left"/>
      <w:pPr>
        <w:ind w:left="4330" w:hanging="360"/>
      </w:p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3" w15:restartNumberingAfterBreak="0">
    <w:nsid w:val="36650130"/>
    <w:multiLevelType w:val="hybridMultilevel"/>
    <w:tmpl w:val="E19469BA"/>
    <w:lvl w:ilvl="0" w:tplc="76F4EC1E">
      <w:start w:val="1"/>
      <w:numFmt w:val="lowerLetter"/>
      <w:lvlText w:val="%1)"/>
      <w:lvlJc w:val="left"/>
      <w:pPr>
        <w:ind w:left="984" w:hanging="360"/>
      </w:pPr>
      <w:rPr>
        <w:rFonts w:hint="default"/>
      </w:r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4"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9A91E4F"/>
    <w:multiLevelType w:val="hybridMultilevel"/>
    <w:tmpl w:val="1C7AE3E4"/>
    <w:lvl w:ilvl="0" w:tplc="6A2ECDF6">
      <w:start w:val="1"/>
      <w:numFmt w:val="upperRoman"/>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6"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AAE31A9"/>
    <w:multiLevelType w:val="hybridMultilevel"/>
    <w:tmpl w:val="A7EC8B8A"/>
    <w:lvl w:ilvl="0" w:tplc="B1D4C260">
      <w:start w:val="1"/>
      <w:numFmt w:val="decimal"/>
      <w:lvlText w:val="2.%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8" w15:restartNumberingAfterBreak="0">
    <w:nsid w:val="60892CF0"/>
    <w:multiLevelType w:val="hybridMultilevel"/>
    <w:tmpl w:val="7DF24BA2"/>
    <w:lvl w:ilvl="0" w:tplc="CD8065FC">
      <w:start w:val="1"/>
      <w:numFmt w:val="lowerLetter"/>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num w:numId="1">
    <w:abstractNumId w:val="0"/>
  </w:num>
  <w:num w:numId="2">
    <w:abstractNumId w:val="4"/>
  </w:num>
  <w:num w:numId="3">
    <w:abstractNumId w:val="6"/>
  </w:num>
  <w:num w:numId="4">
    <w:abstractNumId w:val="8"/>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10F93"/>
    <w:rsid w:val="00012B73"/>
    <w:rsid w:val="000250D0"/>
    <w:rsid w:val="00032B21"/>
    <w:rsid w:val="00035CDF"/>
    <w:rsid w:val="0003732E"/>
    <w:rsid w:val="0004433B"/>
    <w:rsid w:val="00047949"/>
    <w:rsid w:val="00053023"/>
    <w:rsid w:val="00056BEB"/>
    <w:rsid w:val="00056CEF"/>
    <w:rsid w:val="00065227"/>
    <w:rsid w:val="00072277"/>
    <w:rsid w:val="00076236"/>
    <w:rsid w:val="00083CA2"/>
    <w:rsid w:val="000843A9"/>
    <w:rsid w:val="000A032B"/>
    <w:rsid w:val="000A1C90"/>
    <w:rsid w:val="000A7908"/>
    <w:rsid w:val="000B16D3"/>
    <w:rsid w:val="000B7D68"/>
    <w:rsid w:val="000C040B"/>
    <w:rsid w:val="000C0F54"/>
    <w:rsid w:val="000D76F8"/>
    <w:rsid w:val="000D7BA3"/>
    <w:rsid w:val="000E162C"/>
    <w:rsid w:val="000E2D88"/>
    <w:rsid w:val="000E5147"/>
    <w:rsid w:val="000F077F"/>
    <w:rsid w:val="000F0890"/>
    <w:rsid w:val="000F1621"/>
    <w:rsid w:val="000F35B9"/>
    <w:rsid w:val="000F49A3"/>
    <w:rsid w:val="000F5A22"/>
    <w:rsid w:val="000F5FF0"/>
    <w:rsid w:val="00104F9D"/>
    <w:rsid w:val="001056AC"/>
    <w:rsid w:val="001129CB"/>
    <w:rsid w:val="00115BA5"/>
    <w:rsid w:val="00122F5E"/>
    <w:rsid w:val="00135F9B"/>
    <w:rsid w:val="00140364"/>
    <w:rsid w:val="0014303B"/>
    <w:rsid w:val="0015218C"/>
    <w:rsid w:val="00152F39"/>
    <w:rsid w:val="00154377"/>
    <w:rsid w:val="00156A5B"/>
    <w:rsid w:val="0016249E"/>
    <w:rsid w:val="00162B88"/>
    <w:rsid w:val="0016334C"/>
    <w:rsid w:val="0016575F"/>
    <w:rsid w:val="00172F7E"/>
    <w:rsid w:val="001765C0"/>
    <w:rsid w:val="001A0CFD"/>
    <w:rsid w:val="001A514A"/>
    <w:rsid w:val="001A6797"/>
    <w:rsid w:val="001B37B1"/>
    <w:rsid w:val="001B56E2"/>
    <w:rsid w:val="001D1E9F"/>
    <w:rsid w:val="001D1FE0"/>
    <w:rsid w:val="001D36AF"/>
    <w:rsid w:val="001E202D"/>
    <w:rsid w:val="001E326A"/>
    <w:rsid w:val="001E61CF"/>
    <w:rsid w:val="001E62DE"/>
    <w:rsid w:val="001E7FAD"/>
    <w:rsid w:val="001F2A4C"/>
    <w:rsid w:val="001F56DA"/>
    <w:rsid w:val="002106C2"/>
    <w:rsid w:val="00211033"/>
    <w:rsid w:val="00212637"/>
    <w:rsid w:val="00216D5F"/>
    <w:rsid w:val="002317D7"/>
    <w:rsid w:val="00236C4A"/>
    <w:rsid w:val="00240065"/>
    <w:rsid w:val="00242579"/>
    <w:rsid w:val="002479D2"/>
    <w:rsid w:val="002506AD"/>
    <w:rsid w:val="002571B7"/>
    <w:rsid w:val="00257C13"/>
    <w:rsid w:val="002669C6"/>
    <w:rsid w:val="00266C85"/>
    <w:rsid w:val="0027182E"/>
    <w:rsid w:val="0028058C"/>
    <w:rsid w:val="00292DF0"/>
    <w:rsid w:val="0029579C"/>
    <w:rsid w:val="002A4840"/>
    <w:rsid w:val="002A5C36"/>
    <w:rsid w:val="002A64B9"/>
    <w:rsid w:val="002B107A"/>
    <w:rsid w:val="002B3031"/>
    <w:rsid w:val="002B7E5B"/>
    <w:rsid w:val="002D446B"/>
    <w:rsid w:val="002D7A31"/>
    <w:rsid w:val="002F3B2F"/>
    <w:rsid w:val="00303577"/>
    <w:rsid w:val="003037B0"/>
    <w:rsid w:val="00304462"/>
    <w:rsid w:val="00312D81"/>
    <w:rsid w:val="00324201"/>
    <w:rsid w:val="003347CC"/>
    <w:rsid w:val="00343FE7"/>
    <w:rsid w:val="003511F8"/>
    <w:rsid w:val="00351C27"/>
    <w:rsid w:val="00352590"/>
    <w:rsid w:val="00354605"/>
    <w:rsid w:val="0035751D"/>
    <w:rsid w:val="003576A3"/>
    <w:rsid w:val="00361A62"/>
    <w:rsid w:val="0037077C"/>
    <w:rsid w:val="003756CD"/>
    <w:rsid w:val="00392BF8"/>
    <w:rsid w:val="00392C86"/>
    <w:rsid w:val="003960F6"/>
    <w:rsid w:val="003A00F6"/>
    <w:rsid w:val="003A41D0"/>
    <w:rsid w:val="003A5750"/>
    <w:rsid w:val="003B1D8B"/>
    <w:rsid w:val="003B45A0"/>
    <w:rsid w:val="003B4B60"/>
    <w:rsid w:val="003C0122"/>
    <w:rsid w:val="003C3954"/>
    <w:rsid w:val="003C59C6"/>
    <w:rsid w:val="003C5F45"/>
    <w:rsid w:val="003D0C78"/>
    <w:rsid w:val="003D15AB"/>
    <w:rsid w:val="003D1C84"/>
    <w:rsid w:val="003D225B"/>
    <w:rsid w:val="003D6A3C"/>
    <w:rsid w:val="003D7EEB"/>
    <w:rsid w:val="003F268D"/>
    <w:rsid w:val="003F4119"/>
    <w:rsid w:val="00405306"/>
    <w:rsid w:val="004072F0"/>
    <w:rsid w:val="00412917"/>
    <w:rsid w:val="00413356"/>
    <w:rsid w:val="00415BF4"/>
    <w:rsid w:val="00426CFA"/>
    <w:rsid w:val="00434887"/>
    <w:rsid w:val="00447157"/>
    <w:rsid w:val="004513EC"/>
    <w:rsid w:val="004552C5"/>
    <w:rsid w:val="00457328"/>
    <w:rsid w:val="00466297"/>
    <w:rsid w:val="00472E62"/>
    <w:rsid w:val="004752A0"/>
    <w:rsid w:val="00497A27"/>
    <w:rsid w:val="004B1CAC"/>
    <w:rsid w:val="004B370E"/>
    <w:rsid w:val="004C0175"/>
    <w:rsid w:val="004C3177"/>
    <w:rsid w:val="004C4CCD"/>
    <w:rsid w:val="004D4302"/>
    <w:rsid w:val="004E5882"/>
    <w:rsid w:val="004F2330"/>
    <w:rsid w:val="00504B8B"/>
    <w:rsid w:val="005059E8"/>
    <w:rsid w:val="00512E8D"/>
    <w:rsid w:val="00517205"/>
    <w:rsid w:val="00531F36"/>
    <w:rsid w:val="00534AE7"/>
    <w:rsid w:val="00535D88"/>
    <w:rsid w:val="00541014"/>
    <w:rsid w:val="00541D1F"/>
    <w:rsid w:val="005529EE"/>
    <w:rsid w:val="00555D35"/>
    <w:rsid w:val="0057708F"/>
    <w:rsid w:val="005851F2"/>
    <w:rsid w:val="005938E4"/>
    <w:rsid w:val="005941BD"/>
    <w:rsid w:val="0059575D"/>
    <w:rsid w:val="005963FD"/>
    <w:rsid w:val="005A6D07"/>
    <w:rsid w:val="005A78BB"/>
    <w:rsid w:val="005B1875"/>
    <w:rsid w:val="005B25A0"/>
    <w:rsid w:val="005B638B"/>
    <w:rsid w:val="005C52DB"/>
    <w:rsid w:val="005C73ED"/>
    <w:rsid w:val="005C7F4F"/>
    <w:rsid w:val="005D5151"/>
    <w:rsid w:val="005E0A98"/>
    <w:rsid w:val="005E1F53"/>
    <w:rsid w:val="005E5AF2"/>
    <w:rsid w:val="005F2C05"/>
    <w:rsid w:val="005F486C"/>
    <w:rsid w:val="00603E7C"/>
    <w:rsid w:val="006105FD"/>
    <w:rsid w:val="00612404"/>
    <w:rsid w:val="00613E7E"/>
    <w:rsid w:val="00617C78"/>
    <w:rsid w:val="00621635"/>
    <w:rsid w:val="006279B8"/>
    <w:rsid w:val="00641187"/>
    <w:rsid w:val="006458AE"/>
    <w:rsid w:val="00647433"/>
    <w:rsid w:val="00652CDE"/>
    <w:rsid w:val="006563BB"/>
    <w:rsid w:val="006672E0"/>
    <w:rsid w:val="00680BD3"/>
    <w:rsid w:val="0068346C"/>
    <w:rsid w:val="00687AB1"/>
    <w:rsid w:val="006950EB"/>
    <w:rsid w:val="006A5665"/>
    <w:rsid w:val="006B355B"/>
    <w:rsid w:val="006C3141"/>
    <w:rsid w:val="006C42CA"/>
    <w:rsid w:val="006D086C"/>
    <w:rsid w:val="006D34AE"/>
    <w:rsid w:val="006D7A4C"/>
    <w:rsid w:val="006E4F45"/>
    <w:rsid w:val="006E6781"/>
    <w:rsid w:val="006E67BD"/>
    <w:rsid w:val="006F0B79"/>
    <w:rsid w:val="006F2FC4"/>
    <w:rsid w:val="006F3429"/>
    <w:rsid w:val="00700EAE"/>
    <w:rsid w:val="007038A6"/>
    <w:rsid w:val="00703E45"/>
    <w:rsid w:val="007050DB"/>
    <w:rsid w:val="00710FEE"/>
    <w:rsid w:val="007125B1"/>
    <w:rsid w:val="00717333"/>
    <w:rsid w:val="00720207"/>
    <w:rsid w:val="00723713"/>
    <w:rsid w:val="00730F60"/>
    <w:rsid w:val="007332C8"/>
    <w:rsid w:val="00734FEB"/>
    <w:rsid w:val="007353D0"/>
    <w:rsid w:val="00737FE4"/>
    <w:rsid w:val="00741428"/>
    <w:rsid w:val="007500D7"/>
    <w:rsid w:val="0076159C"/>
    <w:rsid w:val="0076452F"/>
    <w:rsid w:val="007667A3"/>
    <w:rsid w:val="00766E0C"/>
    <w:rsid w:val="00780553"/>
    <w:rsid w:val="00781D82"/>
    <w:rsid w:val="00791C37"/>
    <w:rsid w:val="007B489D"/>
    <w:rsid w:val="007B63AE"/>
    <w:rsid w:val="007B7B44"/>
    <w:rsid w:val="007C1E47"/>
    <w:rsid w:val="007C48E4"/>
    <w:rsid w:val="007C7F69"/>
    <w:rsid w:val="007D08FA"/>
    <w:rsid w:val="007D2568"/>
    <w:rsid w:val="007D2F0C"/>
    <w:rsid w:val="007D3F7E"/>
    <w:rsid w:val="007D5E15"/>
    <w:rsid w:val="007F070A"/>
    <w:rsid w:val="007F1038"/>
    <w:rsid w:val="007F3DC7"/>
    <w:rsid w:val="00802302"/>
    <w:rsid w:val="00806D15"/>
    <w:rsid w:val="00820719"/>
    <w:rsid w:val="00822435"/>
    <w:rsid w:val="008238E3"/>
    <w:rsid w:val="00824353"/>
    <w:rsid w:val="00825AE4"/>
    <w:rsid w:val="0083287A"/>
    <w:rsid w:val="00840A79"/>
    <w:rsid w:val="00841476"/>
    <w:rsid w:val="008433AD"/>
    <w:rsid w:val="00843E50"/>
    <w:rsid w:val="0084625F"/>
    <w:rsid w:val="00852000"/>
    <w:rsid w:val="00854B03"/>
    <w:rsid w:val="008559B0"/>
    <w:rsid w:val="00863FF2"/>
    <w:rsid w:val="0086471F"/>
    <w:rsid w:val="00865A50"/>
    <w:rsid w:val="008662A8"/>
    <w:rsid w:val="00867C47"/>
    <w:rsid w:val="008737AF"/>
    <w:rsid w:val="00873F71"/>
    <w:rsid w:val="00880D9E"/>
    <w:rsid w:val="008837DD"/>
    <w:rsid w:val="0088560E"/>
    <w:rsid w:val="0089533B"/>
    <w:rsid w:val="00896C8C"/>
    <w:rsid w:val="008B0CE5"/>
    <w:rsid w:val="008C02CE"/>
    <w:rsid w:val="008C0808"/>
    <w:rsid w:val="008C3B48"/>
    <w:rsid w:val="008C4617"/>
    <w:rsid w:val="008C515F"/>
    <w:rsid w:val="008F005C"/>
    <w:rsid w:val="008F14DC"/>
    <w:rsid w:val="008F2DAC"/>
    <w:rsid w:val="00901FFC"/>
    <w:rsid w:val="00902C3B"/>
    <w:rsid w:val="00913600"/>
    <w:rsid w:val="00913FBD"/>
    <w:rsid w:val="00914FB7"/>
    <w:rsid w:val="009152C7"/>
    <w:rsid w:val="009172A3"/>
    <w:rsid w:val="009231A8"/>
    <w:rsid w:val="00940ECC"/>
    <w:rsid w:val="00941344"/>
    <w:rsid w:val="009445DA"/>
    <w:rsid w:val="00944608"/>
    <w:rsid w:val="00950DB3"/>
    <w:rsid w:val="0095455F"/>
    <w:rsid w:val="00956F78"/>
    <w:rsid w:val="00981B44"/>
    <w:rsid w:val="00982F4F"/>
    <w:rsid w:val="00984191"/>
    <w:rsid w:val="00991B8B"/>
    <w:rsid w:val="009A09D4"/>
    <w:rsid w:val="009A2E0D"/>
    <w:rsid w:val="009A5FF2"/>
    <w:rsid w:val="009B0AE0"/>
    <w:rsid w:val="009B1ABB"/>
    <w:rsid w:val="009B2E06"/>
    <w:rsid w:val="009B3092"/>
    <w:rsid w:val="009B4B00"/>
    <w:rsid w:val="009B770C"/>
    <w:rsid w:val="009D016D"/>
    <w:rsid w:val="009D04EE"/>
    <w:rsid w:val="009D3F8A"/>
    <w:rsid w:val="009E0214"/>
    <w:rsid w:val="009E0321"/>
    <w:rsid w:val="009E3E40"/>
    <w:rsid w:val="009E609C"/>
    <w:rsid w:val="009F0DC3"/>
    <w:rsid w:val="009F4051"/>
    <w:rsid w:val="00A03B39"/>
    <w:rsid w:val="00A0602A"/>
    <w:rsid w:val="00A06EF3"/>
    <w:rsid w:val="00A1479E"/>
    <w:rsid w:val="00A173F4"/>
    <w:rsid w:val="00A2196F"/>
    <w:rsid w:val="00A264CB"/>
    <w:rsid w:val="00A30B80"/>
    <w:rsid w:val="00A35925"/>
    <w:rsid w:val="00A36A03"/>
    <w:rsid w:val="00A6535D"/>
    <w:rsid w:val="00A7647A"/>
    <w:rsid w:val="00A77BEC"/>
    <w:rsid w:val="00A80C37"/>
    <w:rsid w:val="00A84F47"/>
    <w:rsid w:val="00AA3424"/>
    <w:rsid w:val="00AB522F"/>
    <w:rsid w:val="00AB797B"/>
    <w:rsid w:val="00AC1628"/>
    <w:rsid w:val="00AC351C"/>
    <w:rsid w:val="00AD1B8B"/>
    <w:rsid w:val="00AD48D9"/>
    <w:rsid w:val="00AD7D56"/>
    <w:rsid w:val="00AE584D"/>
    <w:rsid w:val="00AE60B2"/>
    <w:rsid w:val="00AE6D8B"/>
    <w:rsid w:val="00AF12C0"/>
    <w:rsid w:val="00AF1F85"/>
    <w:rsid w:val="00AF2097"/>
    <w:rsid w:val="00B04A9E"/>
    <w:rsid w:val="00B04FAD"/>
    <w:rsid w:val="00B077FC"/>
    <w:rsid w:val="00B144CC"/>
    <w:rsid w:val="00B2146F"/>
    <w:rsid w:val="00B23693"/>
    <w:rsid w:val="00B26071"/>
    <w:rsid w:val="00B30C8E"/>
    <w:rsid w:val="00B537C2"/>
    <w:rsid w:val="00B540F1"/>
    <w:rsid w:val="00B55BC2"/>
    <w:rsid w:val="00B6266A"/>
    <w:rsid w:val="00B67588"/>
    <w:rsid w:val="00B71FB9"/>
    <w:rsid w:val="00B7341E"/>
    <w:rsid w:val="00B75DD1"/>
    <w:rsid w:val="00B765DA"/>
    <w:rsid w:val="00B80B01"/>
    <w:rsid w:val="00B84BE9"/>
    <w:rsid w:val="00B85DE8"/>
    <w:rsid w:val="00B94458"/>
    <w:rsid w:val="00B967AA"/>
    <w:rsid w:val="00BA6A63"/>
    <w:rsid w:val="00BB110A"/>
    <w:rsid w:val="00BB30B4"/>
    <w:rsid w:val="00BC6459"/>
    <w:rsid w:val="00BC7754"/>
    <w:rsid w:val="00BD0762"/>
    <w:rsid w:val="00BD278C"/>
    <w:rsid w:val="00BD4487"/>
    <w:rsid w:val="00BE293A"/>
    <w:rsid w:val="00BE3DC4"/>
    <w:rsid w:val="00BE5CA1"/>
    <w:rsid w:val="00BF3B92"/>
    <w:rsid w:val="00BF64F5"/>
    <w:rsid w:val="00BF7F3E"/>
    <w:rsid w:val="00C005F9"/>
    <w:rsid w:val="00C0145B"/>
    <w:rsid w:val="00C02A2D"/>
    <w:rsid w:val="00C03315"/>
    <w:rsid w:val="00C05F84"/>
    <w:rsid w:val="00C071C0"/>
    <w:rsid w:val="00C10849"/>
    <w:rsid w:val="00C20958"/>
    <w:rsid w:val="00C351C1"/>
    <w:rsid w:val="00C413FD"/>
    <w:rsid w:val="00C4226A"/>
    <w:rsid w:val="00C447F8"/>
    <w:rsid w:val="00C544F5"/>
    <w:rsid w:val="00C54F97"/>
    <w:rsid w:val="00C56061"/>
    <w:rsid w:val="00C5751F"/>
    <w:rsid w:val="00C60A89"/>
    <w:rsid w:val="00C66305"/>
    <w:rsid w:val="00C70905"/>
    <w:rsid w:val="00C72EB7"/>
    <w:rsid w:val="00C803B1"/>
    <w:rsid w:val="00C82AE0"/>
    <w:rsid w:val="00C84319"/>
    <w:rsid w:val="00C903BC"/>
    <w:rsid w:val="00C90FF3"/>
    <w:rsid w:val="00C910F8"/>
    <w:rsid w:val="00C95A97"/>
    <w:rsid w:val="00CA1BD2"/>
    <w:rsid w:val="00CA2026"/>
    <w:rsid w:val="00CA2BE7"/>
    <w:rsid w:val="00CA79B4"/>
    <w:rsid w:val="00CB4B82"/>
    <w:rsid w:val="00CC6840"/>
    <w:rsid w:val="00CD092F"/>
    <w:rsid w:val="00CE1670"/>
    <w:rsid w:val="00CE1DCA"/>
    <w:rsid w:val="00CE7FB3"/>
    <w:rsid w:val="00D06EE0"/>
    <w:rsid w:val="00D136C7"/>
    <w:rsid w:val="00D32357"/>
    <w:rsid w:val="00D37A23"/>
    <w:rsid w:val="00D51AD4"/>
    <w:rsid w:val="00D665BF"/>
    <w:rsid w:val="00D66FA8"/>
    <w:rsid w:val="00D671D6"/>
    <w:rsid w:val="00D6737C"/>
    <w:rsid w:val="00D808A1"/>
    <w:rsid w:val="00D87B87"/>
    <w:rsid w:val="00D9197A"/>
    <w:rsid w:val="00D92FAC"/>
    <w:rsid w:val="00D941AD"/>
    <w:rsid w:val="00D97522"/>
    <w:rsid w:val="00DA7F0E"/>
    <w:rsid w:val="00DC12A7"/>
    <w:rsid w:val="00DC24BD"/>
    <w:rsid w:val="00DC5660"/>
    <w:rsid w:val="00DC5E9D"/>
    <w:rsid w:val="00DC6D51"/>
    <w:rsid w:val="00DE472C"/>
    <w:rsid w:val="00DF1419"/>
    <w:rsid w:val="00DF1A16"/>
    <w:rsid w:val="00DF3E7D"/>
    <w:rsid w:val="00DF7FFA"/>
    <w:rsid w:val="00E010E2"/>
    <w:rsid w:val="00E221ED"/>
    <w:rsid w:val="00E31F2D"/>
    <w:rsid w:val="00E3263E"/>
    <w:rsid w:val="00E33F9F"/>
    <w:rsid w:val="00E353CF"/>
    <w:rsid w:val="00E53858"/>
    <w:rsid w:val="00E6002A"/>
    <w:rsid w:val="00E609D2"/>
    <w:rsid w:val="00E64B06"/>
    <w:rsid w:val="00E65CE1"/>
    <w:rsid w:val="00E73743"/>
    <w:rsid w:val="00E74DCE"/>
    <w:rsid w:val="00E7787C"/>
    <w:rsid w:val="00E92057"/>
    <w:rsid w:val="00E968E1"/>
    <w:rsid w:val="00EA22FC"/>
    <w:rsid w:val="00EA377C"/>
    <w:rsid w:val="00EA6E66"/>
    <w:rsid w:val="00EB2302"/>
    <w:rsid w:val="00EB48D1"/>
    <w:rsid w:val="00EB6D78"/>
    <w:rsid w:val="00EB6F25"/>
    <w:rsid w:val="00EB7258"/>
    <w:rsid w:val="00EC009D"/>
    <w:rsid w:val="00EC0570"/>
    <w:rsid w:val="00EC08F7"/>
    <w:rsid w:val="00EC1F48"/>
    <w:rsid w:val="00EC3E7E"/>
    <w:rsid w:val="00EC609D"/>
    <w:rsid w:val="00EC7046"/>
    <w:rsid w:val="00ED5C0B"/>
    <w:rsid w:val="00EE4D92"/>
    <w:rsid w:val="00EE53A5"/>
    <w:rsid w:val="00EE5B8B"/>
    <w:rsid w:val="00EE5FE4"/>
    <w:rsid w:val="00EF2EF5"/>
    <w:rsid w:val="00EF44E7"/>
    <w:rsid w:val="00EF7C8B"/>
    <w:rsid w:val="00F03E90"/>
    <w:rsid w:val="00F05C10"/>
    <w:rsid w:val="00F06286"/>
    <w:rsid w:val="00F07202"/>
    <w:rsid w:val="00F1238E"/>
    <w:rsid w:val="00F15857"/>
    <w:rsid w:val="00F16F21"/>
    <w:rsid w:val="00F27505"/>
    <w:rsid w:val="00F328D1"/>
    <w:rsid w:val="00F3399E"/>
    <w:rsid w:val="00F40F09"/>
    <w:rsid w:val="00F50CE1"/>
    <w:rsid w:val="00F51A20"/>
    <w:rsid w:val="00F54021"/>
    <w:rsid w:val="00F554FF"/>
    <w:rsid w:val="00F8459B"/>
    <w:rsid w:val="00F87845"/>
    <w:rsid w:val="00F94E36"/>
    <w:rsid w:val="00F96938"/>
    <w:rsid w:val="00FB3093"/>
    <w:rsid w:val="00FB3CC9"/>
    <w:rsid w:val="00FC13E5"/>
    <w:rsid w:val="00FC15EC"/>
    <w:rsid w:val="00FD7812"/>
    <w:rsid w:val="00FE4C56"/>
    <w:rsid w:val="00FF201B"/>
    <w:rsid w:val="00FF30AD"/>
    <w:rsid w:val="00FF31A7"/>
    <w:rsid w:val="00FF6B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1E"/>
    <w:pPr>
      <w:spacing w:after="240" w:line="283" w:lineRule="auto"/>
      <w:ind w:left="624"/>
      <w:jc w:val="both"/>
    </w:pPr>
    <w:rPr>
      <w:rFonts w:ascii="Arial" w:hAnsi="Arial" w:cs="Arial"/>
      <w:sz w:val="24"/>
      <w:szCs w:val="24"/>
    </w:rPr>
  </w:style>
  <w:style w:type="paragraph" w:styleId="Ttulo1">
    <w:name w:val="heading 1"/>
    <w:basedOn w:val="Normal"/>
    <w:next w:val="Normal"/>
    <w:link w:val="Ttulo1Car"/>
    <w:uiPriority w:val="9"/>
    <w:qFormat/>
    <w:rsid w:val="002B7E5B"/>
    <w:pPr>
      <w:numPr>
        <w:numId w:val="1"/>
      </w:numPr>
      <w:spacing w:before="480" w:after="360" w:line="295" w:lineRule="auto"/>
      <w:jc w:val="center"/>
      <w:outlineLvl w:val="0"/>
    </w:pPr>
    <w:rPr>
      <w:b/>
      <w:bCs/>
      <w:sz w:val="28"/>
      <w:szCs w:val="23"/>
    </w:rPr>
  </w:style>
  <w:style w:type="paragraph" w:styleId="Ttulo2">
    <w:name w:val="heading 2"/>
    <w:basedOn w:val="Normal"/>
    <w:next w:val="Normal"/>
    <w:link w:val="Ttulo2Car"/>
    <w:uiPriority w:val="9"/>
    <w:unhideWhenUsed/>
    <w:qFormat/>
    <w:rsid w:val="00B537C2"/>
    <w:pPr>
      <w:keepNext/>
      <w:keepLines/>
      <w:numPr>
        <w:ilvl w:val="1"/>
        <w:numId w:val="1"/>
      </w:numPr>
      <w:spacing w:before="360" w:after="0"/>
      <w:ind w:left="624" w:hanging="624"/>
      <w:outlineLvl w:val="1"/>
    </w:pPr>
    <w:rPr>
      <w:rFonts w:eastAsiaTheme="majorEastAsia"/>
      <w:b/>
      <w:bCs/>
    </w:rPr>
  </w:style>
  <w:style w:type="paragraph" w:styleId="Ttulo3">
    <w:name w:val="heading 3"/>
    <w:basedOn w:val="Normal"/>
    <w:next w:val="Normal"/>
    <w:link w:val="Ttulo3Car"/>
    <w:uiPriority w:val="9"/>
    <w:unhideWhenUsed/>
    <w:qFormat/>
    <w:rsid w:val="001E326A"/>
    <w:pPr>
      <w:spacing w:before="240" w:line="295" w:lineRule="auto"/>
      <w:outlineLvl w:val="2"/>
    </w:pPr>
    <w:rPr>
      <w:sz w:val="23"/>
      <w:szCs w:val="23"/>
    </w:rPr>
  </w:style>
  <w:style w:type="paragraph" w:styleId="Ttulo4">
    <w:name w:val="heading 4"/>
    <w:basedOn w:val="Ttulo3"/>
    <w:next w:val="Normal"/>
    <w:link w:val="Ttulo4Car"/>
    <w:uiPriority w:val="9"/>
    <w:unhideWhenUsed/>
    <w:qFormat/>
    <w:rsid w:val="006D7A4C"/>
    <w:pPr>
      <w:numPr>
        <w:numId w:val="8"/>
      </w:numPr>
      <w:spacing w:before="480"/>
      <w:ind w:left="981" w:hanging="357"/>
      <w:outlineLvl w:val="3"/>
    </w:pPr>
    <w:rPr>
      <w:b/>
      <w:bCs/>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7E5B"/>
    <w:rPr>
      <w:rFonts w:ascii="Arial" w:hAnsi="Arial" w:cs="Arial"/>
      <w:b/>
      <w:bCs/>
      <w:sz w:val="28"/>
      <w:szCs w:val="23"/>
    </w:rPr>
  </w:style>
  <w:style w:type="character" w:customStyle="1" w:styleId="Ttulo3Car">
    <w:name w:val="Título 3 Car"/>
    <w:basedOn w:val="Fuentedeprrafopredeter"/>
    <w:link w:val="Ttulo3"/>
    <w:uiPriority w:val="9"/>
    <w:rsid w:val="001E326A"/>
    <w:rPr>
      <w:rFonts w:ascii="Arial" w:hAnsi="Arial" w:cs="Arial"/>
      <w:sz w:val="23"/>
      <w:szCs w:val="23"/>
    </w:rPr>
  </w:style>
  <w:style w:type="character" w:customStyle="1" w:styleId="Ttulo2Car">
    <w:name w:val="Título 2 Car"/>
    <w:basedOn w:val="Fuentedeprrafopredeter"/>
    <w:link w:val="Ttulo2"/>
    <w:uiPriority w:val="9"/>
    <w:rsid w:val="00B537C2"/>
    <w:rPr>
      <w:rFonts w:ascii="Arial" w:eastAsiaTheme="majorEastAsia" w:hAnsi="Arial" w:cs="Arial"/>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rsid w:val="006D7A4C"/>
    <w:rPr>
      <w:rFonts w:ascii="Arial" w:hAnsi="Arial" w:cs="Arial"/>
      <w:b/>
      <w:bCs/>
      <w:sz w:val="23"/>
      <w:szCs w:val="23"/>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472C"/>
    <w:pPr>
      <w:ind w:left="720"/>
      <w:contextualSpacing/>
    </w:pPr>
  </w:style>
  <w:style w:type="paragraph" w:styleId="Textonotapie">
    <w:name w:val="footnote text"/>
    <w:basedOn w:val="Normal"/>
    <w:link w:val="TextonotapieCar"/>
    <w:uiPriority w:val="99"/>
    <w:semiHidden/>
    <w:unhideWhenUsed/>
    <w:rsid w:val="00BF3B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3B92"/>
    <w:rPr>
      <w:rFonts w:ascii="Arial" w:hAnsi="Arial" w:cs="Arial"/>
      <w:sz w:val="20"/>
      <w:szCs w:val="20"/>
    </w:rPr>
  </w:style>
  <w:style w:type="character" w:styleId="Refdenotaalpie">
    <w:name w:val="footnote reference"/>
    <w:basedOn w:val="Fuentedeprrafopredeter"/>
    <w:uiPriority w:val="99"/>
    <w:semiHidden/>
    <w:unhideWhenUsed/>
    <w:rsid w:val="00BF3B92"/>
    <w:rPr>
      <w:vertAlign w:val="superscript"/>
    </w:rPr>
  </w:style>
  <w:style w:type="character" w:styleId="Hipervnculo">
    <w:name w:val="Hyperlink"/>
    <w:basedOn w:val="Fuentedeprrafopredeter"/>
    <w:uiPriority w:val="99"/>
    <w:unhideWhenUsed/>
    <w:rsid w:val="008F14DC"/>
    <w:rPr>
      <w:color w:val="0563C1" w:themeColor="hyperlink"/>
      <w:u w:val="single"/>
    </w:rPr>
  </w:style>
  <w:style w:type="character" w:customStyle="1" w:styleId="Mencinsinresolver1">
    <w:name w:val="Mención sin resolver1"/>
    <w:basedOn w:val="Fuentedeprrafopredeter"/>
    <w:uiPriority w:val="99"/>
    <w:semiHidden/>
    <w:unhideWhenUsed/>
    <w:rsid w:val="008F14DC"/>
    <w:rPr>
      <w:color w:val="605E5C"/>
      <w:shd w:val="clear" w:color="auto" w:fill="E1DFDD"/>
    </w:rPr>
  </w:style>
  <w:style w:type="paragraph" w:styleId="Textodeglobo">
    <w:name w:val="Balloon Text"/>
    <w:basedOn w:val="Normal"/>
    <w:link w:val="TextodegloboCar"/>
    <w:uiPriority w:val="99"/>
    <w:semiHidden/>
    <w:unhideWhenUsed/>
    <w:rsid w:val="000F35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5B9"/>
    <w:rPr>
      <w:rFonts w:ascii="Segoe UI" w:hAnsi="Segoe UI" w:cs="Segoe UI"/>
      <w:sz w:val="18"/>
      <w:szCs w:val="18"/>
    </w:rPr>
  </w:style>
  <w:style w:type="paragraph" w:styleId="Saludo">
    <w:name w:val="Salutation"/>
    <w:basedOn w:val="Normal"/>
    <w:next w:val="Normal"/>
    <w:link w:val="SaludoCar"/>
    <w:uiPriority w:val="99"/>
    <w:unhideWhenUsed/>
    <w:rsid w:val="001D1FE0"/>
  </w:style>
  <w:style w:type="character" w:customStyle="1" w:styleId="SaludoCar">
    <w:name w:val="Saludo Car"/>
    <w:basedOn w:val="Fuentedeprrafopredeter"/>
    <w:link w:val="Saludo"/>
    <w:uiPriority w:val="99"/>
    <w:rsid w:val="001D1FE0"/>
    <w:rPr>
      <w:rFonts w:ascii="Arial" w:hAnsi="Arial" w:cs="Arial"/>
      <w:sz w:val="24"/>
      <w:szCs w:val="24"/>
    </w:rPr>
  </w:style>
  <w:style w:type="paragraph" w:styleId="Textoindependiente">
    <w:name w:val="Body Text"/>
    <w:basedOn w:val="Normal"/>
    <w:link w:val="TextoindependienteCar"/>
    <w:uiPriority w:val="99"/>
    <w:unhideWhenUsed/>
    <w:rsid w:val="001D1FE0"/>
    <w:pPr>
      <w:spacing w:after="120"/>
    </w:pPr>
  </w:style>
  <w:style w:type="character" w:customStyle="1" w:styleId="TextoindependienteCar">
    <w:name w:val="Texto independiente Car"/>
    <w:basedOn w:val="Fuentedeprrafopredeter"/>
    <w:link w:val="Textoindependiente"/>
    <w:uiPriority w:val="99"/>
    <w:rsid w:val="001D1FE0"/>
    <w:rPr>
      <w:rFonts w:ascii="Arial" w:hAnsi="Arial" w:cs="Arial"/>
      <w:sz w:val="24"/>
      <w:szCs w:val="24"/>
    </w:rPr>
  </w:style>
  <w:style w:type="paragraph" w:styleId="Sangradetextonormal">
    <w:name w:val="Body Text Indent"/>
    <w:basedOn w:val="Normal"/>
    <w:link w:val="SangradetextonormalCar"/>
    <w:uiPriority w:val="99"/>
    <w:semiHidden/>
    <w:unhideWhenUsed/>
    <w:rsid w:val="001D1FE0"/>
    <w:pPr>
      <w:spacing w:after="120"/>
      <w:ind w:left="283"/>
    </w:pPr>
  </w:style>
  <w:style w:type="character" w:customStyle="1" w:styleId="SangradetextonormalCar">
    <w:name w:val="Sangría de texto normal Car"/>
    <w:basedOn w:val="Fuentedeprrafopredeter"/>
    <w:link w:val="Sangradetextonormal"/>
    <w:uiPriority w:val="99"/>
    <w:semiHidden/>
    <w:rsid w:val="001D1FE0"/>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unhideWhenUsed/>
    <w:rsid w:val="001D1FE0"/>
    <w:pPr>
      <w:spacing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D1FE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lace.spen@iepct.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2160-DCC2-4E8A-908B-C6DEEF9B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19</Pages>
  <Words>5679</Words>
  <Characters>31239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Lic_ Carlos E. León Mayo</cp:lastModifiedBy>
  <cp:revision>16</cp:revision>
  <cp:lastPrinted>2023-04-05T00:12:00Z</cp:lastPrinted>
  <dcterms:created xsi:type="dcterms:W3CDTF">2023-04-04T23:55:00Z</dcterms:created>
  <dcterms:modified xsi:type="dcterms:W3CDTF">2023-04-12T00:02:00Z</dcterms:modified>
</cp:coreProperties>
</file>