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457" w:rsidRDefault="003D07F6" w:rsidP="00101A8E">
      <w:pPr>
        <w:rPr>
          <w:rFonts w:ascii="Arial" w:hAnsi="Arial" w:cs="Arial"/>
          <w:b/>
          <w:sz w:val="24"/>
          <w:szCs w:val="23"/>
        </w:rPr>
      </w:pPr>
      <w:r w:rsidRPr="00FA6047">
        <w:rPr>
          <w:rFonts w:ascii="Arial" w:hAnsi="Arial" w:cs="Arial"/>
          <w:b/>
          <w:sz w:val="24"/>
          <w:szCs w:val="23"/>
        </w:rPr>
        <w:t>ACUERDO QUE, EMITE EL CONSEJO ESTATAL DEL INSTITUTO ELECTORAL Y DE PARTICIPACIÓN CIUDADANA, MEDIANTE EL CUAL APRUEBA LOS DICTÁMENES PARA EL OTORGAMIENTO DE INCENTIVOS POR RENDIMIENTO 2023, CORRESPONDIENTE AL EJERCICIO VALORADO 2022, A MIEMBROS DEL SERVICIO PROFESIONAL ELECTORAL, PROPUESTO POR LA COMISIÓN PERMANENTE DE SEGUIMIENTO AL SERVICIO PROFESIONAL ELECTORAL NACIONAL CON CARÁCTER ADMINISTRATIVA</w:t>
      </w:r>
    </w:p>
    <w:p w:rsidR="00DC3F7E" w:rsidRPr="00FA6047" w:rsidRDefault="00DC3F7E" w:rsidP="00DC3F7E">
      <w:pPr>
        <w:widowControl w:val="0"/>
        <w:rPr>
          <w:rFonts w:ascii="Arial" w:hAnsi="Arial" w:cs="Arial"/>
        </w:rPr>
      </w:pPr>
      <w:r w:rsidRPr="00FA6047">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FA6047" w:rsidRPr="00FA6047" w:rsidTr="00902C02">
        <w:trPr>
          <w:trHeight w:val="624"/>
          <w:jc w:val="center"/>
        </w:trPr>
        <w:tc>
          <w:tcPr>
            <w:tcW w:w="2042" w:type="pct"/>
            <w:shd w:val="clear" w:color="auto" w:fill="auto"/>
            <w:vAlign w:val="center"/>
          </w:tcPr>
          <w:p w:rsidR="00353DE7" w:rsidRPr="003D07F6" w:rsidRDefault="00353DE7" w:rsidP="00353DE7">
            <w:pPr>
              <w:widowControl w:val="0"/>
              <w:spacing w:before="40" w:after="40" w:line="281" w:lineRule="auto"/>
              <w:ind w:left="57"/>
              <w:jc w:val="right"/>
              <w:rPr>
                <w:rFonts w:ascii="Arial" w:hAnsi="Arial" w:cs="Arial"/>
                <w:b/>
                <w:sz w:val="20"/>
                <w:szCs w:val="20"/>
              </w:rPr>
            </w:pPr>
            <w:r w:rsidRPr="003D07F6">
              <w:rPr>
                <w:rFonts w:ascii="Arial" w:hAnsi="Arial" w:cs="Arial"/>
                <w:b/>
                <w:sz w:val="20"/>
                <w:szCs w:val="20"/>
              </w:rPr>
              <w:t>Comisión de Seguimiento:</w:t>
            </w:r>
          </w:p>
        </w:tc>
        <w:tc>
          <w:tcPr>
            <w:tcW w:w="2958" w:type="pct"/>
            <w:shd w:val="clear" w:color="auto" w:fill="auto"/>
            <w:vAlign w:val="center"/>
          </w:tcPr>
          <w:p w:rsidR="00353DE7" w:rsidRPr="003D07F6" w:rsidRDefault="00353DE7" w:rsidP="00353DE7">
            <w:pPr>
              <w:widowControl w:val="0"/>
              <w:spacing w:before="40" w:after="40" w:line="281" w:lineRule="auto"/>
              <w:ind w:left="57"/>
              <w:rPr>
                <w:rFonts w:ascii="Arial" w:hAnsi="Arial" w:cs="Arial"/>
                <w:sz w:val="20"/>
                <w:szCs w:val="20"/>
              </w:rPr>
            </w:pPr>
            <w:r w:rsidRPr="003D07F6">
              <w:rPr>
                <w:rFonts w:ascii="Arial" w:hAnsi="Arial" w:cs="Arial"/>
                <w:sz w:val="20"/>
                <w:szCs w:val="20"/>
              </w:rPr>
              <w:t>Comisión de Seguimiento al Servicio Profesional Electoral Nacional con carácter administrativa.</w:t>
            </w:r>
          </w:p>
        </w:tc>
      </w:tr>
      <w:tr w:rsidR="00353DE7" w:rsidRPr="00FA6047" w:rsidTr="00902C02">
        <w:trPr>
          <w:trHeight w:val="624"/>
          <w:jc w:val="center"/>
        </w:trPr>
        <w:tc>
          <w:tcPr>
            <w:tcW w:w="2042" w:type="pct"/>
            <w:shd w:val="clear" w:color="auto" w:fill="auto"/>
            <w:vAlign w:val="center"/>
          </w:tcPr>
          <w:p w:rsidR="00353DE7" w:rsidRPr="003D07F6" w:rsidRDefault="00353DE7" w:rsidP="00353DE7">
            <w:pPr>
              <w:widowControl w:val="0"/>
              <w:spacing w:before="40" w:after="40" w:line="281" w:lineRule="auto"/>
              <w:ind w:left="57"/>
              <w:jc w:val="right"/>
              <w:rPr>
                <w:rFonts w:ascii="Arial" w:hAnsi="Arial" w:cs="Arial"/>
                <w:b/>
                <w:sz w:val="20"/>
                <w:szCs w:val="20"/>
              </w:rPr>
            </w:pPr>
            <w:r w:rsidRPr="003D07F6">
              <w:rPr>
                <w:rFonts w:ascii="Arial" w:hAnsi="Arial" w:cs="Arial"/>
                <w:b/>
                <w:sz w:val="20"/>
                <w:szCs w:val="20"/>
              </w:rPr>
              <w:t>Comisiones:</w:t>
            </w:r>
          </w:p>
        </w:tc>
        <w:tc>
          <w:tcPr>
            <w:tcW w:w="2958" w:type="pct"/>
            <w:shd w:val="clear" w:color="auto" w:fill="auto"/>
            <w:vAlign w:val="center"/>
          </w:tcPr>
          <w:p w:rsidR="00353DE7" w:rsidRPr="003D07F6" w:rsidRDefault="00353DE7" w:rsidP="00353DE7">
            <w:pPr>
              <w:widowControl w:val="0"/>
              <w:spacing w:before="40" w:after="40" w:line="281" w:lineRule="auto"/>
              <w:ind w:left="57"/>
              <w:rPr>
                <w:rFonts w:ascii="Arial" w:hAnsi="Arial" w:cs="Arial"/>
                <w:sz w:val="20"/>
                <w:szCs w:val="20"/>
              </w:rPr>
            </w:pPr>
            <w:r w:rsidRPr="003D07F6">
              <w:rPr>
                <w:rFonts w:ascii="Arial" w:hAnsi="Arial" w:cs="Arial"/>
                <w:sz w:val="20"/>
                <w:szCs w:val="20"/>
              </w:rPr>
              <w:t>Reglamento de Comisiones del Consejo Estatal del Instituto Electoral y de Participación Ciudadana de Tabasco.</w:t>
            </w:r>
          </w:p>
        </w:tc>
      </w:tr>
      <w:tr w:rsidR="00FA6047" w:rsidRPr="00FA6047" w:rsidTr="00902C02">
        <w:trPr>
          <w:trHeight w:val="624"/>
          <w:jc w:val="center"/>
        </w:trPr>
        <w:tc>
          <w:tcPr>
            <w:tcW w:w="2042" w:type="pct"/>
            <w:shd w:val="clear" w:color="auto" w:fill="auto"/>
            <w:vAlign w:val="center"/>
          </w:tcPr>
          <w:p w:rsidR="00353DE7" w:rsidRPr="003D07F6" w:rsidRDefault="00353DE7" w:rsidP="00353DE7">
            <w:pPr>
              <w:widowControl w:val="0"/>
              <w:spacing w:before="40" w:after="40" w:line="281" w:lineRule="auto"/>
              <w:ind w:left="57"/>
              <w:jc w:val="right"/>
              <w:rPr>
                <w:rFonts w:ascii="Arial" w:hAnsi="Arial" w:cs="Arial"/>
                <w:b/>
                <w:sz w:val="20"/>
                <w:szCs w:val="20"/>
              </w:rPr>
            </w:pPr>
            <w:r w:rsidRPr="003D07F6">
              <w:rPr>
                <w:rFonts w:ascii="Arial" w:hAnsi="Arial" w:cs="Arial"/>
                <w:b/>
                <w:sz w:val="20"/>
                <w:szCs w:val="20"/>
              </w:rPr>
              <w:t>Consejo Estatal:</w:t>
            </w:r>
          </w:p>
        </w:tc>
        <w:tc>
          <w:tcPr>
            <w:tcW w:w="2958" w:type="pct"/>
            <w:shd w:val="clear" w:color="auto" w:fill="auto"/>
            <w:vAlign w:val="center"/>
          </w:tcPr>
          <w:p w:rsidR="00353DE7" w:rsidRPr="003D07F6" w:rsidRDefault="00353DE7" w:rsidP="00353DE7">
            <w:pPr>
              <w:widowControl w:val="0"/>
              <w:spacing w:before="40" w:after="40" w:line="281" w:lineRule="auto"/>
              <w:ind w:left="57"/>
              <w:rPr>
                <w:rFonts w:ascii="Arial" w:hAnsi="Arial" w:cs="Arial"/>
                <w:sz w:val="20"/>
                <w:szCs w:val="20"/>
              </w:rPr>
            </w:pPr>
            <w:r w:rsidRPr="003D07F6">
              <w:rPr>
                <w:rFonts w:ascii="Arial" w:hAnsi="Arial" w:cs="Arial"/>
                <w:sz w:val="20"/>
                <w:szCs w:val="20"/>
              </w:rPr>
              <w:t>Consejo Estatal del Instituto Electoral y de Participación Ciudadana de Tabasco.</w:t>
            </w:r>
          </w:p>
        </w:tc>
      </w:tr>
      <w:tr w:rsidR="00FA6047" w:rsidRPr="00FA6047" w:rsidTr="00902C02">
        <w:trPr>
          <w:trHeight w:val="624"/>
          <w:jc w:val="center"/>
        </w:trPr>
        <w:tc>
          <w:tcPr>
            <w:tcW w:w="2042" w:type="pct"/>
            <w:shd w:val="clear" w:color="auto" w:fill="auto"/>
            <w:vAlign w:val="center"/>
          </w:tcPr>
          <w:p w:rsidR="00353DE7" w:rsidRPr="003D07F6" w:rsidRDefault="00353DE7" w:rsidP="00353DE7">
            <w:pPr>
              <w:widowControl w:val="0"/>
              <w:spacing w:before="40" w:after="40" w:line="281" w:lineRule="auto"/>
              <w:ind w:left="57"/>
              <w:jc w:val="right"/>
              <w:rPr>
                <w:rFonts w:ascii="Arial" w:hAnsi="Arial" w:cs="Arial"/>
                <w:b/>
                <w:sz w:val="20"/>
                <w:szCs w:val="20"/>
              </w:rPr>
            </w:pPr>
            <w:r w:rsidRPr="003D07F6">
              <w:rPr>
                <w:rFonts w:ascii="Arial" w:hAnsi="Arial" w:cs="Arial"/>
                <w:b/>
                <w:sz w:val="20"/>
                <w:szCs w:val="20"/>
              </w:rPr>
              <w:t>Constitución Federal:</w:t>
            </w:r>
          </w:p>
        </w:tc>
        <w:tc>
          <w:tcPr>
            <w:tcW w:w="2958" w:type="pct"/>
            <w:shd w:val="clear" w:color="auto" w:fill="auto"/>
            <w:vAlign w:val="center"/>
          </w:tcPr>
          <w:p w:rsidR="00353DE7" w:rsidRPr="003D07F6" w:rsidRDefault="00353DE7" w:rsidP="00353DE7">
            <w:pPr>
              <w:widowControl w:val="0"/>
              <w:spacing w:before="40" w:after="40" w:line="281" w:lineRule="auto"/>
              <w:ind w:left="57"/>
              <w:rPr>
                <w:rFonts w:ascii="Arial" w:hAnsi="Arial" w:cs="Arial"/>
                <w:sz w:val="20"/>
                <w:szCs w:val="20"/>
              </w:rPr>
            </w:pPr>
            <w:r w:rsidRPr="003D07F6">
              <w:rPr>
                <w:rFonts w:ascii="Arial" w:hAnsi="Arial" w:cs="Arial"/>
                <w:sz w:val="20"/>
                <w:szCs w:val="20"/>
              </w:rPr>
              <w:t>Constitución Política de los Estados Unidos Mexicanos.</w:t>
            </w:r>
          </w:p>
        </w:tc>
      </w:tr>
      <w:tr w:rsidR="00FA6047" w:rsidRPr="00FA6047" w:rsidTr="00902C02">
        <w:trPr>
          <w:trHeight w:val="624"/>
          <w:jc w:val="center"/>
        </w:trPr>
        <w:tc>
          <w:tcPr>
            <w:tcW w:w="2042" w:type="pct"/>
            <w:shd w:val="clear" w:color="auto" w:fill="auto"/>
            <w:vAlign w:val="center"/>
          </w:tcPr>
          <w:p w:rsidR="00353DE7" w:rsidRPr="003D07F6" w:rsidRDefault="00353DE7" w:rsidP="00353DE7">
            <w:pPr>
              <w:widowControl w:val="0"/>
              <w:spacing w:before="40" w:after="40" w:line="281" w:lineRule="auto"/>
              <w:ind w:left="57"/>
              <w:jc w:val="right"/>
              <w:rPr>
                <w:rFonts w:ascii="Arial" w:hAnsi="Arial" w:cs="Arial"/>
                <w:b/>
                <w:sz w:val="20"/>
                <w:szCs w:val="20"/>
              </w:rPr>
            </w:pPr>
            <w:r w:rsidRPr="003D07F6">
              <w:rPr>
                <w:rFonts w:ascii="Arial" w:hAnsi="Arial" w:cs="Arial"/>
                <w:b/>
                <w:sz w:val="20"/>
                <w:szCs w:val="20"/>
              </w:rPr>
              <w:t>Constitución Local:</w:t>
            </w:r>
          </w:p>
        </w:tc>
        <w:tc>
          <w:tcPr>
            <w:tcW w:w="2958" w:type="pct"/>
            <w:shd w:val="clear" w:color="auto" w:fill="auto"/>
            <w:vAlign w:val="center"/>
          </w:tcPr>
          <w:p w:rsidR="00353DE7" w:rsidRPr="003D07F6" w:rsidRDefault="00353DE7" w:rsidP="00353DE7">
            <w:pPr>
              <w:widowControl w:val="0"/>
              <w:spacing w:before="40" w:after="40" w:line="281" w:lineRule="auto"/>
              <w:ind w:left="57"/>
              <w:rPr>
                <w:rFonts w:ascii="Arial" w:hAnsi="Arial" w:cs="Arial"/>
                <w:sz w:val="20"/>
                <w:szCs w:val="20"/>
              </w:rPr>
            </w:pPr>
            <w:r w:rsidRPr="003D07F6">
              <w:rPr>
                <w:rFonts w:ascii="Arial" w:hAnsi="Arial" w:cs="Arial"/>
                <w:sz w:val="20"/>
                <w:szCs w:val="20"/>
              </w:rPr>
              <w:t>Constitución Política del Estado Libre y Soberano de Tabasco.</w:t>
            </w:r>
          </w:p>
        </w:tc>
      </w:tr>
      <w:tr w:rsidR="00353DE7" w:rsidRPr="00FA6047" w:rsidTr="00902C02">
        <w:trPr>
          <w:trHeight w:val="624"/>
          <w:jc w:val="center"/>
        </w:trPr>
        <w:tc>
          <w:tcPr>
            <w:tcW w:w="2042" w:type="pct"/>
            <w:shd w:val="clear" w:color="auto" w:fill="auto"/>
            <w:vAlign w:val="center"/>
          </w:tcPr>
          <w:p w:rsidR="00353DE7" w:rsidRPr="003D07F6" w:rsidRDefault="00353DE7" w:rsidP="00353DE7">
            <w:pPr>
              <w:widowControl w:val="0"/>
              <w:spacing w:before="40" w:after="40" w:line="281" w:lineRule="auto"/>
              <w:ind w:left="57"/>
              <w:jc w:val="right"/>
              <w:rPr>
                <w:rFonts w:ascii="Arial" w:hAnsi="Arial" w:cs="Arial"/>
                <w:b/>
                <w:sz w:val="20"/>
                <w:szCs w:val="20"/>
              </w:rPr>
            </w:pPr>
            <w:r w:rsidRPr="003D07F6">
              <w:rPr>
                <w:rFonts w:ascii="Arial" w:hAnsi="Arial" w:cs="Arial"/>
                <w:b/>
                <w:sz w:val="20"/>
                <w:szCs w:val="20"/>
              </w:rPr>
              <w:t>Estatuto:</w:t>
            </w:r>
          </w:p>
        </w:tc>
        <w:tc>
          <w:tcPr>
            <w:tcW w:w="2958" w:type="pct"/>
            <w:shd w:val="clear" w:color="auto" w:fill="auto"/>
            <w:vAlign w:val="center"/>
          </w:tcPr>
          <w:p w:rsidR="00353DE7" w:rsidRPr="003D07F6" w:rsidRDefault="00353DE7" w:rsidP="00353DE7">
            <w:pPr>
              <w:widowControl w:val="0"/>
              <w:spacing w:before="40" w:after="40" w:line="281" w:lineRule="auto"/>
              <w:ind w:left="57"/>
              <w:rPr>
                <w:rFonts w:ascii="Arial" w:hAnsi="Arial" w:cs="Arial"/>
                <w:sz w:val="20"/>
                <w:szCs w:val="20"/>
              </w:rPr>
            </w:pPr>
            <w:r w:rsidRPr="003D07F6">
              <w:rPr>
                <w:rFonts w:ascii="Arial" w:hAnsi="Arial" w:cs="Arial"/>
                <w:sz w:val="20"/>
                <w:szCs w:val="20"/>
              </w:rPr>
              <w:t>Estatuto del Servicio Profesional Electoral Nacional y del Personal de la Rama Administrativa.</w:t>
            </w:r>
          </w:p>
        </w:tc>
      </w:tr>
      <w:tr w:rsidR="00FA6047" w:rsidRPr="00FA6047" w:rsidTr="00902C02">
        <w:trPr>
          <w:trHeight w:val="624"/>
          <w:jc w:val="center"/>
        </w:trPr>
        <w:tc>
          <w:tcPr>
            <w:tcW w:w="2042" w:type="pct"/>
            <w:shd w:val="clear" w:color="auto" w:fill="auto"/>
            <w:vAlign w:val="center"/>
          </w:tcPr>
          <w:p w:rsidR="00353DE7" w:rsidRPr="003D07F6" w:rsidRDefault="00353DE7" w:rsidP="00353DE7">
            <w:pPr>
              <w:widowControl w:val="0"/>
              <w:spacing w:before="40" w:after="40" w:line="281" w:lineRule="auto"/>
              <w:ind w:left="57"/>
              <w:jc w:val="right"/>
              <w:rPr>
                <w:rFonts w:ascii="Arial" w:hAnsi="Arial" w:cs="Arial"/>
                <w:b/>
                <w:sz w:val="20"/>
                <w:szCs w:val="20"/>
              </w:rPr>
            </w:pPr>
            <w:r w:rsidRPr="003D07F6">
              <w:rPr>
                <w:rFonts w:ascii="Arial" w:hAnsi="Arial" w:cs="Arial"/>
                <w:b/>
                <w:sz w:val="20"/>
                <w:szCs w:val="20"/>
              </w:rPr>
              <w:t>INE:</w:t>
            </w:r>
          </w:p>
        </w:tc>
        <w:tc>
          <w:tcPr>
            <w:tcW w:w="2958" w:type="pct"/>
            <w:shd w:val="clear" w:color="auto" w:fill="auto"/>
            <w:vAlign w:val="center"/>
          </w:tcPr>
          <w:p w:rsidR="00353DE7" w:rsidRPr="003D07F6" w:rsidRDefault="00353DE7" w:rsidP="00353DE7">
            <w:pPr>
              <w:widowControl w:val="0"/>
              <w:spacing w:before="40" w:after="40" w:line="281" w:lineRule="auto"/>
              <w:ind w:left="57"/>
              <w:rPr>
                <w:rFonts w:ascii="Arial" w:hAnsi="Arial" w:cs="Arial"/>
                <w:sz w:val="20"/>
                <w:szCs w:val="20"/>
              </w:rPr>
            </w:pPr>
            <w:r w:rsidRPr="003D07F6">
              <w:rPr>
                <w:rFonts w:ascii="Arial" w:hAnsi="Arial" w:cs="Arial"/>
                <w:sz w:val="20"/>
                <w:szCs w:val="20"/>
              </w:rPr>
              <w:t>Instituto Nacional Electoral.</w:t>
            </w:r>
          </w:p>
        </w:tc>
      </w:tr>
      <w:tr w:rsidR="00FA6047" w:rsidRPr="00FA6047" w:rsidTr="00902C02">
        <w:trPr>
          <w:trHeight w:val="624"/>
          <w:jc w:val="center"/>
        </w:trPr>
        <w:tc>
          <w:tcPr>
            <w:tcW w:w="2042" w:type="pct"/>
            <w:shd w:val="clear" w:color="auto" w:fill="auto"/>
            <w:vAlign w:val="center"/>
          </w:tcPr>
          <w:p w:rsidR="00353DE7" w:rsidRPr="003D07F6" w:rsidRDefault="00353DE7" w:rsidP="00353DE7">
            <w:pPr>
              <w:widowControl w:val="0"/>
              <w:spacing w:before="40" w:after="40" w:line="281" w:lineRule="auto"/>
              <w:ind w:left="57"/>
              <w:jc w:val="right"/>
              <w:rPr>
                <w:rFonts w:ascii="Arial" w:hAnsi="Arial" w:cs="Arial"/>
                <w:b/>
                <w:sz w:val="20"/>
                <w:szCs w:val="20"/>
              </w:rPr>
            </w:pPr>
            <w:r w:rsidRPr="003D07F6">
              <w:rPr>
                <w:rFonts w:ascii="Arial" w:hAnsi="Arial" w:cs="Arial"/>
                <w:b/>
                <w:sz w:val="20"/>
                <w:szCs w:val="20"/>
              </w:rPr>
              <w:t>Instituto:</w:t>
            </w:r>
          </w:p>
        </w:tc>
        <w:tc>
          <w:tcPr>
            <w:tcW w:w="2958" w:type="pct"/>
            <w:shd w:val="clear" w:color="auto" w:fill="auto"/>
          </w:tcPr>
          <w:p w:rsidR="00353DE7" w:rsidRPr="003D07F6" w:rsidRDefault="00353DE7" w:rsidP="00353DE7">
            <w:pPr>
              <w:widowControl w:val="0"/>
              <w:spacing w:before="40" w:after="40" w:line="281" w:lineRule="auto"/>
              <w:ind w:left="57"/>
              <w:rPr>
                <w:rFonts w:ascii="Arial" w:hAnsi="Arial" w:cs="Arial"/>
                <w:sz w:val="20"/>
                <w:szCs w:val="20"/>
              </w:rPr>
            </w:pPr>
            <w:r w:rsidRPr="003D07F6">
              <w:rPr>
                <w:rFonts w:ascii="Arial" w:hAnsi="Arial" w:cs="Arial"/>
                <w:sz w:val="20"/>
                <w:szCs w:val="20"/>
              </w:rPr>
              <w:t>Instituto Electoral y de Participación Ciudadana de Tabasco.</w:t>
            </w:r>
          </w:p>
        </w:tc>
      </w:tr>
      <w:tr w:rsidR="00FA6047" w:rsidRPr="00FA6047" w:rsidTr="00902C02">
        <w:trPr>
          <w:trHeight w:val="624"/>
          <w:jc w:val="center"/>
        </w:trPr>
        <w:tc>
          <w:tcPr>
            <w:tcW w:w="2042" w:type="pct"/>
            <w:shd w:val="clear" w:color="auto" w:fill="auto"/>
            <w:vAlign w:val="center"/>
          </w:tcPr>
          <w:p w:rsidR="00353DE7" w:rsidRPr="003D07F6" w:rsidRDefault="00353DE7" w:rsidP="00353DE7">
            <w:pPr>
              <w:widowControl w:val="0"/>
              <w:spacing w:before="40" w:after="40" w:line="281" w:lineRule="auto"/>
              <w:ind w:left="57"/>
              <w:jc w:val="right"/>
              <w:rPr>
                <w:rFonts w:ascii="Arial" w:hAnsi="Arial" w:cs="Arial"/>
                <w:b/>
                <w:sz w:val="20"/>
                <w:szCs w:val="20"/>
              </w:rPr>
            </w:pPr>
            <w:r w:rsidRPr="003D07F6">
              <w:rPr>
                <w:rFonts w:ascii="Arial" w:hAnsi="Arial" w:cs="Arial"/>
                <w:b/>
                <w:sz w:val="20"/>
                <w:szCs w:val="20"/>
              </w:rPr>
              <w:t>Ley Electoral:</w:t>
            </w:r>
          </w:p>
        </w:tc>
        <w:tc>
          <w:tcPr>
            <w:tcW w:w="2958" w:type="pct"/>
            <w:shd w:val="clear" w:color="auto" w:fill="auto"/>
            <w:vAlign w:val="center"/>
          </w:tcPr>
          <w:p w:rsidR="00353DE7" w:rsidRPr="003D07F6" w:rsidRDefault="00353DE7" w:rsidP="00353DE7">
            <w:pPr>
              <w:widowControl w:val="0"/>
              <w:spacing w:before="40" w:after="40" w:line="281" w:lineRule="auto"/>
              <w:ind w:left="57"/>
              <w:rPr>
                <w:rFonts w:ascii="Arial" w:hAnsi="Arial" w:cs="Arial"/>
                <w:sz w:val="20"/>
                <w:szCs w:val="20"/>
              </w:rPr>
            </w:pPr>
            <w:r w:rsidRPr="003D07F6">
              <w:rPr>
                <w:rFonts w:ascii="Arial" w:hAnsi="Arial" w:cs="Arial"/>
                <w:sz w:val="20"/>
                <w:szCs w:val="20"/>
              </w:rPr>
              <w:t>Ley Electoral y de Partidos Políticos del Estado de Tabasco.</w:t>
            </w:r>
          </w:p>
        </w:tc>
      </w:tr>
      <w:tr w:rsidR="00FA6047" w:rsidRPr="00FA6047" w:rsidTr="00902C02">
        <w:trPr>
          <w:trHeight w:val="624"/>
          <w:jc w:val="center"/>
        </w:trPr>
        <w:tc>
          <w:tcPr>
            <w:tcW w:w="2042" w:type="pct"/>
            <w:shd w:val="clear" w:color="auto" w:fill="auto"/>
            <w:vAlign w:val="center"/>
          </w:tcPr>
          <w:p w:rsidR="00353DE7" w:rsidRPr="003D07F6" w:rsidRDefault="00353DE7" w:rsidP="00353DE7">
            <w:pPr>
              <w:widowControl w:val="0"/>
              <w:spacing w:before="40" w:after="40" w:line="281" w:lineRule="auto"/>
              <w:ind w:left="57"/>
              <w:jc w:val="right"/>
              <w:rPr>
                <w:rFonts w:ascii="Arial" w:hAnsi="Arial" w:cs="Arial"/>
                <w:b/>
                <w:sz w:val="20"/>
                <w:szCs w:val="20"/>
              </w:rPr>
            </w:pPr>
            <w:r w:rsidRPr="003D07F6">
              <w:rPr>
                <w:rFonts w:ascii="Arial" w:hAnsi="Arial" w:cs="Arial"/>
                <w:b/>
                <w:sz w:val="20"/>
                <w:szCs w:val="20"/>
              </w:rPr>
              <w:t>Ley General:</w:t>
            </w:r>
          </w:p>
        </w:tc>
        <w:tc>
          <w:tcPr>
            <w:tcW w:w="2958" w:type="pct"/>
            <w:shd w:val="clear" w:color="auto" w:fill="auto"/>
            <w:vAlign w:val="center"/>
          </w:tcPr>
          <w:p w:rsidR="00353DE7" w:rsidRPr="003D07F6" w:rsidRDefault="00353DE7" w:rsidP="00353DE7">
            <w:pPr>
              <w:widowControl w:val="0"/>
              <w:spacing w:before="40" w:after="40" w:line="281" w:lineRule="auto"/>
              <w:ind w:left="57"/>
              <w:rPr>
                <w:rFonts w:ascii="Arial" w:hAnsi="Arial" w:cs="Arial"/>
                <w:sz w:val="20"/>
                <w:szCs w:val="20"/>
              </w:rPr>
            </w:pPr>
            <w:r w:rsidRPr="003D07F6">
              <w:rPr>
                <w:rFonts w:ascii="Arial" w:hAnsi="Arial" w:cs="Arial"/>
                <w:sz w:val="20"/>
                <w:szCs w:val="20"/>
              </w:rPr>
              <w:t>Ley General de Instituciones y Procedimientos Electorales.</w:t>
            </w:r>
          </w:p>
        </w:tc>
      </w:tr>
      <w:tr w:rsidR="00353DE7" w:rsidRPr="00FA6047" w:rsidTr="00902C02">
        <w:trPr>
          <w:trHeight w:val="624"/>
          <w:jc w:val="center"/>
        </w:trPr>
        <w:tc>
          <w:tcPr>
            <w:tcW w:w="2042" w:type="pct"/>
            <w:shd w:val="clear" w:color="auto" w:fill="auto"/>
            <w:vAlign w:val="center"/>
          </w:tcPr>
          <w:p w:rsidR="00353DE7" w:rsidRPr="003D07F6" w:rsidRDefault="00353DE7" w:rsidP="00353DE7">
            <w:pPr>
              <w:widowControl w:val="0"/>
              <w:spacing w:before="40" w:after="40" w:line="281" w:lineRule="auto"/>
              <w:ind w:left="57"/>
              <w:jc w:val="right"/>
              <w:rPr>
                <w:rFonts w:ascii="Arial" w:hAnsi="Arial" w:cs="Arial"/>
                <w:b/>
                <w:sz w:val="20"/>
                <w:szCs w:val="20"/>
              </w:rPr>
            </w:pPr>
            <w:r w:rsidRPr="003D07F6">
              <w:rPr>
                <w:rFonts w:ascii="Arial" w:hAnsi="Arial" w:cs="Arial"/>
                <w:b/>
                <w:sz w:val="20"/>
                <w:szCs w:val="20"/>
              </w:rPr>
              <w:lastRenderedPageBreak/>
              <w:t>Lineamientos:</w:t>
            </w:r>
          </w:p>
        </w:tc>
        <w:tc>
          <w:tcPr>
            <w:tcW w:w="2958" w:type="pct"/>
            <w:shd w:val="clear" w:color="auto" w:fill="auto"/>
            <w:vAlign w:val="center"/>
          </w:tcPr>
          <w:p w:rsidR="00353DE7" w:rsidRPr="003D07F6" w:rsidRDefault="00353DE7" w:rsidP="00353DE7">
            <w:pPr>
              <w:widowControl w:val="0"/>
              <w:spacing w:before="40" w:after="40" w:line="281" w:lineRule="auto"/>
              <w:ind w:left="57"/>
              <w:rPr>
                <w:rFonts w:ascii="Arial" w:hAnsi="Arial" w:cs="Arial"/>
                <w:sz w:val="20"/>
                <w:szCs w:val="20"/>
              </w:rPr>
            </w:pPr>
            <w:r w:rsidRPr="003D07F6">
              <w:rPr>
                <w:rFonts w:ascii="Arial" w:hAnsi="Arial" w:cs="Arial"/>
                <w:sz w:val="20"/>
                <w:szCs w:val="20"/>
              </w:rPr>
              <w:t>Lineamientos para el otorgamiento de Incentivos al personal del Servicio Profesional Electoral Nacional en el Sistema de los Organismos Públicos Locales Electorales.</w:t>
            </w:r>
          </w:p>
        </w:tc>
      </w:tr>
      <w:tr w:rsidR="00353DE7" w:rsidRPr="00FA6047" w:rsidTr="00902C02">
        <w:trPr>
          <w:trHeight w:val="624"/>
          <w:jc w:val="center"/>
        </w:trPr>
        <w:tc>
          <w:tcPr>
            <w:tcW w:w="2042" w:type="pct"/>
            <w:shd w:val="clear" w:color="auto" w:fill="auto"/>
            <w:vAlign w:val="center"/>
          </w:tcPr>
          <w:p w:rsidR="00353DE7" w:rsidRPr="003D07F6" w:rsidRDefault="00353DE7" w:rsidP="00353DE7">
            <w:pPr>
              <w:widowControl w:val="0"/>
              <w:spacing w:before="40" w:after="40" w:line="281" w:lineRule="auto"/>
              <w:ind w:left="57"/>
              <w:jc w:val="right"/>
              <w:rPr>
                <w:rFonts w:ascii="Arial" w:hAnsi="Arial" w:cs="Arial"/>
                <w:b/>
                <w:sz w:val="20"/>
                <w:szCs w:val="20"/>
              </w:rPr>
            </w:pPr>
            <w:r w:rsidRPr="003D07F6">
              <w:rPr>
                <w:rFonts w:ascii="Arial" w:hAnsi="Arial" w:cs="Arial"/>
                <w:b/>
                <w:sz w:val="20"/>
                <w:szCs w:val="20"/>
              </w:rPr>
              <w:t>Organismo(s) Electoral(es):</w:t>
            </w:r>
          </w:p>
        </w:tc>
        <w:tc>
          <w:tcPr>
            <w:tcW w:w="2958" w:type="pct"/>
            <w:shd w:val="clear" w:color="auto" w:fill="auto"/>
            <w:vAlign w:val="center"/>
          </w:tcPr>
          <w:p w:rsidR="00353DE7" w:rsidRPr="003D07F6" w:rsidRDefault="00353DE7" w:rsidP="00353DE7">
            <w:pPr>
              <w:widowControl w:val="0"/>
              <w:spacing w:before="40" w:after="40" w:line="281" w:lineRule="auto"/>
              <w:ind w:left="57"/>
              <w:rPr>
                <w:rFonts w:ascii="Arial" w:hAnsi="Arial" w:cs="Arial"/>
                <w:sz w:val="20"/>
                <w:szCs w:val="20"/>
              </w:rPr>
            </w:pPr>
            <w:r w:rsidRPr="003D07F6">
              <w:rPr>
                <w:rFonts w:ascii="Arial" w:hAnsi="Arial" w:cs="Arial"/>
                <w:sz w:val="20"/>
                <w:szCs w:val="20"/>
              </w:rPr>
              <w:t>Organismo(s) Público(s) Local(es) Electoral(es).</w:t>
            </w:r>
          </w:p>
        </w:tc>
      </w:tr>
      <w:tr w:rsidR="00353DE7" w:rsidRPr="00FA6047" w:rsidTr="00902C02">
        <w:trPr>
          <w:trHeight w:val="624"/>
          <w:jc w:val="center"/>
        </w:trPr>
        <w:tc>
          <w:tcPr>
            <w:tcW w:w="2042" w:type="pct"/>
            <w:shd w:val="clear" w:color="auto" w:fill="auto"/>
            <w:vAlign w:val="center"/>
          </w:tcPr>
          <w:p w:rsidR="00353DE7" w:rsidRPr="003D07F6" w:rsidRDefault="00353DE7" w:rsidP="00353DE7">
            <w:pPr>
              <w:widowControl w:val="0"/>
              <w:spacing w:before="40" w:after="40" w:line="281" w:lineRule="auto"/>
              <w:ind w:left="57"/>
              <w:jc w:val="right"/>
              <w:rPr>
                <w:rFonts w:ascii="Arial" w:hAnsi="Arial" w:cs="Arial"/>
                <w:b/>
                <w:sz w:val="20"/>
                <w:szCs w:val="20"/>
              </w:rPr>
            </w:pPr>
            <w:r w:rsidRPr="003D07F6">
              <w:rPr>
                <w:rFonts w:ascii="Arial" w:hAnsi="Arial" w:cs="Arial"/>
                <w:b/>
                <w:sz w:val="20"/>
                <w:szCs w:val="20"/>
              </w:rPr>
              <w:t>Órgano de Enlace:</w:t>
            </w:r>
          </w:p>
        </w:tc>
        <w:tc>
          <w:tcPr>
            <w:tcW w:w="2958" w:type="pct"/>
            <w:shd w:val="clear" w:color="auto" w:fill="auto"/>
            <w:vAlign w:val="center"/>
          </w:tcPr>
          <w:p w:rsidR="00353DE7" w:rsidRPr="003D07F6" w:rsidRDefault="00353DE7" w:rsidP="00353DE7">
            <w:pPr>
              <w:widowControl w:val="0"/>
              <w:spacing w:before="40" w:after="40" w:line="281" w:lineRule="auto"/>
              <w:ind w:left="57"/>
              <w:rPr>
                <w:rFonts w:ascii="Arial" w:hAnsi="Arial" w:cs="Arial"/>
                <w:sz w:val="20"/>
                <w:szCs w:val="20"/>
              </w:rPr>
            </w:pPr>
            <w:r w:rsidRPr="003D07F6">
              <w:rPr>
                <w:rFonts w:ascii="Arial" w:hAnsi="Arial" w:cs="Arial"/>
                <w:sz w:val="20"/>
                <w:szCs w:val="20"/>
              </w:rPr>
              <w:t>Órgano de Enlace del Instituto Electoral y de Participación Ciudadana de Tabasco.</w:t>
            </w:r>
          </w:p>
        </w:tc>
      </w:tr>
      <w:tr w:rsidR="00FA6047" w:rsidRPr="00FA6047" w:rsidTr="00902C02">
        <w:trPr>
          <w:trHeight w:val="624"/>
          <w:jc w:val="center"/>
        </w:trPr>
        <w:tc>
          <w:tcPr>
            <w:tcW w:w="2042" w:type="pct"/>
            <w:shd w:val="clear" w:color="auto" w:fill="auto"/>
            <w:vAlign w:val="center"/>
          </w:tcPr>
          <w:p w:rsidR="00353DE7" w:rsidRPr="003D07F6" w:rsidRDefault="00353DE7" w:rsidP="00353DE7">
            <w:pPr>
              <w:widowControl w:val="0"/>
              <w:spacing w:before="40" w:after="40" w:line="281" w:lineRule="auto"/>
              <w:ind w:left="57"/>
              <w:jc w:val="right"/>
              <w:rPr>
                <w:rFonts w:ascii="Arial" w:hAnsi="Arial" w:cs="Arial"/>
                <w:b/>
                <w:sz w:val="20"/>
                <w:szCs w:val="20"/>
              </w:rPr>
            </w:pPr>
            <w:r w:rsidRPr="003D07F6">
              <w:rPr>
                <w:rFonts w:ascii="Arial" w:hAnsi="Arial" w:cs="Arial"/>
                <w:b/>
                <w:sz w:val="20"/>
                <w:szCs w:val="20"/>
              </w:rPr>
              <w:t>Reglamento de Elecciones:</w:t>
            </w:r>
          </w:p>
        </w:tc>
        <w:tc>
          <w:tcPr>
            <w:tcW w:w="2958" w:type="pct"/>
            <w:shd w:val="clear" w:color="auto" w:fill="auto"/>
            <w:vAlign w:val="center"/>
          </w:tcPr>
          <w:p w:rsidR="00353DE7" w:rsidRPr="003D07F6" w:rsidRDefault="00353DE7" w:rsidP="00353DE7">
            <w:pPr>
              <w:widowControl w:val="0"/>
              <w:spacing w:before="40" w:after="40" w:line="281" w:lineRule="auto"/>
              <w:ind w:left="57"/>
              <w:rPr>
                <w:rFonts w:ascii="Arial" w:hAnsi="Arial" w:cs="Arial"/>
                <w:sz w:val="20"/>
                <w:szCs w:val="20"/>
              </w:rPr>
            </w:pPr>
            <w:r w:rsidRPr="003D07F6">
              <w:rPr>
                <w:rFonts w:ascii="Arial" w:hAnsi="Arial" w:cs="Arial"/>
                <w:sz w:val="20"/>
                <w:szCs w:val="20"/>
              </w:rPr>
              <w:t>Reglamento de Elecciones del Instituto Nacional Electoral.</w:t>
            </w:r>
          </w:p>
        </w:tc>
      </w:tr>
      <w:tr w:rsidR="00FA6047" w:rsidRPr="00FA6047" w:rsidTr="00902C02">
        <w:trPr>
          <w:trHeight w:val="624"/>
          <w:jc w:val="center"/>
        </w:trPr>
        <w:tc>
          <w:tcPr>
            <w:tcW w:w="2042" w:type="pct"/>
            <w:shd w:val="clear" w:color="auto" w:fill="auto"/>
            <w:vAlign w:val="center"/>
          </w:tcPr>
          <w:p w:rsidR="00353DE7" w:rsidRPr="003D07F6" w:rsidRDefault="00353DE7" w:rsidP="00353DE7">
            <w:pPr>
              <w:widowControl w:val="0"/>
              <w:spacing w:before="40" w:after="40" w:line="281" w:lineRule="auto"/>
              <w:ind w:left="57"/>
              <w:jc w:val="right"/>
              <w:rPr>
                <w:rFonts w:ascii="Arial" w:hAnsi="Arial" w:cs="Arial"/>
                <w:b/>
                <w:sz w:val="20"/>
                <w:szCs w:val="20"/>
              </w:rPr>
            </w:pPr>
            <w:r w:rsidRPr="003D07F6">
              <w:rPr>
                <w:rFonts w:ascii="Arial" w:hAnsi="Arial" w:cs="Arial"/>
                <w:b/>
                <w:sz w:val="20"/>
                <w:szCs w:val="20"/>
              </w:rPr>
              <w:t>Secretaría Ejecutiva:</w:t>
            </w:r>
          </w:p>
        </w:tc>
        <w:tc>
          <w:tcPr>
            <w:tcW w:w="2958" w:type="pct"/>
            <w:shd w:val="clear" w:color="auto" w:fill="auto"/>
            <w:vAlign w:val="center"/>
          </w:tcPr>
          <w:p w:rsidR="00353DE7" w:rsidRPr="003D07F6" w:rsidRDefault="00353DE7" w:rsidP="00353DE7">
            <w:pPr>
              <w:widowControl w:val="0"/>
              <w:spacing w:before="40" w:after="40" w:line="281" w:lineRule="auto"/>
              <w:ind w:left="57"/>
              <w:rPr>
                <w:rFonts w:ascii="Arial" w:hAnsi="Arial" w:cs="Arial"/>
                <w:sz w:val="20"/>
                <w:szCs w:val="20"/>
              </w:rPr>
            </w:pPr>
            <w:r w:rsidRPr="003D07F6">
              <w:rPr>
                <w:rFonts w:ascii="Arial" w:hAnsi="Arial" w:cs="Arial"/>
                <w:sz w:val="20"/>
                <w:szCs w:val="20"/>
              </w:rPr>
              <w:t>Secretaría Ejecutiva del Instituto Electoral y de Participación Ciudadana de Tabasco.</w:t>
            </w:r>
          </w:p>
        </w:tc>
      </w:tr>
      <w:tr w:rsidR="00255526" w:rsidRPr="00FA6047" w:rsidTr="00902C02">
        <w:trPr>
          <w:trHeight w:val="624"/>
          <w:jc w:val="center"/>
        </w:trPr>
        <w:tc>
          <w:tcPr>
            <w:tcW w:w="2042" w:type="pct"/>
            <w:shd w:val="clear" w:color="auto" w:fill="auto"/>
            <w:vAlign w:val="center"/>
          </w:tcPr>
          <w:p w:rsidR="00353DE7" w:rsidRPr="003D07F6" w:rsidRDefault="00353DE7" w:rsidP="00353DE7">
            <w:pPr>
              <w:widowControl w:val="0"/>
              <w:spacing w:before="40" w:after="40" w:line="281" w:lineRule="auto"/>
              <w:ind w:left="57"/>
              <w:jc w:val="right"/>
              <w:rPr>
                <w:rFonts w:ascii="Arial" w:hAnsi="Arial" w:cs="Arial"/>
                <w:b/>
                <w:sz w:val="20"/>
                <w:szCs w:val="20"/>
              </w:rPr>
            </w:pPr>
            <w:r w:rsidRPr="003D07F6">
              <w:rPr>
                <w:rFonts w:ascii="Arial" w:hAnsi="Arial" w:cs="Arial"/>
                <w:b/>
                <w:sz w:val="20"/>
                <w:szCs w:val="20"/>
              </w:rPr>
              <w:t xml:space="preserve">Servicio Profesional: </w:t>
            </w:r>
          </w:p>
        </w:tc>
        <w:tc>
          <w:tcPr>
            <w:tcW w:w="2958" w:type="pct"/>
            <w:shd w:val="clear" w:color="auto" w:fill="auto"/>
            <w:vAlign w:val="center"/>
          </w:tcPr>
          <w:p w:rsidR="00353DE7" w:rsidRPr="003D07F6" w:rsidRDefault="00353DE7" w:rsidP="00353DE7">
            <w:pPr>
              <w:widowControl w:val="0"/>
              <w:spacing w:before="40" w:after="40" w:line="281" w:lineRule="auto"/>
              <w:ind w:left="57"/>
              <w:rPr>
                <w:rFonts w:ascii="Arial" w:hAnsi="Arial" w:cs="Arial"/>
                <w:sz w:val="20"/>
                <w:szCs w:val="20"/>
              </w:rPr>
            </w:pPr>
            <w:r w:rsidRPr="003D07F6">
              <w:rPr>
                <w:rFonts w:ascii="Arial" w:hAnsi="Arial" w:cs="Arial"/>
                <w:sz w:val="20"/>
                <w:szCs w:val="20"/>
              </w:rPr>
              <w:t>Servicio Profesional Electoral Nacional.</w:t>
            </w:r>
          </w:p>
        </w:tc>
      </w:tr>
    </w:tbl>
    <w:p w:rsidR="00C62F53" w:rsidRPr="003D07F6" w:rsidRDefault="00C62F53" w:rsidP="00255526">
      <w:pPr>
        <w:pStyle w:val="Ttulo1"/>
        <w:rPr>
          <w:sz w:val="24"/>
          <w:szCs w:val="24"/>
        </w:rPr>
      </w:pPr>
      <w:r w:rsidRPr="003D07F6">
        <w:rPr>
          <w:sz w:val="24"/>
          <w:szCs w:val="24"/>
        </w:rPr>
        <w:t>Antecedentes</w:t>
      </w:r>
    </w:p>
    <w:p w:rsidR="00C93A48" w:rsidRPr="00FA6047" w:rsidRDefault="00C93A48" w:rsidP="00F94414">
      <w:pPr>
        <w:pStyle w:val="Ttulo2"/>
        <w:rPr>
          <w:rFonts w:ascii="Arial" w:hAnsi="Arial" w:cs="Arial"/>
          <w:color w:val="auto"/>
        </w:rPr>
      </w:pPr>
      <w:r w:rsidRPr="00FA6047">
        <w:rPr>
          <w:rFonts w:ascii="Arial" w:hAnsi="Arial" w:cs="Arial"/>
          <w:color w:val="auto"/>
        </w:rPr>
        <w:t>Lineamientos</w:t>
      </w:r>
    </w:p>
    <w:p w:rsidR="00C93A48" w:rsidRPr="00FA6047" w:rsidRDefault="00C93A48" w:rsidP="00101A8E">
      <w:pPr>
        <w:rPr>
          <w:rFonts w:ascii="Arial" w:hAnsi="Arial" w:cs="Arial"/>
          <w:sz w:val="23"/>
          <w:szCs w:val="23"/>
        </w:rPr>
      </w:pPr>
      <w:r w:rsidRPr="00FA6047">
        <w:rPr>
          <w:rFonts w:ascii="Arial" w:hAnsi="Arial" w:cs="Arial"/>
          <w:sz w:val="23"/>
          <w:szCs w:val="23"/>
        </w:rPr>
        <w:t xml:space="preserve">El 19 de marzo de 2021, la Junta General del INE aprobó </w:t>
      </w:r>
      <w:r w:rsidR="00B17075" w:rsidRPr="00FA6047">
        <w:rPr>
          <w:rFonts w:ascii="Arial" w:hAnsi="Arial" w:cs="Arial"/>
          <w:sz w:val="23"/>
          <w:szCs w:val="23"/>
        </w:rPr>
        <w:t xml:space="preserve">el acuerdo INE/JGE53/2021, emitiendo </w:t>
      </w:r>
      <w:r w:rsidRPr="00FA6047">
        <w:rPr>
          <w:rFonts w:ascii="Arial" w:hAnsi="Arial" w:cs="Arial"/>
          <w:sz w:val="23"/>
          <w:szCs w:val="23"/>
        </w:rPr>
        <w:t>los Lineamientos para el otorgamiento de Incentivos al personal del Servicio Profesional, en el Sistema de los Organismos Públicos Locales Electorales.</w:t>
      </w:r>
    </w:p>
    <w:p w:rsidR="00C93A48" w:rsidRPr="00FA6047" w:rsidRDefault="00C93A48" w:rsidP="00F94414">
      <w:pPr>
        <w:pStyle w:val="Ttulo2"/>
        <w:rPr>
          <w:rFonts w:ascii="Arial" w:hAnsi="Arial" w:cs="Arial"/>
          <w:color w:val="auto"/>
        </w:rPr>
      </w:pPr>
      <w:r w:rsidRPr="00FA6047">
        <w:rPr>
          <w:rFonts w:ascii="Arial" w:hAnsi="Arial" w:cs="Arial"/>
          <w:color w:val="auto"/>
        </w:rPr>
        <w:t>Programa de Incentivos</w:t>
      </w:r>
    </w:p>
    <w:p w:rsidR="00C93A48" w:rsidRPr="00FA6047" w:rsidRDefault="00C93A48" w:rsidP="00101A8E">
      <w:pPr>
        <w:rPr>
          <w:rFonts w:ascii="Arial" w:hAnsi="Arial" w:cs="Arial"/>
          <w:sz w:val="23"/>
          <w:szCs w:val="23"/>
        </w:rPr>
      </w:pPr>
      <w:r w:rsidRPr="00FA6047">
        <w:rPr>
          <w:rFonts w:ascii="Arial" w:hAnsi="Arial" w:cs="Arial"/>
          <w:sz w:val="23"/>
          <w:szCs w:val="23"/>
        </w:rPr>
        <w:t>El 26 de agosto de 2021, mediante acuerdo CE/2021/080, el Consejo Estatal aprobó el Programa de Incentivos a partir del 2022, para el ejercicio valorado 2021 y los subsecuentes, que corresponde al personal del Servicio Profesional de este Instituto Electoral.</w:t>
      </w:r>
    </w:p>
    <w:p w:rsidR="00C93A48" w:rsidRPr="00FA6047" w:rsidRDefault="00C93A48" w:rsidP="00101A8E">
      <w:pPr>
        <w:rPr>
          <w:rFonts w:ascii="Arial" w:hAnsi="Arial" w:cs="Arial"/>
          <w:sz w:val="23"/>
          <w:szCs w:val="23"/>
        </w:rPr>
      </w:pPr>
      <w:r w:rsidRPr="00FA6047">
        <w:rPr>
          <w:rFonts w:ascii="Arial" w:hAnsi="Arial" w:cs="Arial"/>
          <w:sz w:val="23"/>
          <w:szCs w:val="23"/>
        </w:rPr>
        <w:t xml:space="preserve">El Programa </w:t>
      </w:r>
      <w:r w:rsidR="0007308D" w:rsidRPr="00FA6047">
        <w:rPr>
          <w:rFonts w:ascii="Arial" w:hAnsi="Arial" w:cs="Arial"/>
          <w:sz w:val="23"/>
          <w:szCs w:val="23"/>
        </w:rPr>
        <w:t>en cita,</w:t>
      </w:r>
      <w:r w:rsidRPr="00FA6047">
        <w:rPr>
          <w:rFonts w:ascii="Arial" w:hAnsi="Arial" w:cs="Arial"/>
          <w:sz w:val="23"/>
          <w:szCs w:val="23"/>
        </w:rPr>
        <w:t xml:space="preserve"> se ratificó para el periodo 2023, lo que se hizo del conocimiento de la </w:t>
      </w:r>
      <w:r w:rsidR="00FB20CF" w:rsidRPr="00FA6047">
        <w:rPr>
          <w:rFonts w:ascii="Arial" w:hAnsi="Arial" w:cs="Arial"/>
          <w:sz w:val="23"/>
          <w:szCs w:val="23"/>
        </w:rPr>
        <w:t>Dirección Ejecutiva del Servicio Profesional Electoral Nacional</w:t>
      </w:r>
      <w:r w:rsidRPr="00FA6047">
        <w:rPr>
          <w:rFonts w:ascii="Arial" w:hAnsi="Arial" w:cs="Arial"/>
          <w:sz w:val="23"/>
          <w:szCs w:val="23"/>
        </w:rPr>
        <w:t xml:space="preserve">, por parte del Órgano de Enlace, mediante oficio OESPEN/SE/029/2023, de fecha 23 de febrero de </w:t>
      </w:r>
      <w:r w:rsidR="00AC29F9" w:rsidRPr="00FA6047">
        <w:rPr>
          <w:rFonts w:ascii="Arial" w:hAnsi="Arial" w:cs="Arial"/>
          <w:sz w:val="23"/>
          <w:szCs w:val="23"/>
        </w:rPr>
        <w:t>2023</w:t>
      </w:r>
      <w:r w:rsidRPr="00FA6047">
        <w:rPr>
          <w:rFonts w:ascii="Arial" w:hAnsi="Arial" w:cs="Arial"/>
          <w:sz w:val="23"/>
          <w:szCs w:val="23"/>
        </w:rPr>
        <w:t>.</w:t>
      </w:r>
    </w:p>
    <w:p w:rsidR="00F86EF7" w:rsidRPr="00FA6047" w:rsidRDefault="00F86EF7" w:rsidP="00F94414">
      <w:pPr>
        <w:pStyle w:val="Ttulo2"/>
        <w:rPr>
          <w:rFonts w:ascii="Arial" w:hAnsi="Arial" w:cs="Arial"/>
          <w:color w:val="auto"/>
        </w:rPr>
      </w:pPr>
      <w:r w:rsidRPr="00FA6047">
        <w:rPr>
          <w:rFonts w:ascii="Arial" w:hAnsi="Arial" w:cs="Arial"/>
          <w:color w:val="auto"/>
        </w:rPr>
        <w:lastRenderedPageBreak/>
        <w:t>Integración de la Comisión de Seguimiento</w:t>
      </w:r>
    </w:p>
    <w:p w:rsidR="00F86EF7" w:rsidRPr="00FA6047" w:rsidRDefault="00F86EF7" w:rsidP="00101A8E">
      <w:pPr>
        <w:rPr>
          <w:rFonts w:ascii="Arial" w:hAnsi="Arial" w:cs="Arial"/>
          <w:sz w:val="23"/>
          <w:szCs w:val="23"/>
        </w:rPr>
      </w:pPr>
      <w:r w:rsidRPr="00FA6047">
        <w:rPr>
          <w:rFonts w:ascii="Arial" w:hAnsi="Arial" w:cs="Arial"/>
          <w:sz w:val="23"/>
          <w:szCs w:val="23"/>
        </w:rPr>
        <w:t xml:space="preserve">El 5 de octubre de 2023 el Consejo Estatal en términos del artículo 113 de la Ley Electoral y 376 fracción II del Estatuto, </w:t>
      </w:r>
      <w:r w:rsidR="007E5F34" w:rsidRPr="00FA6047">
        <w:rPr>
          <w:rFonts w:ascii="Arial" w:hAnsi="Arial" w:cs="Arial"/>
          <w:sz w:val="23"/>
          <w:szCs w:val="23"/>
        </w:rPr>
        <w:t xml:space="preserve">mediante acuerdo CE/2023/31 </w:t>
      </w:r>
      <w:r w:rsidRPr="00FA6047">
        <w:rPr>
          <w:rFonts w:ascii="Arial" w:hAnsi="Arial" w:cs="Arial"/>
          <w:sz w:val="23"/>
          <w:szCs w:val="23"/>
        </w:rPr>
        <w:t>constituyó la nueva integración de la Comisión de Seguimiento, responsable de garantizar la correcta implementación y funcionamiento de los mecanismos del Servicio Profesional.</w:t>
      </w:r>
    </w:p>
    <w:p w:rsidR="00F86EF7" w:rsidRPr="00FA6047" w:rsidRDefault="00F86EF7" w:rsidP="00101A8E">
      <w:pPr>
        <w:rPr>
          <w:rFonts w:ascii="Arial" w:hAnsi="Arial" w:cs="Arial"/>
          <w:sz w:val="23"/>
          <w:szCs w:val="23"/>
        </w:rPr>
      </w:pPr>
      <w:r w:rsidRPr="00FA6047">
        <w:rPr>
          <w:rFonts w:ascii="Arial" w:hAnsi="Arial" w:cs="Arial"/>
          <w:sz w:val="23"/>
          <w:szCs w:val="23"/>
        </w:rPr>
        <w:t>La Comisión de Seguimiento se integró por la Consejera Electoral, Licda. María Elvia Magaña Sandoval, y los Consejeros Electorales, Mtro. Juan Correa López y M.D. Víctor Humberto Mejía Naranjo, éste último Presidente de la Comisión.</w:t>
      </w:r>
    </w:p>
    <w:p w:rsidR="00C93A48" w:rsidRPr="003D07F6" w:rsidRDefault="00C93A48" w:rsidP="00255526">
      <w:pPr>
        <w:pStyle w:val="Ttulo1"/>
        <w:rPr>
          <w:sz w:val="24"/>
          <w:szCs w:val="24"/>
        </w:rPr>
      </w:pPr>
      <w:r w:rsidRPr="003D07F6">
        <w:rPr>
          <w:sz w:val="24"/>
          <w:szCs w:val="24"/>
        </w:rPr>
        <w:t>Considerando</w:t>
      </w:r>
    </w:p>
    <w:p w:rsidR="00C93A48" w:rsidRPr="003D07F6" w:rsidRDefault="00C93A48" w:rsidP="00F94414">
      <w:pPr>
        <w:pStyle w:val="Ttulo2"/>
        <w:rPr>
          <w:rFonts w:ascii="Arial" w:hAnsi="Arial" w:cs="Arial"/>
          <w:color w:val="auto"/>
        </w:rPr>
      </w:pPr>
      <w:r w:rsidRPr="003D07F6">
        <w:rPr>
          <w:rFonts w:ascii="Arial" w:hAnsi="Arial" w:cs="Arial"/>
          <w:color w:val="auto"/>
        </w:rPr>
        <w:t xml:space="preserve">Fines del Instituto </w:t>
      </w:r>
    </w:p>
    <w:p w:rsidR="00C93A48" w:rsidRPr="003D07F6" w:rsidRDefault="00C93A48" w:rsidP="00101A8E">
      <w:pPr>
        <w:rPr>
          <w:rFonts w:ascii="Arial" w:hAnsi="Arial" w:cs="Arial"/>
          <w:sz w:val="23"/>
          <w:szCs w:val="23"/>
        </w:rPr>
      </w:pPr>
      <w:r w:rsidRPr="003D07F6">
        <w:rPr>
          <w:rFonts w:ascii="Arial" w:hAnsi="Arial" w:cs="Arial"/>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C93A48" w:rsidRPr="003D07F6" w:rsidRDefault="00C93A48" w:rsidP="00101A8E">
      <w:pPr>
        <w:rPr>
          <w:rFonts w:ascii="Arial" w:hAnsi="Arial" w:cs="Arial"/>
          <w:sz w:val="23"/>
          <w:szCs w:val="23"/>
        </w:rPr>
      </w:pPr>
      <w:r w:rsidRPr="003D07F6">
        <w:rPr>
          <w:rFonts w:ascii="Arial" w:hAnsi="Arial" w:cs="Arial"/>
          <w:sz w:val="23"/>
          <w:szCs w:val="23"/>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w:t>
      </w:r>
      <w:r w:rsidR="00ED125D" w:rsidRPr="003D07F6">
        <w:rPr>
          <w:rFonts w:ascii="Arial" w:hAnsi="Arial" w:cs="Arial"/>
          <w:sz w:val="23"/>
          <w:szCs w:val="23"/>
        </w:rPr>
        <w:t xml:space="preserve"> ámbito político y electoral; y</w:t>
      </w:r>
      <w:r w:rsidRPr="003D07F6">
        <w:rPr>
          <w:rFonts w:ascii="Arial" w:hAnsi="Arial" w:cs="Arial"/>
          <w:sz w:val="23"/>
          <w:szCs w:val="23"/>
        </w:rPr>
        <w:t xml:space="preserve"> organizar o coadyuvar a la realización de los ejercicios de consultas populares y demás formas de participación ciudadana, de conformidad con lo que dispongan las leyes.</w:t>
      </w:r>
    </w:p>
    <w:p w:rsidR="00C93A48" w:rsidRPr="003D07F6" w:rsidRDefault="00C93A48" w:rsidP="00F94414">
      <w:pPr>
        <w:pStyle w:val="Ttulo2"/>
        <w:rPr>
          <w:rFonts w:ascii="Arial" w:hAnsi="Arial" w:cs="Arial"/>
          <w:color w:val="auto"/>
        </w:rPr>
      </w:pPr>
      <w:r w:rsidRPr="003D07F6">
        <w:rPr>
          <w:rFonts w:ascii="Arial" w:hAnsi="Arial" w:cs="Arial"/>
          <w:color w:val="auto"/>
        </w:rPr>
        <w:lastRenderedPageBreak/>
        <w:t xml:space="preserve">Órgano Superior de Dirección del Instituto </w:t>
      </w:r>
    </w:p>
    <w:p w:rsidR="00C93A48" w:rsidRPr="003D07F6" w:rsidRDefault="00C93A48" w:rsidP="00101A8E">
      <w:pPr>
        <w:rPr>
          <w:rFonts w:ascii="Arial" w:hAnsi="Arial" w:cs="Arial"/>
          <w:sz w:val="23"/>
          <w:szCs w:val="23"/>
        </w:rPr>
      </w:pPr>
      <w:r w:rsidRPr="003D07F6">
        <w:rPr>
          <w:rFonts w:ascii="Arial" w:hAnsi="Arial" w:cs="Arial"/>
          <w:sz w:val="23"/>
          <w:szCs w:val="23"/>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rsidR="00C93A48" w:rsidRPr="003D07F6" w:rsidRDefault="00C93A48" w:rsidP="00F94414">
      <w:pPr>
        <w:pStyle w:val="Ttulo2"/>
        <w:rPr>
          <w:rFonts w:ascii="Arial" w:hAnsi="Arial" w:cs="Arial"/>
          <w:color w:val="auto"/>
        </w:rPr>
      </w:pPr>
      <w:r w:rsidRPr="003D07F6">
        <w:rPr>
          <w:rFonts w:ascii="Arial" w:hAnsi="Arial" w:cs="Arial"/>
          <w:color w:val="auto"/>
        </w:rPr>
        <w:t>Integración del Órgano de Dirección Superior</w:t>
      </w:r>
    </w:p>
    <w:p w:rsidR="00C93A48" w:rsidRPr="003D07F6" w:rsidRDefault="00C93A48" w:rsidP="00101A8E">
      <w:pPr>
        <w:rPr>
          <w:rFonts w:ascii="Arial" w:hAnsi="Arial" w:cs="Arial"/>
          <w:sz w:val="23"/>
          <w:szCs w:val="23"/>
        </w:rPr>
      </w:pPr>
      <w:r w:rsidRPr="003D07F6">
        <w:rPr>
          <w:rFonts w:ascii="Arial" w:hAnsi="Arial" w:cs="Arial"/>
          <w:sz w:val="23"/>
          <w:szCs w:val="23"/>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C93A48" w:rsidRPr="003D07F6" w:rsidRDefault="00C93A48" w:rsidP="00F94414">
      <w:pPr>
        <w:pStyle w:val="Ttulo2"/>
        <w:rPr>
          <w:rFonts w:ascii="Arial" w:hAnsi="Arial" w:cs="Arial"/>
          <w:color w:val="auto"/>
        </w:rPr>
      </w:pPr>
      <w:r w:rsidRPr="003D07F6">
        <w:rPr>
          <w:rFonts w:ascii="Arial" w:hAnsi="Arial" w:cs="Arial"/>
          <w:color w:val="auto"/>
        </w:rPr>
        <w:t>Distribución de competencias entre el INE y los organismos electorales</w:t>
      </w:r>
    </w:p>
    <w:p w:rsidR="00C93A48" w:rsidRPr="003D07F6" w:rsidRDefault="00C93A48" w:rsidP="00101A8E">
      <w:pPr>
        <w:rPr>
          <w:rFonts w:ascii="Arial" w:hAnsi="Arial" w:cs="Arial"/>
          <w:sz w:val="23"/>
          <w:szCs w:val="23"/>
        </w:rPr>
      </w:pPr>
      <w:r w:rsidRPr="003D07F6">
        <w:rPr>
          <w:rFonts w:ascii="Arial" w:hAnsi="Arial" w:cs="Arial"/>
          <w:sz w:val="23"/>
          <w:szCs w:val="23"/>
        </w:rPr>
        <w:t>Que, los artículos 1 y 4 de la Ley General prevén que dicho ordenamiento es de orden público y de observancia general en el territorio nacional; además, tiene por objeto, entre otros, establecer la distribución de competencias entre la Federación y las entidades federativas, así como la relación entre el INE y los organismos electorales.</w:t>
      </w:r>
    </w:p>
    <w:p w:rsidR="00C93A48" w:rsidRPr="003D07F6" w:rsidRDefault="00C93A48" w:rsidP="00F94414">
      <w:pPr>
        <w:pStyle w:val="Ttulo2"/>
        <w:rPr>
          <w:rFonts w:ascii="Arial" w:hAnsi="Arial" w:cs="Arial"/>
          <w:color w:val="auto"/>
        </w:rPr>
      </w:pPr>
      <w:r w:rsidRPr="003D07F6">
        <w:rPr>
          <w:rFonts w:ascii="Arial" w:hAnsi="Arial" w:cs="Arial"/>
          <w:color w:val="auto"/>
        </w:rPr>
        <w:t xml:space="preserve">Competencia del Consejo Estatal </w:t>
      </w:r>
    </w:p>
    <w:p w:rsidR="00C93A48" w:rsidRPr="003D07F6" w:rsidRDefault="00C93A48" w:rsidP="00101A8E">
      <w:pPr>
        <w:rPr>
          <w:rFonts w:ascii="Arial" w:hAnsi="Arial" w:cs="Arial"/>
          <w:sz w:val="23"/>
          <w:szCs w:val="23"/>
        </w:rPr>
      </w:pPr>
      <w:r w:rsidRPr="003D07F6">
        <w:rPr>
          <w:rFonts w:ascii="Arial" w:hAnsi="Arial" w:cs="Arial"/>
          <w:sz w:val="23"/>
          <w:szCs w:val="23"/>
        </w:rPr>
        <w:t xml:space="preserve">Que, de conformidad con el artículo 115 numeral 1 fracción </w:t>
      </w:r>
      <w:r w:rsidR="0007308D" w:rsidRPr="003D07F6">
        <w:rPr>
          <w:rFonts w:ascii="Arial" w:hAnsi="Arial" w:cs="Arial"/>
          <w:sz w:val="23"/>
          <w:szCs w:val="23"/>
        </w:rPr>
        <w:t>I</w:t>
      </w:r>
      <w:r w:rsidRPr="003D07F6">
        <w:rPr>
          <w:rFonts w:ascii="Arial" w:hAnsi="Arial" w:cs="Arial"/>
          <w:sz w:val="23"/>
          <w:szCs w:val="23"/>
        </w:rPr>
        <w:t xml:space="preserve"> </w:t>
      </w:r>
      <w:r w:rsidR="00115551" w:rsidRPr="003D07F6">
        <w:rPr>
          <w:rFonts w:ascii="Arial" w:hAnsi="Arial" w:cs="Arial"/>
          <w:sz w:val="23"/>
          <w:szCs w:val="23"/>
        </w:rPr>
        <w:t xml:space="preserve">en relación con el artículo 160 numeral 2 </w:t>
      </w:r>
      <w:r w:rsidRPr="003D07F6">
        <w:rPr>
          <w:rFonts w:ascii="Arial" w:hAnsi="Arial" w:cs="Arial"/>
          <w:sz w:val="23"/>
          <w:szCs w:val="23"/>
        </w:rPr>
        <w:t xml:space="preserve">de la Ley Electoral, el Consejo Estatal es competente para </w:t>
      </w:r>
      <w:r w:rsidR="0007308D" w:rsidRPr="003D07F6">
        <w:rPr>
          <w:rFonts w:ascii="Arial" w:hAnsi="Arial" w:cs="Arial"/>
          <w:sz w:val="23"/>
          <w:szCs w:val="23"/>
        </w:rPr>
        <w:t>aplicar las disposiciones generales, reglas, lineamientos, criterios y formatos que, en ejercicio de las facultades que le confieren la Constitución Federal y la Ley General, establezca el INE; entre ellas lo relativo al Servicio Profesional</w:t>
      </w:r>
      <w:r w:rsidRPr="003D07F6">
        <w:rPr>
          <w:rFonts w:ascii="Arial" w:hAnsi="Arial" w:cs="Arial"/>
          <w:sz w:val="23"/>
          <w:szCs w:val="23"/>
        </w:rPr>
        <w:t>.</w:t>
      </w:r>
    </w:p>
    <w:p w:rsidR="00C93A48" w:rsidRPr="003D07F6" w:rsidRDefault="00C93A48" w:rsidP="00101A8E">
      <w:pPr>
        <w:rPr>
          <w:rFonts w:ascii="Arial" w:hAnsi="Arial" w:cs="Arial"/>
          <w:sz w:val="23"/>
          <w:szCs w:val="23"/>
        </w:rPr>
      </w:pPr>
      <w:r w:rsidRPr="003D07F6">
        <w:rPr>
          <w:rFonts w:ascii="Arial" w:hAnsi="Arial" w:cs="Arial"/>
          <w:sz w:val="23"/>
          <w:szCs w:val="23"/>
        </w:rPr>
        <w:t xml:space="preserve">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w:t>
      </w:r>
      <w:r w:rsidRPr="003D07F6">
        <w:rPr>
          <w:rFonts w:ascii="Arial" w:hAnsi="Arial" w:cs="Arial"/>
          <w:sz w:val="23"/>
          <w:szCs w:val="23"/>
        </w:rPr>
        <w:lastRenderedPageBreak/>
        <w:t>corresponda, siempre en apego a sus facultades y a los principios rectores de la función electoral.</w:t>
      </w:r>
    </w:p>
    <w:p w:rsidR="00C740E9" w:rsidRPr="003D07F6" w:rsidRDefault="00C740E9" w:rsidP="00F94414">
      <w:pPr>
        <w:pStyle w:val="Ttulo2"/>
        <w:rPr>
          <w:rFonts w:ascii="Arial" w:hAnsi="Arial" w:cs="Arial"/>
          <w:color w:val="auto"/>
        </w:rPr>
      </w:pPr>
      <w:r w:rsidRPr="003D07F6">
        <w:rPr>
          <w:rFonts w:ascii="Arial" w:hAnsi="Arial" w:cs="Arial"/>
          <w:color w:val="auto"/>
        </w:rPr>
        <w:t>Comisiones del Instituto</w:t>
      </w:r>
    </w:p>
    <w:p w:rsidR="00C740E9" w:rsidRPr="003D07F6" w:rsidRDefault="00C740E9" w:rsidP="00101A8E">
      <w:pPr>
        <w:rPr>
          <w:rFonts w:ascii="Arial" w:hAnsi="Arial" w:cs="Arial"/>
          <w:sz w:val="23"/>
          <w:szCs w:val="23"/>
        </w:rPr>
      </w:pPr>
      <w:r w:rsidRPr="003D07F6">
        <w:rPr>
          <w:rFonts w:ascii="Arial" w:hAnsi="Arial" w:cs="Arial"/>
          <w:sz w:val="23"/>
          <w:szCs w:val="23"/>
        </w:rPr>
        <w:t>Que, el artículo 113 numeral 1 de la Ley Electoral dispone que, el Consejo Estatal constituirá las comisiones permanentes de Vinculación con el INE, de Organización Electoral y Educación Cívica, de Denuncias y Quejas, y de Igualdad de Género y no Discriminación; así como las comisiones temporales que considere pertinentes para el desempeño de sus atribuciones, las que siempre serán presididas por una Consejera o un Consejero Electoral, salvo la de Vinculación con el Instituto Nacional Electoral, que será presidida por la Consejera o el Consejero Presidente.</w:t>
      </w:r>
    </w:p>
    <w:p w:rsidR="00C740E9" w:rsidRPr="003D07F6" w:rsidRDefault="00C740E9" w:rsidP="00101A8E">
      <w:pPr>
        <w:rPr>
          <w:rFonts w:ascii="Arial" w:hAnsi="Arial" w:cs="Arial"/>
          <w:sz w:val="23"/>
          <w:szCs w:val="23"/>
        </w:rPr>
      </w:pPr>
      <w:r w:rsidRPr="003D07F6">
        <w:rPr>
          <w:rFonts w:ascii="Arial" w:hAnsi="Arial" w:cs="Arial"/>
          <w:sz w:val="23"/>
          <w:szCs w:val="23"/>
        </w:rPr>
        <w:t>Asimismo, de conformidad con el artículo 376 fracción II del Estatuto y del Personal de la Rama Administrativa corresponde al Consejo Estatal determinar la integración de la Comisión de Seguimiento, que será responsable de garantizar la correcta implementación y funcio</w:t>
      </w:r>
      <w:r w:rsidR="001112DB" w:rsidRPr="003D07F6">
        <w:rPr>
          <w:rFonts w:ascii="Arial" w:hAnsi="Arial" w:cs="Arial"/>
          <w:sz w:val="23"/>
          <w:szCs w:val="23"/>
        </w:rPr>
        <w:t>namiento de los mecanismos del S</w:t>
      </w:r>
      <w:r w:rsidRPr="003D07F6">
        <w:rPr>
          <w:rFonts w:ascii="Arial" w:hAnsi="Arial" w:cs="Arial"/>
          <w:sz w:val="23"/>
          <w:szCs w:val="23"/>
        </w:rPr>
        <w:t>ervicio</w:t>
      </w:r>
      <w:r w:rsidR="001112DB" w:rsidRPr="003D07F6">
        <w:rPr>
          <w:rFonts w:ascii="Arial" w:hAnsi="Arial" w:cs="Arial"/>
          <w:sz w:val="23"/>
          <w:szCs w:val="23"/>
        </w:rPr>
        <w:t xml:space="preserve"> Profesional</w:t>
      </w:r>
      <w:r w:rsidRPr="003D07F6">
        <w:rPr>
          <w:rFonts w:ascii="Arial" w:hAnsi="Arial" w:cs="Arial"/>
          <w:sz w:val="23"/>
          <w:szCs w:val="23"/>
        </w:rPr>
        <w:t>, bajo la rectoría del Instituto y conforme las disposiciones de la Constitución y demás ordenamientos aplicables.</w:t>
      </w:r>
    </w:p>
    <w:p w:rsidR="00997395" w:rsidRPr="003D07F6" w:rsidRDefault="00997395" w:rsidP="00F94414">
      <w:pPr>
        <w:pStyle w:val="Ttulo2"/>
        <w:rPr>
          <w:rFonts w:ascii="Arial" w:hAnsi="Arial" w:cs="Arial"/>
          <w:color w:val="auto"/>
        </w:rPr>
      </w:pPr>
      <w:r w:rsidRPr="003D07F6">
        <w:rPr>
          <w:rFonts w:ascii="Arial" w:hAnsi="Arial" w:cs="Arial"/>
          <w:color w:val="auto"/>
        </w:rPr>
        <w:t>Comisión de Seguimiento</w:t>
      </w:r>
    </w:p>
    <w:p w:rsidR="00DE51CF" w:rsidRPr="003D07F6" w:rsidRDefault="00DE51CF" w:rsidP="00101A8E">
      <w:pPr>
        <w:rPr>
          <w:rFonts w:ascii="Arial" w:hAnsi="Arial" w:cs="Arial"/>
          <w:sz w:val="23"/>
          <w:szCs w:val="23"/>
        </w:rPr>
      </w:pPr>
      <w:r w:rsidRPr="003D07F6">
        <w:rPr>
          <w:rFonts w:ascii="Arial" w:hAnsi="Arial" w:cs="Arial"/>
          <w:sz w:val="23"/>
          <w:szCs w:val="23"/>
        </w:rPr>
        <w:t>Que, de conformidad con los artículos</w:t>
      </w:r>
      <w:r w:rsidR="001112DB" w:rsidRPr="003D07F6">
        <w:rPr>
          <w:rFonts w:ascii="Arial" w:hAnsi="Arial" w:cs="Arial"/>
          <w:sz w:val="23"/>
          <w:szCs w:val="23"/>
        </w:rPr>
        <w:t xml:space="preserve"> 376 fracción II del Estatuto</w:t>
      </w:r>
      <w:r w:rsidRPr="003D07F6">
        <w:rPr>
          <w:rFonts w:ascii="Arial" w:hAnsi="Arial" w:cs="Arial"/>
          <w:sz w:val="23"/>
          <w:szCs w:val="23"/>
        </w:rPr>
        <w:t xml:space="preserve"> y del Personal de la Rama Administrativa y 16 del Reglamento de Comisiones, la función principal de la Comisión de Seguimiento es garantizar la correcta implementación y funcionamiento de los mecanismos del propio </w:t>
      </w:r>
      <w:r w:rsidR="001112DB" w:rsidRPr="003D07F6">
        <w:rPr>
          <w:rFonts w:ascii="Arial" w:hAnsi="Arial" w:cs="Arial"/>
          <w:sz w:val="23"/>
          <w:szCs w:val="23"/>
        </w:rPr>
        <w:t>S</w:t>
      </w:r>
      <w:r w:rsidRPr="003D07F6">
        <w:rPr>
          <w:rFonts w:ascii="Arial" w:hAnsi="Arial" w:cs="Arial"/>
          <w:sz w:val="23"/>
          <w:szCs w:val="23"/>
        </w:rPr>
        <w:t>ervicio</w:t>
      </w:r>
      <w:r w:rsidR="001112DB" w:rsidRPr="003D07F6">
        <w:rPr>
          <w:rFonts w:ascii="Arial" w:hAnsi="Arial" w:cs="Arial"/>
          <w:sz w:val="23"/>
          <w:szCs w:val="23"/>
        </w:rPr>
        <w:t xml:space="preserve"> Profesional</w:t>
      </w:r>
      <w:r w:rsidRPr="003D07F6">
        <w:rPr>
          <w:rFonts w:ascii="Arial" w:hAnsi="Arial" w:cs="Arial"/>
          <w:sz w:val="23"/>
          <w:szCs w:val="23"/>
        </w:rPr>
        <w:t xml:space="preserve">, bajo la rectoría del INE y conforme a las disposiciones de la Constitución Federal, la Ley General y el propio Estatuto mencionado. </w:t>
      </w:r>
    </w:p>
    <w:p w:rsidR="00997395" w:rsidRPr="003D07F6" w:rsidRDefault="00DE51CF" w:rsidP="00101A8E">
      <w:pPr>
        <w:rPr>
          <w:rFonts w:ascii="Arial" w:hAnsi="Arial" w:cs="Arial"/>
          <w:sz w:val="23"/>
          <w:szCs w:val="23"/>
        </w:rPr>
      </w:pPr>
      <w:r w:rsidRPr="003D07F6">
        <w:rPr>
          <w:rFonts w:ascii="Arial" w:hAnsi="Arial" w:cs="Arial"/>
          <w:sz w:val="23"/>
          <w:szCs w:val="23"/>
        </w:rPr>
        <w:t xml:space="preserve">Para ello, cuenta con la facultad de proponer la participación de instituciones de educación superior y profesionales, en la ejecución de los programas de ingreso, formación, desarrollo y actualización profesional; promover la coordinación de actividades y, en su caso, la celebración de convenios de cooperación técnica con instituciones, con la finalidad de apoyar los programas institucionales, someter la propuesta de modificación a la estructura organizacional del Servicio </w:t>
      </w:r>
      <w:r w:rsidR="001112DB" w:rsidRPr="003D07F6">
        <w:rPr>
          <w:rFonts w:ascii="Arial" w:hAnsi="Arial" w:cs="Arial"/>
          <w:sz w:val="23"/>
          <w:szCs w:val="23"/>
        </w:rPr>
        <w:t xml:space="preserve">Profesional </w:t>
      </w:r>
      <w:r w:rsidRPr="003D07F6">
        <w:rPr>
          <w:rFonts w:ascii="Arial" w:hAnsi="Arial" w:cs="Arial"/>
          <w:sz w:val="23"/>
          <w:szCs w:val="23"/>
        </w:rPr>
        <w:t xml:space="preserve">en los términos del Estatuto y, entre otras, la de </w:t>
      </w:r>
      <w:r w:rsidR="00C62F53" w:rsidRPr="003D07F6">
        <w:rPr>
          <w:rFonts w:ascii="Arial" w:hAnsi="Arial" w:cs="Arial"/>
          <w:sz w:val="23"/>
          <w:szCs w:val="23"/>
        </w:rPr>
        <w:t>p</w:t>
      </w:r>
      <w:r w:rsidR="00997395" w:rsidRPr="003D07F6">
        <w:rPr>
          <w:rFonts w:ascii="Arial" w:hAnsi="Arial" w:cs="Arial"/>
          <w:sz w:val="23"/>
          <w:szCs w:val="23"/>
        </w:rPr>
        <w:t xml:space="preserve">roponer al Consejo </w:t>
      </w:r>
      <w:r w:rsidR="00C62F53" w:rsidRPr="003D07F6">
        <w:rPr>
          <w:rFonts w:ascii="Arial" w:hAnsi="Arial" w:cs="Arial"/>
          <w:sz w:val="23"/>
          <w:szCs w:val="23"/>
        </w:rPr>
        <w:t xml:space="preserve">Estatal </w:t>
      </w:r>
      <w:r w:rsidR="00997395" w:rsidRPr="003D07F6">
        <w:rPr>
          <w:rFonts w:ascii="Arial" w:hAnsi="Arial" w:cs="Arial"/>
          <w:sz w:val="23"/>
          <w:szCs w:val="23"/>
        </w:rPr>
        <w:t>los incentivos y promociones que habrán de otorgarse al personal perteneciente al Servicio</w:t>
      </w:r>
      <w:r w:rsidR="00C62F53" w:rsidRPr="003D07F6">
        <w:rPr>
          <w:rFonts w:ascii="Arial" w:hAnsi="Arial" w:cs="Arial"/>
          <w:sz w:val="23"/>
          <w:szCs w:val="23"/>
        </w:rPr>
        <w:t>.</w:t>
      </w:r>
    </w:p>
    <w:p w:rsidR="007F220F" w:rsidRPr="003D07F6" w:rsidRDefault="007F220F" w:rsidP="00F94414">
      <w:pPr>
        <w:pStyle w:val="Ttulo2"/>
        <w:rPr>
          <w:rFonts w:ascii="Arial" w:hAnsi="Arial" w:cs="Arial"/>
          <w:color w:val="auto"/>
        </w:rPr>
      </w:pPr>
      <w:r w:rsidRPr="003D07F6">
        <w:rPr>
          <w:rFonts w:ascii="Arial" w:hAnsi="Arial" w:cs="Arial"/>
          <w:color w:val="auto"/>
        </w:rPr>
        <w:lastRenderedPageBreak/>
        <w:t xml:space="preserve">Servicio Profesional </w:t>
      </w:r>
    </w:p>
    <w:p w:rsidR="007F220F" w:rsidRPr="003D07F6" w:rsidRDefault="007F220F" w:rsidP="00101A8E">
      <w:pPr>
        <w:rPr>
          <w:rFonts w:ascii="Arial" w:hAnsi="Arial" w:cs="Arial"/>
          <w:sz w:val="23"/>
          <w:szCs w:val="23"/>
        </w:rPr>
      </w:pPr>
      <w:r w:rsidRPr="003D07F6">
        <w:rPr>
          <w:rFonts w:ascii="Arial" w:hAnsi="Arial" w:cs="Arial"/>
          <w:sz w:val="23"/>
          <w:szCs w:val="23"/>
        </w:rPr>
        <w:t xml:space="preserve">Que, como lo dispone el artículo 41 Base V, </w:t>
      </w:r>
      <w:r w:rsidR="00D83226" w:rsidRPr="003D07F6">
        <w:rPr>
          <w:rFonts w:ascii="Arial" w:hAnsi="Arial" w:cs="Arial"/>
          <w:sz w:val="23"/>
          <w:szCs w:val="23"/>
        </w:rPr>
        <w:t>a</w:t>
      </w:r>
      <w:r w:rsidRPr="003D07F6">
        <w:rPr>
          <w:rFonts w:ascii="Arial" w:hAnsi="Arial" w:cs="Arial"/>
          <w:sz w:val="23"/>
          <w:szCs w:val="23"/>
        </w:rPr>
        <w:t xml:space="preserve">partado </w:t>
      </w:r>
      <w:r w:rsidR="00D83226" w:rsidRPr="003D07F6">
        <w:rPr>
          <w:rFonts w:ascii="Arial" w:hAnsi="Arial" w:cs="Arial"/>
          <w:sz w:val="23"/>
          <w:szCs w:val="23"/>
        </w:rPr>
        <w:t>“</w:t>
      </w:r>
      <w:r w:rsidRPr="003D07F6">
        <w:rPr>
          <w:rFonts w:ascii="Arial" w:hAnsi="Arial" w:cs="Arial"/>
          <w:sz w:val="23"/>
          <w:szCs w:val="23"/>
        </w:rPr>
        <w:t>D</w:t>
      </w:r>
      <w:r w:rsidR="00D83226" w:rsidRPr="003D07F6">
        <w:rPr>
          <w:rFonts w:ascii="Arial" w:hAnsi="Arial" w:cs="Arial"/>
          <w:sz w:val="23"/>
          <w:szCs w:val="23"/>
        </w:rPr>
        <w:t>”</w:t>
      </w:r>
      <w:r w:rsidRPr="003D07F6">
        <w:rPr>
          <w:rFonts w:ascii="Arial" w:hAnsi="Arial" w:cs="Arial"/>
          <w:sz w:val="23"/>
          <w:szCs w:val="23"/>
        </w:rPr>
        <w:t xml:space="preserve"> de la Constitución Federal, el Servicio Profesional comprende la selección, ingreso, capacitación, profesionalización, promoción, evaluación, rotación, permanencia y disciplina, de los servidores públicos de los órganos ejecutivos y técnicos del INE y de los organismos electorales de las entidades federativas. </w:t>
      </w:r>
    </w:p>
    <w:p w:rsidR="007F220F" w:rsidRPr="003D07F6" w:rsidRDefault="007F220F" w:rsidP="00101A8E">
      <w:pPr>
        <w:rPr>
          <w:rFonts w:ascii="Arial" w:hAnsi="Arial" w:cs="Arial"/>
          <w:sz w:val="23"/>
          <w:szCs w:val="23"/>
        </w:rPr>
      </w:pPr>
      <w:r w:rsidRPr="003D07F6">
        <w:rPr>
          <w:rFonts w:ascii="Arial" w:hAnsi="Arial" w:cs="Arial"/>
          <w:sz w:val="23"/>
          <w:szCs w:val="23"/>
        </w:rPr>
        <w:t xml:space="preserve">En el caso de la entidad, los artículos 160 y 161 de la Ley Electoral establecen que, para asegurar el desempeño profesional de las actividades del Instituto Electoral, el INE regulará la organización y funcionamiento del Servicio Profesional, de conformidad con lo establecido por el numeral 41 de la Constitución Federal;  además, la organización del </w:t>
      </w:r>
      <w:r w:rsidR="001112DB" w:rsidRPr="003D07F6">
        <w:rPr>
          <w:rFonts w:ascii="Arial" w:hAnsi="Arial" w:cs="Arial"/>
          <w:sz w:val="23"/>
          <w:szCs w:val="23"/>
        </w:rPr>
        <w:t>S</w:t>
      </w:r>
      <w:r w:rsidRPr="003D07F6">
        <w:rPr>
          <w:rFonts w:ascii="Arial" w:hAnsi="Arial" w:cs="Arial"/>
          <w:sz w:val="23"/>
          <w:szCs w:val="23"/>
        </w:rPr>
        <w:t xml:space="preserve">ervicio </w:t>
      </w:r>
      <w:r w:rsidR="001112DB" w:rsidRPr="003D07F6">
        <w:rPr>
          <w:rFonts w:ascii="Arial" w:hAnsi="Arial" w:cs="Arial"/>
          <w:sz w:val="23"/>
          <w:szCs w:val="23"/>
        </w:rPr>
        <w:t xml:space="preserve">Profesional </w:t>
      </w:r>
      <w:r w:rsidRPr="003D07F6">
        <w:rPr>
          <w:rFonts w:ascii="Arial" w:hAnsi="Arial" w:cs="Arial"/>
          <w:sz w:val="23"/>
          <w:szCs w:val="23"/>
        </w:rPr>
        <w:t>será regulada por las normas establecidas por la Ley General y por las del Estatuto que apruebe el Consejo General, en lo relativo al sistema correspondiente a los organismos electorales</w:t>
      </w:r>
    </w:p>
    <w:p w:rsidR="00D83226" w:rsidRPr="003D07F6" w:rsidRDefault="00D83226" w:rsidP="00F94414">
      <w:pPr>
        <w:pStyle w:val="Ttulo2"/>
        <w:rPr>
          <w:rFonts w:ascii="Arial" w:hAnsi="Arial" w:cs="Arial"/>
          <w:color w:val="auto"/>
        </w:rPr>
      </w:pPr>
      <w:r w:rsidRPr="003D07F6">
        <w:rPr>
          <w:rFonts w:ascii="Arial" w:hAnsi="Arial" w:cs="Arial"/>
          <w:color w:val="auto"/>
        </w:rPr>
        <w:t>I</w:t>
      </w:r>
      <w:r w:rsidR="007F220F" w:rsidRPr="003D07F6">
        <w:rPr>
          <w:rFonts w:ascii="Arial" w:hAnsi="Arial" w:cs="Arial"/>
          <w:color w:val="auto"/>
        </w:rPr>
        <w:t>ntegración, organización y funcionam</w:t>
      </w:r>
      <w:r w:rsidRPr="003D07F6">
        <w:rPr>
          <w:rFonts w:ascii="Arial" w:hAnsi="Arial" w:cs="Arial"/>
          <w:color w:val="auto"/>
        </w:rPr>
        <w:t>iento del Servicio Profesional</w:t>
      </w:r>
    </w:p>
    <w:p w:rsidR="00C93A48" w:rsidRPr="003D07F6" w:rsidRDefault="007F220F" w:rsidP="00101A8E">
      <w:pPr>
        <w:rPr>
          <w:rFonts w:ascii="Arial" w:hAnsi="Arial" w:cs="Arial"/>
          <w:sz w:val="23"/>
          <w:szCs w:val="23"/>
        </w:rPr>
      </w:pPr>
      <w:r w:rsidRPr="003D07F6">
        <w:rPr>
          <w:rFonts w:ascii="Arial" w:hAnsi="Arial" w:cs="Arial"/>
          <w:sz w:val="23"/>
          <w:szCs w:val="23"/>
        </w:rPr>
        <w:t>Que</w:t>
      </w:r>
      <w:r w:rsidR="00D83226" w:rsidRPr="003D07F6">
        <w:rPr>
          <w:rFonts w:ascii="Arial" w:hAnsi="Arial" w:cs="Arial"/>
          <w:sz w:val="23"/>
          <w:szCs w:val="23"/>
        </w:rPr>
        <w:t>,</w:t>
      </w:r>
      <w:r w:rsidRPr="003D07F6">
        <w:rPr>
          <w:rFonts w:ascii="Arial" w:hAnsi="Arial" w:cs="Arial"/>
          <w:sz w:val="23"/>
          <w:szCs w:val="23"/>
        </w:rPr>
        <w:t xml:space="preserve"> conforme a lo dispuesto por el artículo 202, numerales 1 y 2 de la Ley General, el Servicio Profesional se integra por las y los servidores públicos de los órganos ejecutivos y técnicos del INE y de los organismos electorales, mismo que contará con dos sistemas: uno para el INE y otro para los organismos electorales; y para su adecuado funcionamiento, el INE regulará la organización y aplicará los distintos mecanismos del Servicio de conformidad con lo dispuesto en el apartado D de la Base V, del artículo 41 de la Constitución Federal.</w:t>
      </w:r>
    </w:p>
    <w:p w:rsidR="00D83226" w:rsidRPr="003D07F6" w:rsidRDefault="00D83226" w:rsidP="00F94414">
      <w:pPr>
        <w:pStyle w:val="Ttulo2"/>
        <w:rPr>
          <w:rFonts w:ascii="Arial" w:hAnsi="Arial" w:cs="Arial"/>
          <w:color w:val="auto"/>
        </w:rPr>
      </w:pPr>
      <w:r w:rsidRPr="003D07F6">
        <w:rPr>
          <w:rFonts w:ascii="Arial" w:hAnsi="Arial" w:cs="Arial"/>
          <w:color w:val="auto"/>
        </w:rPr>
        <w:t>Funcionamiento del Servicio Profesional del Sistema de Organismos Electorales</w:t>
      </w:r>
    </w:p>
    <w:p w:rsidR="00C93A48" w:rsidRPr="003D07F6" w:rsidRDefault="00D83226" w:rsidP="00101A8E">
      <w:pPr>
        <w:rPr>
          <w:rFonts w:ascii="Arial" w:hAnsi="Arial" w:cs="Arial"/>
          <w:sz w:val="23"/>
          <w:szCs w:val="23"/>
        </w:rPr>
      </w:pPr>
      <w:r w:rsidRPr="003D07F6">
        <w:rPr>
          <w:rFonts w:ascii="Arial" w:hAnsi="Arial" w:cs="Arial"/>
          <w:sz w:val="23"/>
          <w:szCs w:val="23"/>
        </w:rPr>
        <w:t>Que, el artículo 30, numeral 3 de la Ley General, prevé entre otras cosas que, para el desempeño de sus actividades, los organismos electorales contarán con un cuerpo de servidores públicos en sus órganos ejecutivos y técnicos, integrados en un Servicio Profesional que se regirá por el Estatuto que al efecto apruebe el Consejo General. Asimismo, a través del Servicio Profesional, los organismos electorales, contendrán los respectivos mecanismos de selección, ingreso, capacitación, profesionalización, promoción, evaluación, rotación, permanencia y disciplina, así como el catálogo general de los cargos y puestos del personal ejecutivo y técnico, correspondiendo su regulación, organización, funcionamiento y rectoría al INE.</w:t>
      </w:r>
    </w:p>
    <w:p w:rsidR="00D83226" w:rsidRPr="003D07F6" w:rsidRDefault="00D83226" w:rsidP="00F94414">
      <w:pPr>
        <w:pStyle w:val="Ttulo2"/>
        <w:rPr>
          <w:rFonts w:ascii="Arial" w:hAnsi="Arial" w:cs="Arial"/>
          <w:color w:val="auto"/>
        </w:rPr>
      </w:pPr>
      <w:r w:rsidRPr="003D07F6">
        <w:rPr>
          <w:rFonts w:ascii="Arial" w:hAnsi="Arial" w:cs="Arial"/>
          <w:color w:val="auto"/>
        </w:rPr>
        <w:t xml:space="preserve">Incentivos para el personal del Servicio Profesional </w:t>
      </w:r>
    </w:p>
    <w:p w:rsidR="00D83226" w:rsidRPr="003D07F6" w:rsidRDefault="00D83226" w:rsidP="00101A8E">
      <w:pPr>
        <w:rPr>
          <w:rFonts w:ascii="Arial" w:hAnsi="Arial" w:cs="Arial"/>
          <w:sz w:val="23"/>
          <w:szCs w:val="23"/>
        </w:rPr>
      </w:pPr>
      <w:r w:rsidRPr="003D07F6">
        <w:rPr>
          <w:rFonts w:ascii="Arial" w:hAnsi="Arial" w:cs="Arial"/>
          <w:sz w:val="23"/>
          <w:szCs w:val="23"/>
        </w:rPr>
        <w:t xml:space="preserve">Que, los artículos 438 del Estatuto y 16 de los Lineamientos refieren que los incentivos son los reconocimientos, beneficios o remuneraciones, individuales o colectivos, que el organismo electoral podrá otorgar al personal del </w:t>
      </w:r>
      <w:r w:rsidR="001112DB" w:rsidRPr="003D07F6">
        <w:rPr>
          <w:rFonts w:ascii="Arial" w:hAnsi="Arial" w:cs="Arial"/>
          <w:sz w:val="23"/>
          <w:szCs w:val="23"/>
        </w:rPr>
        <w:t>S</w:t>
      </w:r>
      <w:r w:rsidRPr="003D07F6">
        <w:rPr>
          <w:rFonts w:ascii="Arial" w:hAnsi="Arial" w:cs="Arial"/>
          <w:sz w:val="23"/>
          <w:szCs w:val="23"/>
        </w:rPr>
        <w:t xml:space="preserve">ervicio </w:t>
      </w:r>
      <w:r w:rsidR="001112DB" w:rsidRPr="003D07F6">
        <w:rPr>
          <w:rFonts w:ascii="Arial" w:hAnsi="Arial" w:cs="Arial"/>
          <w:sz w:val="23"/>
          <w:szCs w:val="23"/>
        </w:rPr>
        <w:t>Profesional que cumpla</w:t>
      </w:r>
      <w:r w:rsidRPr="003D07F6">
        <w:rPr>
          <w:rFonts w:ascii="Arial" w:hAnsi="Arial" w:cs="Arial"/>
          <w:sz w:val="23"/>
          <w:szCs w:val="23"/>
        </w:rPr>
        <w:t xml:space="preserve"> los méritos y requisitos establecidos.</w:t>
      </w:r>
    </w:p>
    <w:p w:rsidR="00D83226" w:rsidRPr="003D07F6" w:rsidRDefault="00D83226" w:rsidP="00101A8E">
      <w:pPr>
        <w:rPr>
          <w:rFonts w:ascii="Arial" w:hAnsi="Arial" w:cs="Arial"/>
          <w:sz w:val="23"/>
          <w:szCs w:val="23"/>
        </w:rPr>
      </w:pPr>
      <w:r w:rsidRPr="003D07F6">
        <w:rPr>
          <w:rFonts w:ascii="Arial" w:hAnsi="Arial" w:cs="Arial"/>
          <w:sz w:val="23"/>
          <w:szCs w:val="23"/>
        </w:rPr>
        <w:t>El otorgamiento de incentivos estará supeditado al presupuesto disponible y se basará en los principios de méritos y de igualdad de oportunidades. Además, serán independientes de la promoción en rangos, así como de las remuneraciones correspondientes al cargo o puesto que se ocupe, de conformidad con el artículo 439 del Estatuto.</w:t>
      </w:r>
    </w:p>
    <w:p w:rsidR="00D83226" w:rsidRPr="003D07F6" w:rsidRDefault="00D83226" w:rsidP="00101A8E">
      <w:pPr>
        <w:rPr>
          <w:rFonts w:ascii="Arial" w:hAnsi="Arial" w:cs="Arial"/>
          <w:sz w:val="23"/>
          <w:szCs w:val="23"/>
        </w:rPr>
      </w:pPr>
      <w:r w:rsidRPr="003D07F6">
        <w:rPr>
          <w:rFonts w:ascii="Arial" w:hAnsi="Arial" w:cs="Arial"/>
          <w:sz w:val="23"/>
          <w:szCs w:val="23"/>
        </w:rPr>
        <w:t>Asimismo, de acuerdo con el artículo 440 del Estatuto, el órgano superior de dirección en cada organismo electoral aprobará los tipos de incentivos, sus características, los méritos y requisitos para su obtención, el tipo de reconocimientos, beneficios, remuneraciones, criterios de desempate con perspectiva de igualdad de género, así como los procedimientos correspondientes.</w:t>
      </w:r>
    </w:p>
    <w:p w:rsidR="00D83226" w:rsidRPr="003D07F6" w:rsidRDefault="00D83226" w:rsidP="00101A8E">
      <w:pPr>
        <w:rPr>
          <w:rFonts w:ascii="Arial" w:hAnsi="Arial" w:cs="Arial"/>
          <w:sz w:val="23"/>
          <w:szCs w:val="23"/>
        </w:rPr>
      </w:pPr>
      <w:r w:rsidRPr="003D07F6">
        <w:rPr>
          <w:rFonts w:ascii="Arial" w:hAnsi="Arial" w:cs="Arial"/>
          <w:sz w:val="23"/>
          <w:szCs w:val="23"/>
        </w:rPr>
        <w:t xml:space="preserve">La entrega de incentivos </w:t>
      </w:r>
      <w:r w:rsidR="00997395" w:rsidRPr="003D07F6">
        <w:rPr>
          <w:rFonts w:ascii="Arial" w:hAnsi="Arial" w:cs="Arial"/>
          <w:sz w:val="23"/>
          <w:szCs w:val="23"/>
        </w:rPr>
        <w:t xml:space="preserve">está </w:t>
      </w:r>
      <w:r w:rsidRPr="003D07F6">
        <w:rPr>
          <w:rFonts w:ascii="Arial" w:hAnsi="Arial" w:cs="Arial"/>
          <w:sz w:val="23"/>
          <w:szCs w:val="23"/>
        </w:rPr>
        <w:t xml:space="preserve">condicionada a que </w:t>
      </w:r>
      <w:r w:rsidR="00997395" w:rsidRPr="003D07F6">
        <w:rPr>
          <w:rFonts w:ascii="Arial" w:hAnsi="Arial" w:cs="Arial"/>
          <w:sz w:val="23"/>
          <w:szCs w:val="23"/>
        </w:rPr>
        <w:t xml:space="preserve">el personal </w:t>
      </w:r>
      <w:r w:rsidRPr="003D07F6">
        <w:rPr>
          <w:rFonts w:ascii="Arial" w:hAnsi="Arial" w:cs="Arial"/>
          <w:sz w:val="23"/>
          <w:szCs w:val="23"/>
        </w:rPr>
        <w:t xml:space="preserve">del Servicio </w:t>
      </w:r>
      <w:r w:rsidR="001112DB" w:rsidRPr="003D07F6">
        <w:rPr>
          <w:rFonts w:ascii="Arial" w:hAnsi="Arial" w:cs="Arial"/>
          <w:sz w:val="23"/>
          <w:szCs w:val="23"/>
        </w:rPr>
        <w:t xml:space="preserve">Profesional </w:t>
      </w:r>
      <w:r w:rsidRPr="003D07F6">
        <w:rPr>
          <w:rFonts w:ascii="Arial" w:hAnsi="Arial" w:cs="Arial"/>
          <w:sz w:val="23"/>
          <w:szCs w:val="23"/>
        </w:rPr>
        <w:t>se mantenga en el organismo electoral al momento de su otorgamiento.</w:t>
      </w:r>
    </w:p>
    <w:p w:rsidR="00997395" w:rsidRPr="003D07F6" w:rsidRDefault="00997395" w:rsidP="00F94414">
      <w:pPr>
        <w:pStyle w:val="Ttulo2"/>
        <w:rPr>
          <w:rFonts w:ascii="Arial" w:hAnsi="Arial" w:cs="Arial"/>
          <w:color w:val="auto"/>
        </w:rPr>
      </w:pPr>
      <w:r w:rsidRPr="003D07F6">
        <w:rPr>
          <w:rFonts w:ascii="Arial" w:hAnsi="Arial" w:cs="Arial"/>
          <w:color w:val="auto"/>
        </w:rPr>
        <w:t>Tipos de incentivos</w:t>
      </w:r>
    </w:p>
    <w:p w:rsidR="00997395" w:rsidRPr="003D07F6" w:rsidRDefault="00997395" w:rsidP="00101A8E">
      <w:pPr>
        <w:rPr>
          <w:rFonts w:ascii="Arial" w:hAnsi="Arial" w:cs="Arial"/>
          <w:sz w:val="23"/>
          <w:szCs w:val="23"/>
        </w:rPr>
      </w:pPr>
      <w:r w:rsidRPr="003D07F6">
        <w:rPr>
          <w:rFonts w:ascii="Arial" w:hAnsi="Arial" w:cs="Arial"/>
          <w:sz w:val="23"/>
          <w:szCs w:val="23"/>
        </w:rPr>
        <w:t xml:space="preserve">Que, en términos del Programa de Incentivos para el personal del Servicio Profesional de este Instituto, los tipos de incentivos que se otorgarán a las y los miembros que reúnan los requisitos que señalen los Lineamientos y el propio programa, serán: </w:t>
      </w:r>
    </w:p>
    <w:p w:rsidR="00997395" w:rsidRPr="003D07F6" w:rsidRDefault="00997395" w:rsidP="00101A8E">
      <w:pPr>
        <w:pStyle w:val="Prrafodelista"/>
        <w:numPr>
          <w:ilvl w:val="0"/>
          <w:numId w:val="2"/>
        </w:numPr>
        <w:spacing w:line="288" w:lineRule="auto"/>
        <w:ind w:left="510" w:hanging="510"/>
      </w:pPr>
      <w:r w:rsidRPr="003D07F6">
        <w:t xml:space="preserve">Por rendimiento, con periodicidad anual y con carácter obligatorio; </w:t>
      </w:r>
    </w:p>
    <w:p w:rsidR="00997395" w:rsidRPr="003D07F6" w:rsidRDefault="00997395" w:rsidP="00101A8E">
      <w:pPr>
        <w:pStyle w:val="Prrafodelista"/>
        <w:numPr>
          <w:ilvl w:val="0"/>
          <w:numId w:val="2"/>
        </w:numPr>
        <w:spacing w:line="288" w:lineRule="auto"/>
        <w:ind w:left="510" w:hanging="510"/>
      </w:pPr>
      <w:r w:rsidRPr="003D07F6">
        <w:t>Por la obtención de grados académicos, c</w:t>
      </w:r>
      <w:r w:rsidR="00AC29F9" w:rsidRPr="003D07F6">
        <w:t xml:space="preserve">on periodicidad anual; y </w:t>
      </w:r>
    </w:p>
    <w:p w:rsidR="00997395" w:rsidRPr="003D07F6" w:rsidRDefault="00997395" w:rsidP="00101A8E">
      <w:pPr>
        <w:pStyle w:val="Prrafodelista"/>
        <w:numPr>
          <w:ilvl w:val="0"/>
          <w:numId w:val="2"/>
        </w:numPr>
        <w:spacing w:line="288" w:lineRule="auto"/>
        <w:ind w:left="510" w:hanging="510"/>
      </w:pPr>
      <w:r w:rsidRPr="003D07F6">
        <w:t>Por excelencia en el desempeño, con periodicidad trianual.</w:t>
      </w:r>
    </w:p>
    <w:p w:rsidR="00997395" w:rsidRPr="003D07F6" w:rsidRDefault="00997395" w:rsidP="00101A8E">
      <w:pPr>
        <w:rPr>
          <w:rFonts w:ascii="Arial" w:hAnsi="Arial" w:cs="Arial"/>
          <w:sz w:val="23"/>
          <w:szCs w:val="23"/>
        </w:rPr>
      </w:pPr>
      <w:r w:rsidRPr="003D07F6">
        <w:rPr>
          <w:rFonts w:ascii="Arial" w:hAnsi="Arial" w:cs="Arial"/>
          <w:sz w:val="23"/>
          <w:szCs w:val="23"/>
        </w:rPr>
        <w:t>El incentivo por rendimiento es el estímulo que tiene como propósito reconocer los méritos en el desempeño de las y los miembros del Servicio Profesional en sus funciones durante el ejercicio valorado.</w:t>
      </w:r>
    </w:p>
    <w:p w:rsidR="00997395" w:rsidRPr="003D07F6" w:rsidRDefault="00997395" w:rsidP="00101A8E">
      <w:pPr>
        <w:rPr>
          <w:rFonts w:ascii="Arial" w:hAnsi="Arial" w:cs="Arial"/>
          <w:sz w:val="23"/>
          <w:szCs w:val="23"/>
        </w:rPr>
      </w:pPr>
      <w:r w:rsidRPr="003D07F6">
        <w:rPr>
          <w:rFonts w:ascii="Arial" w:hAnsi="Arial" w:cs="Arial"/>
          <w:sz w:val="23"/>
          <w:szCs w:val="23"/>
        </w:rPr>
        <w:t xml:space="preserve">Para efectos de este incentivo se seleccionará, como máximo, hasta el 20% tomando como base la totalidad del personal del Servicio Profesional que haya sido evaluado y obtenido las mejores calificaciones, de conformidad con la evaluación integral establecida en el artículo 27 de los Lineamientos, y consistirá en una retribución de </w:t>
      </w:r>
      <w:r w:rsidRPr="003D07F6">
        <w:rPr>
          <w:rFonts w:ascii="Arial" w:hAnsi="Arial" w:cs="Arial"/>
          <w:b/>
          <w:sz w:val="23"/>
          <w:szCs w:val="23"/>
        </w:rPr>
        <w:t>$25,000.00 (veinticinco mil pesos 00/100 m.n.) menos impuestos</w:t>
      </w:r>
      <w:r w:rsidRPr="003D07F6">
        <w:rPr>
          <w:rFonts w:ascii="Arial" w:hAnsi="Arial" w:cs="Arial"/>
          <w:sz w:val="23"/>
          <w:szCs w:val="23"/>
        </w:rPr>
        <w:t xml:space="preserve"> para el personal del Servicio Profesional con categoría de Coordinador o Coordinadora; y </w:t>
      </w:r>
      <w:r w:rsidRPr="003D07F6">
        <w:rPr>
          <w:rFonts w:ascii="Arial" w:hAnsi="Arial" w:cs="Arial"/>
          <w:b/>
          <w:sz w:val="23"/>
          <w:szCs w:val="23"/>
        </w:rPr>
        <w:t>$20,000.00 (veinte mil pesos 00/100 m.n.) menos impuestos,</w:t>
      </w:r>
      <w:r w:rsidRPr="003D07F6">
        <w:rPr>
          <w:rFonts w:ascii="Arial" w:hAnsi="Arial" w:cs="Arial"/>
          <w:sz w:val="23"/>
          <w:szCs w:val="23"/>
        </w:rPr>
        <w:t xml:space="preserve"> para aquellas o aquellos con categoría de Asistencia Técnica.</w:t>
      </w:r>
    </w:p>
    <w:p w:rsidR="00997395" w:rsidRPr="003D07F6" w:rsidRDefault="00997395" w:rsidP="00101A8E">
      <w:pPr>
        <w:rPr>
          <w:rFonts w:ascii="Arial" w:hAnsi="Arial" w:cs="Arial"/>
          <w:sz w:val="23"/>
          <w:szCs w:val="23"/>
        </w:rPr>
      </w:pPr>
      <w:r w:rsidRPr="003D07F6">
        <w:rPr>
          <w:rFonts w:ascii="Arial" w:hAnsi="Arial" w:cs="Arial"/>
          <w:sz w:val="23"/>
          <w:szCs w:val="23"/>
        </w:rPr>
        <w:t xml:space="preserve">Por otra parte, el personal del Servicio </w:t>
      </w:r>
      <w:r w:rsidR="000B4446" w:rsidRPr="003D07F6">
        <w:rPr>
          <w:rFonts w:ascii="Arial" w:hAnsi="Arial" w:cs="Arial"/>
          <w:sz w:val="23"/>
          <w:szCs w:val="23"/>
        </w:rPr>
        <w:t xml:space="preserve">Profesional </w:t>
      </w:r>
      <w:r w:rsidRPr="003D07F6">
        <w:rPr>
          <w:rFonts w:ascii="Arial" w:hAnsi="Arial" w:cs="Arial"/>
          <w:sz w:val="23"/>
          <w:szCs w:val="23"/>
        </w:rPr>
        <w:t>que haya obtenido un grado académico, es decir, que haya concluido algún programa de estudios de nivel licenciatura, especialidad, maestría o doctorado, podrá recibir el beneficio de 5 días de descanso.</w:t>
      </w:r>
    </w:p>
    <w:p w:rsidR="00997395" w:rsidRPr="003D07F6" w:rsidRDefault="00997395" w:rsidP="00101A8E">
      <w:pPr>
        <w:rPr>
          <w:rFonts w:ascii="Arial" w:hAnsi="Arial" w:cs="Arial"/>
          <w:sz w:val="23"/>
          <w:szCs w:val="23"/>
        </w:rPr>
      </w:pPr>
      <w:r w:rsidRPr="003D07F6">
        <w:rPr>
          <w:rFonts w:ascii="Arial" w:hAnsi="Arial" w:cs="Arial"/>
          <w:sz w:val="23"/>
          <w:szCs w:val="23"/>
        </w:rPr>
        <w:t>Para efectos de este incentivo, cada grado académico que obtenga el personal sólo será considerado en una única ocasión. En caso de que se realice una segunda licenciatura, especialidad, maestría o doctorado, se considerará como un nuevo grado y se podrá hacer la valoración correspondiente.</w:t>
      </w:r>
    </w:p>
    <w:p w:rsidR="00997395" w:rsidRPr="003D07F6" w:rsidRDefault="00997395" w:rsidP="00101A8E">
      <w:pPr>
        <w:rPr>
          <w:rFonts w:ascii="Arial" w:hAnsi="Arial" w:cs="Arial"/>
          <w:sz w:val="23"/>
          <w:szCs w:val="23"/>
        </w:rPr>
      </w:pPr>
      <w:r w:rsidRPr="003D07F6">
        <w:rPr>
          <w:rFonts w:ascii="Arial" w:hAnsi="Arial" w:cs="Arial"/>
          <w:sz w:val="23"/>
          <w:szCs w:val="23"/>
        </w:rPr>
        <w:t>Finalmente, el personal del Servicio Profesional que obtenga la mayor calificación trianual en la evaluación del desempeño será acreedor al incentivo por excelencia en el desempeño, mismo que consistirá en una retribución de $10,000.00 (diez mil pesos 00/100 m.n.) menos impuestos.</w:t>
      </w:r>
    </w:p>
    <w:p w:rsidR="00997395" w:rsidRPr="003D07F6" w:rsidRDefault="00997395" w:rsidP="00F94414">
      <w:pPr>
        <w:pStyle w:val="Ttulo2"/>
        <w:rPr>
          <w:rFonts w:ascii="Arial" w:hAnsi="Arial" w:cs="Arial"/>
          <w:color w:val="auto"/>
        </w:rPr>
      </w:pPr>
      <w:r w:rsidRPr="003D07F6">
        <w:rPr>
          <w:rFonts w:ascii="Arial" w:hAnsi="Arial" w:cs="Arial"/>
          <w:color w:val="auto"/>
        </w:rPr>
        <w:t>Presentación de la propuesta de dictámenes</w:t>
      </w:r>
    </w:p>
    <w:p w:rsidR="00997395" w:rsidRPr="003D07F6" w:rsidRDefault="00997395" w:rsidP="00101A8E">
      <w:pPr>
        <w:rPr>
          <w:rFonts w:ascii="Arial" w:hAnsi="Arial" w:cs="Arial"/>
          <w:sz w:val="23"/>
          <w:szCs w:val="23"/>
        </w:rPr>
      </w:pPr>
      <w:r w:rsidRPr="003D07F6">
        <w:rPr>
          <w:rFonts w:ascii="Arial" w:hAnsi="Arial" w:cs="Arial"/>
          <w:sz w:val="23"/>
          <w:szCs w:val="23"/>
        </w:rPr>
        <w:t>Que, el 18 de octubre de 2023, mediante correo electrónico institucional, el titular del Órgano de Enlace remitió, para su análisis y evaluación, a la Subdirección de Titularidad, Promociones e Incentivos de la DESPEN, los dictámenes preliminares de incentivos 2023 correspondientes al ejercicio valorado 2022 y la evidencia documental correspondiente.</w:t>
      </w:r>
    </w:p>
    <w:p w:rsidR="00997395" w:rsidRPr="003D07F6" w:rsidRDefault="00997395" w:rsidP="00101A8E">
      <w:pPr>
        <w:rPr>
          <w:rFonts w:ascii="Arial" w:hAnsi="Arial" w:cs="Arial"/>
          <w:sz w:val="23"/>
          <w:szCs w:val="23"/>
        </w:rPr>
      </w:pPr>
      <w:r w:rsidRPr="003D07F6">
        <w:rPr>
          <w:rFonts w:ascii="Arial" w:hAnsi="Arial" w:cs="Arial"/>
          <w:sz w:val="23"/>
          <w:szCs w:val="23"/>
        </w:rPr>
        <w:t xml:space="preserve">El 20 de octubre de 2023, el titular del Órgano de Enlace, mediante correo electrónico institucional, </w:t>
      </w:r>
      <w:r w:rsidR="00101A8E" w:rsidRPr="003D07F6">
        <w:rPr>
          <w:rFonts w:ascii="Arial" w:hAnsi="Arial" w:cs="Arial"/>
          <w:sz w:val="23"/>
          <w:szCs w:val="23"/>
        </w:rPr>
        <w:t>una vez solventadas las recomendaciones hechas por la Subdirección</w:t>
      </w:r>
      <w:r w:rsidRPr="003D07F6">
        <w:rPr>
          <w:rFonts w:ascii="Arial" w:hAnsi="Arial" w:cs="Arial"/>
          <w:sz w:val="23"/>
          <w:szCs w:val="23"/>
        </w:rPr>
        <w:t xml:space="preserve"> de Titularidad, Promociones e Incentivos de la </w:t>
      </w:r>
      <w:r w:rsidR="00FB20CF" w:rsidRPr="003D07F6">
        <w:rPr>
          <w:rFonts w:ascii="Arial" w:hAnsi="Arial" w:cs="Arial"/>
          <w:sz w:val="23"/>
          <w:szCs w:val="23"/>
        </w:rPr>
        <w:t>Dirección Ejecutiva del Servicio Profesional Electoral Nacional</w:t>
      </w:r>
      <w:r w:rsidRPr="003D07F6">
        <w:rPr>
          <w:rFonts w:ascii="Arial" w:hAnsi="Arial" w:cs="Arial"/>
          <w:sz w:val="23"/>
          <w:szCs w:val="23"/>
        </w:rPr>
        <w:t xml:space="preserve">, </w:t>
      </w:r>
      <w:r w:rsidR="00101A8E" w:rsidRPr="003D07F6">
        <w:rPr>
          <w:rFonts w:ascii="Arial" w:hAnsi="Arial" w:cs="Arial"/>
          <w:sz w:val="23"/>
          <w:szCs w:val="23"/>
        </w:rPr>
        <w:t xml:space="preserve">remitió </w:t>
      </w:r>
      <w:r w:rsidRPr="003D07F6">
        <w:rPr>
          <w:rFonts w:ascii="Arial" w:hAnsi="Arial" w:cs="Arial"/>
          <w:sz w:val="23"/>
          <w:szCs w:val="23"/>
        </w:rPr>
        <w:t>los dictámenes preliminares de Incentivos 2023, correspondientes al ejercicio valorado 2022 y la evidencia documental correspondiente</w:t>
      </w:r>
      <w:r w:rsidR="00101A8E" w:rsidRPr="003D07F6">
        <w:rPr>
          <w:rFonts w:ascii="Arial" w:hAnsi="Arial" w:cs="Arial"/>
          <w:sz w:val="23"/>
          <w:szCs w:val="23"/>
        </w:rPr>
        <w:t>.</w:t>
      </w:r>
    </w:p>
    <w:p w:rsidR="00997395" w:rsidRPr="003D07F6" w:rsidRDefault="00101A8E" w:rsidP="00101A8E">
      <w:pPr>
        <w:rPr>
          <w:rFonts w:ascii="Arial" w:hAnsi="Arial" w:cs="Arial"/>
          <w:sz w:val="23"/>
          <w:szCs w:val="23"/>
        </w:rPr>
      </w:pPr>
      <w:r w:rsidRPr="003D07F6">
        <w:rPr>
          <w:rFonts w:ascii="Arial" w:hAnsi="Arial" w:cs="Arial"/>
          <w:sz w:val="23"/>
          <w:szCs w:val="23"/>
        </w:rPr>
        <w:t>Finalmente, e</w:t>
      </w:r>
      <w:r w:rsidR="00997395" w:rsidRPr="003D07F6">
        <w:rPr>
          <w:rFonts w:ascii="Arial" w:hAnsi="Arial" w:cs="Arial"/>
          <w:sz w:val="23"/>
          <w:szCs w:val="23"/>
        </w:rPr>
        <w:t>l 30 de octubre de 2023, c</w:t>
      </w:r>
      <w:r w:rsidRPr="003D07F6">
        <w:rPr>
          <w:rFonts w:ascii="Arial" w:hAnsi="Arial" w:cs="Arial"/>
          <w:sz w:val="23"/>
          <w:szCs w:val="23"/>
        </w:rPr>
        <w:t>on fundamento en el artículo 15</w:t>
      </w:r>
      <w:r w:rsidR="00997395" w:rsidRPr="003D07F6">
        <w:rPr>
          <w:rFonts w:ascii="Arial" w:hAnsi="Arial" w:cs="Arial"/>
          <w:sz w:val="23"/>
          <w:szCs w:val="23"/>
        </w:rPr>
        <w:t xml:space="preserve"> inciso g) y 54 de los Lineamientos, el titular del Órgano de Enlace, mediante oficio OESPEN/SE/109/2023, remitió</w:t>
      </w:r>
      <w:r w:rsidRPr="003D07F6">
        <w:rPr>
          <w:rFonts w:ascii="Arial" w:hAnsi="Arial" w:cs="Arial"/>
          <w:sz w:val="23"/>
          <w:szCs w:val="23"/>
        </w:rPr>
        <w:t xml:space="preserve"> la propuesta definitiva</w:t>
      </w:r>
      <w:r w:rsidR="00997395" w:rsidRPr="003D07F6">
        <w:rPr>
          <w:rFonts w:ascii="Arial" w:hAnsi="Arial" w:cs="Arial"/>
          <w:sz w:val="23"/>
          <w:szCs w:val="23"/>
        </w:rPr>
        <w:t xml:space="preserve"> </w:t>
      </w:r>
      <w:r w:rsidRPr="003D07F6">
        <w:rPr>
          <w:rFonts w:ascii="Arial" w:hAnsi="Arial" w:cs="Arial"/>
          <w:sz w:val="23"/>
          <w:szCs w:val="23"/>
        </w:rPr>
        <w:t xml:space="preserve">y la evidencia documental correspondiente, </w:t>
      </w:r>
      <w:r w:rsidR="00997395" w:rsidRPr="003D07F6">
        <w:rPr>
          <w:rFonts w:ascii="Arial" w:hAnsi="Arial" w:cs="Arial"/>
          <w:sz w:val="23"/>
          <w:szCs w:val="23"/>
        </w:rPr>
        <w:t xml:space="preserve">a la titular de la Dirección Ejecutiva del Servicio Profesional Electoral Nacional del </w:t>
      </w:r>
      <w:r w:rsidRPr="003D07F6">
        <w:rPr>
          <w:rFonts w:ascii="Arial" w:hAnsi="Arial" w:cs="Arial"/>
          <w:sz w:val="23"/>
          <w:szCs w:val="23"/>
        </w:rPr>
        <w:t>INE relacionada con</w:t>
      </w:r>
      <w:r w:rsidR="00997395" w:rsidRPr="003D07F6">
        <w:rPr>
          <w:rFonts w:ascii="Arial" w:hAnsi="Arial" w:cs="Arial"/>
          <w:sz w:val="23"/>
          <w:szCs w:val="23"/>
        </w:rPr>
        <w:t xml:space="preserve"> los dictámenes preliminares de Incentivos 2023, correspondientes al ejercicio valorado 2022 para su visto bueno.</w:t>
      </w:r>
    </w:p>
    <w:p w:rsidR="00997395" w:rsidRPr="003D07F6" w:rsidRDefault="00997395" w:rsidP="00F94414">
      <w:pPr>
        <w:pStyle w:val="Ttulo2"/>
        <w:rPr>
          <w:rFonts w:ascii="Arial" w:hAnsi="Arial" w:cs="Arial"/>
          <w:color w:val="auto"/>
        </w:rPr>
      </w:pPr>
      <w:r w:rsidRPr="003D07F6">
        <w:rPr>
          <w:rFonts w:ascii="Arial" w:hAnsi="Arial" w:cs="Arial"/>
          <w:color w:val="auto"/>
        </w:rPr>
        <w:t>Visto bueno a los dictámenes</w:t>
      </w:r>
    </w:p>
    <w:p w:rsidR="00997395" w:rsidRPr="003D07F6" w:rsidRDefault="00997395" w:rsidP="00101A8E">
      <w:pPr>
        <w:rPr>
          <w:rFonts w:ascii="Arial" w:hAnsi="Arial" w:cs="Arial"/>
          <w:sz w:val="23"/>
          <w:szCs w:val="23"/>
        </w:rPr>
      </w:pPr>
      <w:r w:rsidRPr="003D07F6">
        <w:rPr>
          <w:rFonts w:ascii="Arial" w:hAnsi="Arial" w:cs="Arial"/>
          <w:sz w:val="23"/>
          <w:szCs w:val="23"/>
        </w:rPr>
        <w:t>Que, el 9 de noviembre de 2023, mediante oficio INE/DESPEN/DPL/0173/2023, el Director de Planeación del Servicio Profesional Electoral Nacional del INE comunicó al titular del Órgano de Enlace que procedió a hacer la revisión de la información relativa a los dictámenes preliminares para el otorgamiento de Incentivos 2023, correspondiente al ejercicio valorado 2022 y evidencias documentales.</w:t>
      </w:r>
    </w:p>
    <w:p w:rsidR="00997395" w:rsidRPr="003D07F6" w:rsidRDefault="00997395" w:rsidP="00101A8E">
      <w:pPr>
        <w:rPr>
          <w:rFonts w:ascii="Arial" w:hAnsi="Arial" w:cs="Arial"/>
          <w:sz w:val="23"/>
          <w:szCs w:val="23"/>
        </w:rPr>
      </w:pPr>
      <w:r w:rsidRPr="003D07F6">
        <w:rPr>
          <w:rFonts w:ascii="Arial" w:hAnsi="Arial" w:cs="Arial"/>
          <w:sz w:val="23"/>
          <w:szCs w:val="23"/>
        </w:rPr>
        <w:t>Como consecuencia, en ejercicio de la atribución que le confiere el artículo 12, inciso e) de los Lineamientos, otorgó el visto bueno a la versión final de los dictámenes para el otorgamiento de Incentivos por rendimiento a efectuar en 2023, correspondiente al ejercicio valorado 2022, del personal del Servicio Profesional de este organismo electoral, que a continuación se enlista:</w:t>
      </w:r>
    </w:p>
    <w:tbl>
      <w:tblPr>
        <w:tblStyle w:val="Tablaconcuadrcula"/>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51"/>
        <w:gridCol w:w="1780"/>
        <w:gridCol w:w="2127"/>
        <w:gridCol w:w="1665"/>
      </w:tblGrid>
      <w:tr w:rsidR="00FA6047" w:rsidRPr="003D07F6" w:rsidTr="00902C02">
        <w:trPr>
          <w:jc w:val="center"/>
        </w:trPr>
        <w:tc>
          <w:tcPr>
            <w:tcW w:w="2751" w:type="dxa"/>
            <w:shd w:val="clear" w:color="auto" w:fill="993366"/>
            <w:vAlign w:val="center"/>
          </w:tcPr>
          <w:p w:rsidR="00FA6047" w:rsidRPr="003D07F6" w:rsidRDefault="00FA6047" w:rsidP="00902C02">
            <w:pPr>
              <w:pStyle w:val="Prrafodelista"/>
              <w:widowControl w:val="0"/>
              <w:spacing w:before="40" w:after="40" w:line="264" w:lineRule="auto"/>
              <w:ind w:left="0"/>
              <w:contextualSpacing w:val="0"/>
              <w:jc w:val="center"/>
              <w:rPr>
                <w:b/>
                <w:color w:val="FFFFFF" w:themeColor="background1"/>
              </w:rPr>
            </w:pPr>
            <w:r w:rsidRPr="003D07F6">
              <w:rPr>
                <w:b/>
                <w:color w:val="FFFFFF" w:themeColor="background1"/>
              </w:rPr>
              <w:t>Nombre</w:t>
            </w:r>
          </w:p>
        </w:tc>
        <w:tc>
          <w:tcPr>
            <w:tcW w:w="1780" w:type="dxa"/>
            <w:shd w:val="clear" w:color="auto" w:fill="993366"/>
            <w:vAlign w:val="center"/>
          </w:tcPr>
          <w:p w:rsidR="00FA6047" w:rsidRPr="003D07F6" w:rsidRDefault="00FA6047" w:rsidP="00902C02">
            <w:pPr>
              <w:pStyle w:val="Prrafodelista"/>
              <w:widowControl w:val="0"/>
              <w:spacing w:before="40" w:after="40" w:line="264" w:lineRule="auto"/>
              <w:ind w:left="0"/>
              <w:contextualSpacing w:val="0"/>
              <w:jc w:val="center"/>
              <w:rPr>
                <w:b/>
                <w:color w:val="FFFFFF" w:themeColor="background1"/>
              </w:rPr>
            </w:pPr>
            <w:r w:rsidRPr="003D07F6">
              <w:rPr>
                <w:b/>
                <w:color w:val="FFFFFF" w:themeColor="background1"/>
              </w:rPr>
              <w:t>Tipo de incentivo a otorgar</w:t>
            </w:r>
          </w:p>
        </w:tc>
        <w:tc>
          <w:tcPr>
            <w:tcW w:w="2127" w:type="dxa"/>
            <w:shd w:val="clear" w:color="auto" w:fill="993366"/>
            <w:vAlign w:val="center"/>
          </w:tcPr>
          <w:p w:rsidR="00FA6047" w:rsidRPr="003D07F6" w:rsidRDefault="00FA6047" w:rsidP="00902C02">
            <w:pPr>
              <w:pStyle w:val="Prrafodelista"/>
              <w:widowControl w:val="0"/>
              <w:spacing w:before="40" w:after="40" w:line="264" w:lineRule="auto"/>
              <w:ind w:left="0"/>
              <w:contextualSpacing w:val="0"/>
              <w:jc w:val="center"/>
              <w:rPr>
                <w:b/>
                <w:color w:val="FFFFFF" w:themeColor="background1"/>
              </w:rPr>
            </w:pPr>
            <w:r w:rsidRPr="003D07F6">
              <w:rPr>
                <w:b/>
                <w:color w:val="FFFFFF" w:themeColor="background1"/>
              </w:rPr>
              <w:t>Cargo</w:t>
            </w:r>
          </w:p>
        </w:tc>
        <w:tc>
          <w:tcPr>
            <w:tcW w:w="1665" w:type="dxa"/>
            <w:shd w:val="clear" w:color="auto" w:fill="993366"/>
            <w:vAlign w:val="center"/>
          </w:tcPr>
          <w:p w:rsidR="00FA6047" w:rsidRPr="003D07F6" w:rsidRDefault="00FA6047" w:rsidP="00902C02">
            <w:pPr>
              <w:pStyle w:val="Prrafodelista"/>
              <w:widowControl w:val="0"/>
              <w:spacing w:before="40" w:after="40" w:line="264" w:lineRule="auto"/>
              <w:ind w:left="0"/>
              <w:contextualSpacing w:val="0"/>
              <w:jc w:val="center"/>
              <w:rPr>
                <w:b/>
                <w:color w:val="FFFFFF" w:themeColor="background1"/>
              </w:rPr>
            </w:pPr>
            <w:r w:rsidRPr="003D07F6">
              <w:rPr>
                <w:b/>
                <w:color w:val="FFFFFF" w:themeColor="background1"/>
              </w:rPr>
              <w:t>Monto bruto</w:t>
            </w:r>
          </w:p>
        </w:tc>
      </w:tr>
      <w:tr w:rsidR="00FA6047" w:rsidRPr="003D07F6" w:rsidTr="00902C02">
        <w:trPr>
          <w:trHeight w:val="455"/>
          <w:jc w:val="center"/>
        </w:trPr>
        <w:tc>
          <w:tcPr>
            <w:tcW w:w="2751" w:type="dxa"/>
            <w:vAlign w:val="center"/>
          </w:tcPr>
          <w:p w:rsidR="00FA6047" w:rsidRPr="003D07F6" w:rsidRDefault="00FA6047" w:rsidP="00902C02">
            <w:pPr>
              <w:pStyle w:val="Prrafodelista"/>
              <w:widowControl w:val="0"/>
              <w:spacing w:before="40" w:after="40" w:line="264" w:lineRule="auto"/>
              <w:ind w:left="0"/>
              <w:contextualSpacing w:val="0"/>
              <w:rPr>
                <w:rFonts w:ascii="Arial Negrita" w:hAnsi="Arial Negrita"/>
                <w:b/>
                <w:spacing w:val="-10"/>
              </w:rPr>
            </w:pPr>
            <w:proofErr w:type="spellStart"/>
            <w:r w:rsidRPr="003D07F6">
              <w:rPr>
                <w:rFonts w:ascii="Arial Negrita" w:hAnsi="Arial Negrita"/>
                <w:b/>
                <w:spacing w:val="-10"/>
              </w:rPr>
              <w:t>Hiber</w:t>
            </w:r>
            <w:proofErr w:type="spellEnd"/>
            <w:r w:rsidRPr="003D07F6">
              <w:rPr>
                <w:rFonts w:ascii="Arial Negrita" w:hAnsi="Arial Negrita"/>
                <w:b/>
                <w:spacing w:val="-10"/>
              </w:rPr>
              <w:t xml:space="preserve"> Antonio Pérez Pablo</w:t>
            </w:r>
          </w:p>
        </w:tc>
        <w:tc>
          <w:tcPr>
            <w:tcW w:w="1780" w:type="dxa"/>
            <w:vAlign w:val="center"/>
          </w:tcPr>
          <w:p w:rsidR="00FA6047" w:rsidRPr="003D07F6" w:rsidRDefault="00FA6047" w:rsidP="00902C02">
            <w:pPr>
              <w:pStyle w:val="Prrafodelista"/>
              <w:widowControl w:val="0"/>
              <w:spacing w:before="40" w:after="40" w:line="264" w:lineRule="auto"/>
              <w:ind w:left="0"/>
              <w:contextualSpacing w:val="0"/>
              <w:jc w:val="center"/>
              <w:rPr>
                <w:rFonts w:ascii="Arial Negrita" w:hAnsi="Arial Negrita"/>
                <w:b/>
                <w:spacing w:val="-10"/>
              </w:rPr>
            </w:pPr>
            <w:r w:rsidRPr="003D07F6">
              <w:rPr>
                <w:rFonts w:ascii="Arial Negrita" w:hAnsi="Arial Negrita"/>
                <w:b/>
                <w:spacing w:val="-10"/>
              </w:rPr>
              <w:t>Rendimiento</w:t>
            </w:r>
          </w:p>
        </w:tc>
        <w:tc>
          <w:tcPr>
            <w:tcW w:w="2127" w:type="dxa"/>
            <w:vAlign w:val="center"/>
          </w:tcPr>
          <w:p w:rsidR="00FA6047" w:rsidRPr="003D07F6" w:rsidRDefault="00FA6047" w:rsidP="00902C02">
            <w:pPr>
              <w:pStyle w:val="Prrafodelista"/>
              <w:widowControl w:val="0"/>
              <w:spacing w:before="40" w:after="40" w:line="264" w:lineRule="auto"/>
              <w:ind w:left="0"/>
              <w:contextualSpacing w:val="0"/>
              <w:rPr>
                <w:rFonts w:ascii="Arial Negrita" w:hAnsi="Arial Negrita"/>
                <w:b/>
                <w:spacing w:val="-10"/>
              </w:rPr>
            </w:pPr>
            <w:r w:rsidRPr="003D07F6">
              <w:rPr>
                <w:rFonts w:ascii="Arial Negrita" w:hAnsi="Arial Negrita"/>
                <w:b/>
                <w:spacing w:val="-10"/>
              </w:rPr>
              <w:t>Coordinador</w:t>
            </w:r>
          </w:p>
        </w:tc>
        <w:tc>
          <w:tcPr>
            <w:tcW w:w="1665" w:type="dxa"/>
            <w:vAlign w:val="center"/>
          </w:tcPr>
          <w:p w:rsidR="00FA6047" w:rsidRPr="003D07F6" w:rsidRDefault="00FA6047" w:rsidP="00902C02">
            <w:pPr>
              <w:pStyle w:val="Prrafodelista"/>
              <w:widowControl w:val="0"/>
              <w:spacing w:before="40" w:after="40" w:line="264" w:lineRule="auto"/>
              <w:ind w:left="0"/>
              <w:contextualSpacing w:val="0"/>
              <w:jc w:val="center"/>
              <w:rPr>
                <w:rFonts w:ascii="Arial Negrita" w:hAnsi="Arial Negrita"/>
                <w:b/>
                <w:spacing w:val="-10"/>
              </w:rPr>
            </w:pPr>
            <w:r w:rsidRPr="003D07F6">
              <w:rPr>
                <w:rFonts w:ascii="Arial Negrita" w:hAnsi="Arial Negrita"/>
                <w:b/>
                <w:spacing w:val="-10"/>
              </w:rPr>
              <w:t>$25,000.00</w:t>
            </w:r>
          </w:p>
        </w:tc>
      </w:tr>
      <w:tr w:rsidR="00FA6047" w:rsidRPr="003D07F6" w:rsidTr="00902C02">
        <w:trPr>
          <w:trHeight w:val="395"/>
          <w:jc w:val="center"/>
        </w:trPr>
        <w:tc>
          <w:tcPr>
            <w:tcW w:w="2751" w:type="dxa"/>
            <w:vAlign w:val="center"/>
          </w:tcPr>
          <w:p w:rsidR="00FA6047" w:rsidRPr="003D07F6" w:rsidRDefault="00FA6047" w:rsidP="00902C02">
            <w:pPr>
              <w:pStyle w:val="Prrafodelista"/>
              <w:widowControl w:val="0"/>
              <w:spacing w:before="40" w:after="40" w:line="264" w:lineRule="auto"/>
              <w:ind w:left="0"/>
              <w:contextualSpacing w:val="0"/>
              <w:rPr>
                <w:rFonts w:ascii="Arial Negrita" w:hAnsi="Arial Negrita"/>
                <w:b/>
                <w:spacing w:val="-10"/>
              </w:rPr>
            </w:pPr>
            <w:r w:rsidRPr="003D07F6">
              <w:rPr>
                <w:rFonts w:ascii="Arial Negrita" w:hAnsi="Arial Negrita"/>
                <w:b/>
                <w:spacing w:val="-10"/>
              </w:rPr>
              <w:t xml:space="preserve">Justo Ernesto Canché </w:t>
            </w:r>
            <w:proofErr w:type="spellStart"/>
            <w:r w:rsidRPr="003D07F6">
              <w:rPr>
                <w:rFonts w:ascii="Arial Negrita" w:hAnsi="Arial Negrita"/>
                <w:b/>
                <w:spacing w:val="-10"/>
              </w:rPr>
              <w:t>Hoil</w:t>
            </w:r>
            <w:proofErr w:type="spellEnd"/>
          </w:p>
        </w:tc>
        <w:tc>
          <w:tcPr>
            <w:tcW w:w="1780" w:type="dxa"/>
            <w:vAlign w:val="center"/>
          </w:tcPr>
          <w:p w:rsidR="00FA6047" w:rsidRPr="003D07F6" w:rsidRDefault="00FA6047" w:rsidP="00902C02">
            <w:pPr>
              <w:pStyle w:val="Prrafodelista"/>
              <w:widowControl w:val="0"/>
              <w:spacing w:before="40" w:after="40" w:line="264" w:lineRule="auto"/>
              <w:ind w:left="0"/>
              <w:contextualSpacing w:val="0"/>
              <w:jc w:val="center"/>
              <w:rPr>
                <w:rFonts w:ascii="Arial Negrita" w:hAnsi="Arial Negrita"/>
                <w:b/>
                <w:spacing w:val="-10"/>
              </w:rPr>
            </w:pPr>
            <w:r w:rsidRPr="003D07F6">
              <w:rPr>
                <w:rFonts w:ascii="Arial Negrita" w:hAnsi="Arial Negrita"/>
                <w:b/>
                <w:spacing w:val="-10"/>
              </w:rPr>
              <w:t>Rendimiento</w:t>
            </w:r>
          </w:p>
        </w:tc>
        <w:tc>
          <w:tcPr>
            <w:tcW w:w="2127" w:type="dxa"/>
            <w:vAlign w:val="center"/>
          </w:tcPr>
          <w:p w:rsidR="00FA6047" w:rsidRPr="003D07F6" w:rsidRDefault="00FA6047" w:rsidP="00902C02">
            <w:pPr>
              <w:pStyle w:val="Prrafodelista"/>
              <w:widowControl w:val="0"/>
              <w:spacing w:before="40" w:after="40" w:line="264" w:lineRule="auto"/>
              <w:ind w:left="0"/>
              <w:contextualSpacing w:val="0"/>
              <w:rPr>
                <w:rFonts w:ascii="Arial Negrita" w:hAnsi="Arial Negrita"/>
                <w:b/>
                <w:spacing w:val="-10"/>
              </w:rPr>
            </w:pPr>
            <w:r w:rsidRPr="003D07F6">
              <w:rPr>
                <w:rFonts w:ascii="Arial Negrita" w:hAnsi="Arial Negrita"/>
                <w:b/>
                <w:spacing w:val="-10"/>
              </w:rPr>
              <w:t>Asistencia Técnica</w:t>
            </w:r>
          </w:p>
        </w:tc>
        <w:tc>
          <w:tcPr>
            <w:tcW w:w="1665" w:type="dxa"/>
            <w:vAlign w:val="center"/>
          </w:tcPr>
          <w:p w:rsidR="00FA6047" w:rsidRPr="003D07F6" w:rsidRDefault="00FA6047" w:rsidP="00902C02">
            <w:pPr>
              <w:pStyle w:val="Prrafodelista"/>
              <w:widowControl w:val="0"/>
              <w:spacing w:before="40" w:after="40" w:line="264" w:lineRule="auto"/>
              <w:ind w:left="0"/>
              <w:contextualSpacing w:val="0"/>
              <w:jc w:val="center"/>
              <w:rPr>
                <w:rFonts w:ascii="Arial Negrita" w:hAnsi="Arial Negrita"/>
                <w:b/>
                <w:spacing w:val="-10"/>
              </w:rPr>
            </w:pPr>
            <w:r w:rsidRPr="003D07F6">
              <w:rPr>
                <w:rFonts w:ascii="Arial Negrita" w:hAnsi="Arial Negrita"/>
                <w:b/>
                <w:spacing w:val="-10"/>
              </w:rPr>
              <w:t>$20,000.00</w:t>
            </w:r>
          </w:p>
        </w:tc>
      </w:tr>
    </w:tbl>
    <w:p w:rsidR="00C93A48" w:rsidRPr="003D07F6" w:rsidRDefault="00997395" w:rsidP="00101A8E">
      <w:pPr>
        <w:rPr>
          <w:rFonts w:ascii="Arial" w:hAnsi="Arial" w:cs="Arial"/>
          <w:sz w:val="23"/>
          <w:szCs w:val="23"/>
        </w:rPr>
      </w:pPr>
      <w:r w:rsidRPr="003D07F6">
        <w:rPr>
          <w:rFonts w:ascii="Arial" w:hAnsi="Arial" w:cs="Arial"/>
          <w:sz w:val="23"/>
          <w:szCs w:val="23"/>
        </w:rPr>
        <w:t>Con lo anterior, los dictámenes para el otorgamiento de Incentivos 2023, correspondiente al ejercicio valorado 2022, quedaron en posibilidad de presentarse al Consejo Estatal, para su aprobación, previa autorización de la Comisión de Seguimiento.</w:t>
      </w:r>
    </w:p>
    <w:p w:rsidR="001F01AE" w:rsidRPr="003D07F6" w:rsidRDefault="001F01AE" w:rsidP="001F01AE">
      <w:pPr>
        <w:pStyle w:val="Ttulo2"/>
        <w:rPr>
          <w:rFonts w:ascii="Arial" w:hAnsi="Arial" w:cs="Arial"/>
          <w:color w:val="auto"/>
        </w:rPr>
      </w:pPr>
      <w:r w:rsidRPr="003D07F6">
        <w:rPr>
          <w:rFonts w:ascii="Arial" w:hAnsi="Arial" w:cs="Arial"/>
          <w:color w:val="auto"/>
        </w:rPr>
        <w:t>Autorización de los dictámenes</w:t>
      </w:r>
    </w:p>
    <w:p w:rsidR="001F01AE" w:rsidRPr="003D07F6" w:rsidRDefault="00465329" w:rsidP="001F01AE">
      <w:pPr>
        <w:rPr>
          <w:rFonts w:ascii="Arial" w:hAnsi="Arial" w:cs="Arial"/>
          <w:sz w:val="23"/>
          <w:szCs w:val="23"/>
        </w:rPr>
      </w:pPr>
      <w:r w:rsidRPr="003D07F6">
        <w:rPr>
          <w:rFonts w:ascii="Arial" w:hAnsi="Arial" w:cs="Arial"/>
          <w:sz w:val="23"/>
          <w:szCs w:val="23"/>
        </w:rPr>
        <w:t>Que, e</w:t>
      </w:r>
      <w:r w:rsidR="001F01AE" w:rsidRPr="003D07F6">
        <w:rPr>
          <w:rFonts w:ascii="Arial" w:hAnsi="Arial" w:cs="Arial"/>
          <w:sz w:val="23"/>
          <w:szCs w:val="23"/>
        </w:rPr>
        <w:t>l 23 de noviembre de 2023 la Comisión de Seguimiento emitió el acuerdo CPSSPE</w:t>
      </w:r>
      <w:r w:rsidRPr="003D07F6">
        <w:rPr>
          <w:rFonts w:ascii="Arial" w:hAnsi="Arial" w:cs="Arial"/>
          <w:sz w:val="23"/>
          <w:szCs w:val="23"/>
        </w:rPr>
        <w:t>N</w:t>
      </w:r>
      <w:r w:rsidR="001F01AE" w:rsidRPr="003D07F6">
        <w:rPr>
          <w:rFonts w:ascii="Arial" w:hAnsi="Arial" w:cs="Arial"/>
          <w:sz w:val="23"/>
          <w:szCs w:val="23"/>
        </w:rPr>
        <w:t>/2023/05 mediante el cual autorizó los dictámenes para el otorgamiento de incentivos por rendimiento 2023 correspondientes al ejercicio valorado 2022, el cual remitió a la Presidencia del Consejo Estatal, para la deliberación y, en su caso, aprobación por parte de este órgano colegiado.</w:t>
      </w:r>
    </w:p>
    <w:p w:rsidR="00101A8E" w:rsidRPr="003D07F6" w:rsidRDefault="00101A8E" w:rsidP="00101A8E">
      <w:pPr>
        <w:rPr>
          <w:rFonts w:ascii="Arial" w:hAnsi="Arial" w:cs="Arial"/>
          <w:sz w:val="23"/>
          <w:szCs w:val="23"/>
        </w:rPr>
      </w:pPr>
      <w:r w:rsidRPr="003D07F6">
        <w:rPr>
          <w:rFonts w:ascii="Arial" w:hAnsi="Arial" w:cs="Arial"/>
          <w:sz w:val="23"/>
          <w:szCs w:val="23"/>
        </w:rPr>
        <w:t>Sobre la base de las consideraciones señaladas, este Consejo Estatal emite el siguiente:</w:t>
      </w:r>
    </w:p>
    <w:p w:rsidR="00101A8E" w:rsidRPr="003D07F6" w:rsidRDefault="00101A8E" w:rsidP="00255526">
      <w:pPr>
        <w:pStyle w:val="Ttulo1"/>
        <w:rPr>
          <w:sz w:val="24"/>
          <w:szCs w:val="24"/>
        </w:rPr>
      </w:pPr>
      <w:r w:rsidRPr="003D07F6">
        <w:rPr>
          <w:sz w:val="24"/>
          <w:szCs w:val="24"/>
        </w:rPr>
        <w:t>Acuerdo</w:t>
      </w:r>
    </w:p>
    <w:p w:rsidR="00101A8E" w:rsidRPr="00FA6047" w:rsidRDefault="001F01AE" w:rsidP="00101A8E">
      <w:pPr>
        <w:rPr>
          <w:rFonts w:ascii="Arial" w:hAnsi="Arial" w:cs="Arial"/>
          <w:sz w:val="23"/>
          <w:szCs w:val="23"/>
        </w:rPr>
      </w:pPr>
      <w:r w:rsidRPr="00FA6047">
        <w:rPr>
          <w:rFonts w:ascii="Arial" w:hAnsi="Arial" w:cs="Arial"/>
          <w:b/>
          <w:bCs/>
          <w:sz w:val="23"/>
          <w:szCs w:val="23"/>
        </w:rPr>
        <w:t>Primero</w:t>
      </w:r>
      <w:r w:rsidR="00101A8E" w:rsidRPr="00FA6047">
        <w:rPr>
          <w:rFonts w:ascii="Arial" w:hAnsi="Arial" w:cs="Arial"/>
          <w:b/>
          <w:bCs/>
          <w:sz w:val="23"/>
          <w:szCs w:val="23"/>
        </w:rPr>
        <w:t>.</w:t>
      </w:r>
      <w:r w:rsidR="00101A8E" w:rsidRPr="00FA6047">
        <w:rPr>
          <w:rFonts w:ascii="Arial" w:hAnsi="Arial" w:cs="Arial"/>
          <w:sz w:val="23"/>
          <w:szCs w:val="23"/>
        </w:rPr>
        <w:t xml:space="preserve"> Se aprueban los dictámenes propuestos por la Comisión Permanente de Seguimiento al Servicio Profesional Electoral con carácter administrativa para el otorgamiento de incentivos 2023 a los miembros del Servicio</w:t>
      </w:r>
      <w:r w:rsidR="00A660A8">
        <w:rPr>
          <w:rFonts w:ascii="Arial" w:hAnsi="Arial" w:cs="Arial"/>
          <w:sz w:val="23"/>
          <w:szCs w:val="23"/>
        </w:rPr>
        <w:t xml:space="preserve"> Profesional Electoral Nacional</w:t>
      </w:r>
      <w:r w:rsidR="00101A8E" w:rsidRPr="00FA6047">
        <w:rPr>
          <w:rFonts w:ascii="Arial" w:hAnsi="Arial" w:cs="Arial"/>
          <w:sz w:val="23"/>
          <w:szCs w:val="23"/>
        </w:rPr>
        <w:t xml:space="preserve"> correspondiente al ejercicio valorado 2022 que se anexan al presente acuerdo y pertenecen a las siguientes personas:</w:t>
      </w:r>
    </w:p>
    <w:tbl>
      <w:tblPr>
        <w:tblStyle w:val="Tablaconcuadrcula"/>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51"/>
        <w:gridCol w:w="1780"/>
        <w:gridCol w:w="2127"/>
        <w:gridCol w:w="1665"/>
      </w:tblGrid>
      <w:tr w:rsidR="00FA6047" w:rsidRPr="00FA6047" w:rsidTr="00FA6047">
        <w:trPr>
          <w:jc w:val="center"/>
        </w:trPr>
        <w:tc>
          <w:tcPr>
            <w:tcW w:w="2751" w:type="dxa"/>
            <w:shd w:val="clear" w:color="auto" w:fill="993366"/>
            <w:vAlign w:val="center"/>
          </w:tcPr>
          <w:p w:rsidR="001F01AE" w:rsidRPr="00FA6047" w:rsidRDefault="001F01AE" w:rsidP="00902C02">
            <w:pPr>
              <w:pStyle w:val="Prrafodelista"/>
              <w:widowControl w:val="0"/>
              <w:spacing w:before="40" w:after="40" w:line="264" w:lineRule="auto"/>
              <w:ind w:left="0"/>
              <w:contextualSpacing w:val="0"/>
              <w:jc w:val="center"/>
              <w:rPr>
                <w:b/>
                <w:color w:val="FFFFFF" w:themeColor="background1"/>
                <w:sz w:val="18"/>
              </w:rPr>
            </w:pPr>
            <w:r w:rsidRPr="00FA6047">
              <w:rPr>
                <w:b/>
                <w:color w:val="FFFFFF" w:themeColor="background1"/>
                <w:sz w:val="18"/>
              </w:rPr>
              <w:t>Nombre</w:t>
            </w:r>
          </w:p>
        </w:tc>
        <w:tc>
          <w:tcPr>
            <w:tcW w:w="1780" w:type="dxa"/>
            <w:shd w:val="clear" w:color="auto" w:fill="993366"/>
            <w:vAlign w:val="center"/>
          </w:tcPr>
          <w:p w:rsidR="001F01AE" w:rsidRPr="00FA6047" w:rsidRDefault="001F01AE" w:rsidP="00902C02">
            <w:pPr>
              <w:pStyle w:val="Prrafodelista"/>
              <w:widowControl w:val="0"/>
              <w:spacing w:before="40" w:after="40" w:line="264" w:lineRule="auto"/>
              <w:ind w:left="0"/>
              <w:contextualSpacing w:val="0"/>
              <w:jc w:val="center"/>
              <w:rPr>
                <w:b/>
                <w:color w:val="FFFFFF" w:themeColor="background1"/>
                <w:sz w:val="18"/>
              </w:rPr>
            </w:pPr>
            <w:r w:rsidRPr="00FA6047">
              <w:rPr>
                <w:b/>
                <w:color w:val="FFFFFF" w:themeColor="background1"/>
                <w:sz w:val="18"/>
              </w:rPr>
              <w:t>Tipo de incentivo a otorgar</w:t>
            </w:r>
          </w:p>
        </w:tc>
        <w:tc>
          <w:tcPr>
            <w:tcW w:w="2127" w:type="dxa"/>
            <w:shd w:val="clear" w:color="auto" w:fill="993366"/>
            <w:vAlign w:val="center"/>
          </w:tcPr>
          <w:p w:rsidR="001F01AE" w:rsidRPr="00FA6047" w:rsidRDefault="001F01AE" w:rsidP="00902C02">
            <w:pPr>
              <w:pStyle w:val="Prrafodelista"/>
              <w:widowControl w:val="0"/>
              <w:spacing w:before="40" w:after="40" w:line="264" w:lineRule="auto"/>
              <w:ind w:left="0"/>
              <w:contextualSpacing w:val="0"/>
              <w:jc w:val="center"/>
              <w:rPr>
                <w:b/>
                <w:color w:val="FFFFFF" w:themeColor="background1"/>
                <w:sz w:val="18"/>
              </w:rPr>
            </w:pPr>
            <w:r w:rsidRPr="00FA6047">
              <w:rPr>
                <w:b/>
                <w:color w:val="FFFFFF" w:themeColor="background1"/>
                <w:sz w:val="18"/>
              </w:rPr>
              <w:t>Cargo</w:t>
            </w:r>
          </w:p>
        </w:tc>
        <w:tc>
          <w:tcPr>
            <w:tcW w:w="1665" w:type="dxa"/>
            <w:shd w:val="clear" w:color="auto" w:fill="993366"/>
            <w:vAlign w:val="center"/>
          </w:tcPr>
          <w:p w:rsidR="001F01AE" w:rsidRPr="00FA6047" w:rsidRDefault="001F01AE" w:rsidP="00902C02">
            <w:pPr>
              <w:pStyle w:val="Prrafodelista"/>
              <w:widowControl w:val="0"/>
              <w:spacing w:before="40" w:after="40" w:line="264" w:lineRule="auto"/>
              <w:ind w:left="0"/>
              <w:contextualSpacing w:val="0"/>
              <w:jc w:val="center"/>
              <w:rPr>
                <w:b/>
                <w:color w:val="FFFFFF" w:themeColor="background1"/>
                <w:sz w:val="18"/>
              </w:rPr>
            </w:pPr>
            <w:r w:rsidRPr="00FA6047">
              <w:rPr>
                <w:b/>
                <w:color w:val="FFFFFF" w:themeColor="background1"/>
                <w:sz w:val="18"/>
              </w:rPr>
              <w:t>Monto bruto</w:t>
            </w:r>
          </w:p>
        </w:tc>
      </w:tr>
      <w:tr w:rsidR="00FA6047" w:rsidRPr="00FA6047" w:rsidTr="00FA6047">
        <w:trPr>
          <w:trHeight w:val="455"/>
          <w:jc w:val="center"/>
        </w:trPr>
        <w:tc>
          <w:tcPr>
            <w:tcW w:w="2751" w:type="dxa"/>
            <w:vAlign w:val="center"/>
          </w:tcPr>
          <w:p w:rsidR="001F01AE" w:rsidRPr="00FA6047" w:rsidRDefault="001F01AE" w:rsidP="00902C02">
            <w:pPr>
              <w:pStyle w:val="Prrafodelista"/>
              <w:widowControl w:val="0"/>
              <w:spacing w:before="40" w:after="40" w:line="264" w:lineRule="auto"/>
              <w:ind w:left="0"/>
              <w:contextualSpacing w:val="0"/>
              <w:rPr>
                <w:rFonts w:ascii="Arial Negrita" w:hAnsi="Arial Negrita"/>
                <w:b/>
                <w:spacing w:val="-10"/>
                <w:sz w:val="22"/>
              </w:rPr>
            </w:pPr>
            <w:proofErr w:type="spellStart"/>
            <w:r w:rsidRPr="00FA6047">
              <w:rPr>
                <w:rFonts w:ascii="Arial Negrita" w:hAnsi="Arial Negrita"/>
                <w:b/>
                <w:spacing w:val="-10"/>
                <w:sz w:val="22"/>
              </w:rPr>
              <w:t>Hiber</w:t>
            </w:r>
            <w:proofErr w:type="spellEnd"/>
            <w:r w:rsidRPr="00FA6047">
              <w:rPr>
                <w:rFonts w:ascii="Arial Negrita" w:hAnsi="Arial Negrita"/>
                <w:b/>
                <w:spacing w:val="-10"/>
                <w:sz w:val="22"/>
              </w:rPr>
              <w:t xml:space="preserve"> Antonio Pérez Pablo</w:t>
            </w:r>
          </w:p>
        </w:tc>
        <w:tc>
          <w:tcPr>
            <w:tcW w:w="1780" w:type="dxa"/>
            <w:vAlign w:val="center"/>
          </w:tcPr>
          <w:p w:rsidR="001F01AE" w:rsidRPr="00FA6047" w:rsidRDefault="001F01AE" w:rsidP="00902C02">
            <w:pPr>
              <w:pStyle w:val="Prrafodelista"/>
              <w:widowControl w:val="0"/>
              <w:spacing w:before="40" w:after="40" w:line="264" w:lineRule="auto"/>
              <w:ind w:left="0"/>
              <w:contextualSpacing w:val="0"/>
              <w:jc w:val="center"/>
              <w:rPr>
                <w:rFonts w:ascii="Arial Negrita" w:hAnsi="Arial Negrita"/>
                <w:b/>
                <w:spacing w:val="-10"/>
                <w:sz w:val="22"/>
              </w:rPr>
            </w:pPr>
            <w:r w:rsidRPr="00FA6047">
              <w:rPr>
                <w:rFonts w:ascii="Arial Negrita" w:hAnsi="Arial Negrita"/>
                <w:b/>
                <w:spacing w:val="-10"/>
                <w:sz w:val="22"/>
              </w:rPr>
              <w:t>Rendimiento</w:t>
            </w:r>
          </w:p>
        </w:tc>
        <w:tc>
          <w:tcPr>
            <w:tcW w:w="2127" w:type="dxa"/>
            <w:vAlign w:val="center"/>
          </w:tcPr>
          <w:p w:rsidR="001F01AE" w:rsidRPr="00FA6047" w:rsidRDefault="001F01AE" w:rsidP="00902C02">
            <w:pPr>
              <w:pStyle w:val="Prrafodelista"/>
              <w:widowControl w:val="0"/>
              <w:spacing w:before="40" w:after="40" w:line="264" w:lineRule="auto"/>
              <w:ind w:left="0"/>
              <w:contextualSpacing w:val="0"/>
              <w:rPr>
                <w:rFonts w:ascii="Arial Negrita" w:hAnsi="Arial Negrita"/>
                <w:b/>
                <w:spacing w:val="-10"/>
                <w:sz w:val="22"/>
              </w:rPr>
            </w:pPr>
            <w:r w:rsidRPr="00FA6047">
              <w:rPr>
                <w:rFonts w:ascii="Arial Negrita" w:hAnsi="Arial Negrita"/>
                <w:b/>
                <w:spacing w:val="-10"/>
                <w:sz w:val="22"/>
              </w:rPr>
              <w:t>Coordinador</w:t>
            </w:r>
          </w:p>
        </w:tc>
        <w:tc>
          <w:tcPr>
            <w:tcW w:w="1665" w:type="dxa"/>
            <w:vAlign w:val="center"/>
          </w:tcPr>
          <w:p w:rsidR="001F01AE" w:rsidRPr="00FA6047" w:rsidRDefault="001F01AE" w:rsidP="00902C02">
            <w:pPr>
              <w:pStyle w:val="Prrafodelista"/>
              <w:widowControl w:val="0"/>
              <w:spacing w:before="40" w:after="40" w:line="264" w:lineRule="auto"/>
              <w:ind w:left="0"/>
              <w:contextualSpacing w:val="0"/>
              <w:jc w:val="center"/>
              <w:rPr>
                <w:rFonts w:ascii="Arial Negrita" w:hAnsi="Arial Negrita"/>
                <w:b/>
                <w:spacing w:val="-10"/>
                <w:sz w:val="22"/>
              </w:rPr>
            </w:pPr>
            <w:r w:rsidRPr="00FA6047">
              <w:rPr>
                <w:rFonts w:ascii="Arial Negrita" w:hAnsi="Arial Negrita"/>
                <w:b/>
                <w:spacing w:val="-10"/>
                <w:sz w:val="22"/>
              </w:rPr>
              <w:t>$25,000.00</w:t>
            </w:r>
          </w:p>
        </w:tc>
      </w:tr>
      <w:tr w:rsidR="00FA6047" w:rsidRPr="00FA6047" w:rsidTr="00FA6047">
        <w:trPr>
          <w:trHeight w:val="395"/>
          <w:jc w:val="center"/>
        </w:trPr>
        <w:tc>
          <w:tcPr>
            <w:tcW w:w="2751" w:type="dxa"/>
            <w:vAlign w:val="center"/>
          </w:tcPr>
          <w:p w:rsidR="001F01AE" w:rsidRPr="00FA6047" w:rsidRDefault="001F01AE" w:rsidP="00902C02">
            <w:pPr>
              <w:pStyle w:val="Prrafodelista"/>
              <w:widowControl w:val="0"/>
              <w:spacing w:before="40" w:after="40" w:line="264" w:lineRule="auto"/>
              <w:ind w:left="0"/>
              <w:contextualSpacing w:val="0"/>
              <w:rPr>
                <w:rFonts w:ascii="Arial Negrita" w:hAnsi="Arial Negrita"/>
                <w:b/>
                <w:spacing w:val="-10"/>
                <w:sz w:val="22"/>
              </w:rPr>
            </w:pPr>
            <w:r w:rsidRPr="00FA6047">
              <w:rPr>
                <w:rFonts w:ascii="Arial Negrita" w:hAnsi="Arial Negrita"/>
                <w:b/>
                <w:spacing w:val="-10"/>
                <w:sz w:val="22"/>
              </w:rPr>
              <w:t xml:space="preserve">Justo Ernesto Canché </w:t>
            </w:r>
            <w:proofErr w:type="spellStart"/>
            <w:r w:rsidRPr="00FA6047">
              <w:rPr>
                <w:rFonts w:ascii="Arial Negrita" w:hAnsi="Arial Negrita"/>
                <w:b/>
                <w:spacing w:val="-10"/>
                <w:sz w:val="22"/>
              </w:rPr>
              <w:t>Hoil</w:t>
            </w:r>
            <w:proofErr w:type="spellEnd"/>
          </w:p>
        </w:tc>
        <w:tc>
          <w:tcPr>
            <w:tcW w:w="1780" w:type="dxa"/>
            <w:vAlign w:val="center"/>
          </w:tcPr>
          <w:p w:rsidR="001F01AE" w:rsidRPr="00FA6047" w:rsidRDefault="001F01AE" w:rsidP="00902C02">
            <w:pPr>
              <w:pStyle w:val="Prrafodelista"/>
              <w:widowControl w:val="0"/>
              <w:spacing w:before="40" w:after="40" w:line="264" w:lineRule="auto"/>
              <w:ind w:left="0"/>
              <w:contextualSpacing w:val="0"/>
              <w:jc w:val="center"/>
              <w:rPr>
                <w:rFonts w:ascii="Arial Negrita" w:hAnsi="Arial Negrita"/>
                <w:b/>
                <w:spacing w:val="-10"/>
                <w:sz w:val="22"/>
              </w:rPr>
            </w:pPr>
            <w:r w:rsidRPr="00FA6047">
              <w:rPr>
                <w:rFonts w:ascii="Arial Negrita" w:hAnsi="Arial Negrita"/>
                <w:b/>
                <w:spacing w:val="-10"/>
                <w:sz w:val="22"/>
              </w:rPr>
              <w:t>Rendimiento</w:t>
            </w:r>
          </w:p>
        </w:tc>
        <w:tc>
          <w:tcPr>
            <w:tcW w:w="2127" w:type="dxa"/>
            <w:vAlign w:val="center"/>
          </w:tcPr>
          <w:p w:rsidR="001F01AE" w:rsidRPr="00FA6047" w:rsidRDefault="001F01AE" w:rsidP="00902C02">
            <w:pPr>
              <w:pStyle w:val="Prrafodelista"/>
              <w:widowControl w:val="0"/>
              <w:spacing w:before="40" w:after="40" w:line="264" w:lineRule="auto"/>
              <w:ind w:left="0"/>
              <w:contextualSpacing w:val="0"/>
              <w:rPr>
                <w:rFonts w:ascii="Arial Negrita" w:hAnsi="Arial Negrita"/>
                <w:b/>
                <w:spacing w:val="-10"/>
                <w:sz w:val="22"/>
              </w:rPr>
            </w:pPr>
            <w:r w:rsidRPr="00FA6047">
              <w:rPr>
                <w:rFonts w:ascii="Arial Negrita" w:hAnsi="Arial Negrita"/>
                <w:b/>
                <w:spacing w:val="-10"/>
                <w:sz w:val="22"/>
              </w:rPr>
              <w:t>Asistencia Técnica</w:t>
            </w:r>
          </w:p>
        </w:tc>
        <w:tc>
          <w:tcPr>
            <w:tcW w:w="1665" w:type="dxa"/>
            <w:vAlign w:val="center"/>
          </w:tcPr>
          <w:p w:rsidR="001F01AE" w:rsidRPr="00FA6047" w:rsidRDefault="001F01AE" w:rsidP="00902C02">
            <w:pPr>
              <w:pStyle w:val="Prrafodelista"/>
              <w:widowControl w:val="0"/>
              <w:spacing w:before="40" w:after="40" w:line="264" w:lineRule="auto"/>
              <w:ind w:left="0"/>
              <w:contextualSpacing w:val="0"/>
              <w:jc w:val="center"/>
              <w:rPr>
                <w:rFonts w:ascii="Arial Negrita" w:hAnsi="Arial Negrita"/>
                <w:b/>
                <w:spacing w:val="-10"/>
                <w:sz w:val="22"/>
              </w:rPr>
            </w:pPr>
            <w:r w:rsidRPr="00FA6047">
              <w:rPr>
                <w:rFonts w:ascii="Arial Negrita" w:hAnsi="Arial Negrita"/>
                <w:b/>
                <w:spacing w:val="-10"/>
                <w:sz w:val="22"/>
              </w:rPr>
              <w:t>$20,000.00</w:t>
            </w:r>
          </w:p>
        </w:tc>
      </w:tr>
    </w:tbl>
    <w:p w:rsidR="00101A8E" w:rsidRPr="00FA6047" w:rsidRDefault="001F01AE" w:rsidP="00101A8E">
      <w:pPr>
        <w:rPr>
          <w:rFonts w:ascii="Arial" w:hAnsi="Arial" w:cs="Arial"/>
          <w:sz w:val="23"/>
          <w:szCs w:val="23"/>
        </w:rPr>
      </w:pPr>
      <w:r w:rsidRPr="00FA6047">
        <w:rPr>
          <w:rFonts w:ascii="Arial" w:hAnsi="Arial" w:cs="Arial"/>
          <w:b/>
          <w:bCs/>
          <w:sz w:val="23"/>
          <w:szCs w:val="23"/>
        </w:rPr>
        <w:t>Segundo</w:t>
      </w:r>
      <w:r w:rsidR="00101A8E" w:rsidRPr="00FA6047">
        <w:rPr>
          <w:rFonts w:ascii="Arial" w:hAnsi="Arial" w:cs="Arial"/>
          <w:b/>
          <w:bCs/>
          <w:sz w:val="23"/>
          <w:szCs w:val="23"/>
        </w:rPr>
        <w:t>.</w:t>
      </w:r>
      <w:r w:rsidR="00101A8E" w:rsidRPr="00FA6047">
        <w:rPr>
          <w:rFonts w:ascii="Arial" w:hAnsi="Arial" w:cs="Arial"/>
          <w:sz w:val="23"/>
          <w:szCs w:val="23"/>
        </w:rPr>
        <w:t xml:space="preserve"> </w:t>
      </w:r>
      <w:r w:rsidRPr="00FA6047">
        <w:rPr>
          <w:rFonts w:ascii="Arial" w:hAnsi="Arial" w:cs="Arial"/>
          <w:sz w:val="23"/>
          <w:szCs w:val="23"/>
        </w:rPr>
        <w:t>En consecuencia, s</w:t>
      </w:r>
      <w:r w:rsidR="00101A8E" w:rsidRPr="00FA6047">
        <w:rPr>
          <w:rFonts w:ascii="Arial" w:hAnsi="Arial" w:cs="Arial"/>
          <w:sz w:val="23"/>
          <w:szCs w:val="23"/>
        </w:rPr>
        <w:t xml:space="preserve">e instruye a la Dirección de Administración, para que, de forma inmediata </w:t>
      </w:r>
      <w:r w:rsidRPr="00FA6047">
        <w:rPr>
          <w:rFonts w:ascii="Arial" w:hAnsi="Arial" w:cs="Arial"/>
          <w:sz w:val="23"/>
          <w:szCs w:val="23"/>
        </w:rPr>
        <w:t>cubra</w:t>
      </w:r>
      <w:r w:rsidR="00101A8E" w:rsidRPr="00FA6047">
        <w:rPr>
          <w:rFonts w:ascii="Arial" w:hAnsi="Arial" w:cs="Arial"/>
          <w:sz w:val="23"/>
          <w:szCs w:val="23"/>
        </w:rPr>
        <w:t xml:space="preserve"> a los servidores públicos del Servicio Profesional Electoral Nacional de este Instituto que resultaron seleccionados, el pago por concepto de incentivo por rendimiento de acuerdo con sus categorías y en términos del Programa de Incentivos y los dictámenes aprobados.</w:t>
      </w:r>
    </w:p>
    <w:p w:rsidR="00101A8E" w:rsidRPr="00FA6047" w:rsidRDefault="001F01AE" w:rsidP="00101A8E">
      <w:pPr>
        <w:rPr>
          <w:rFonts w:ascii="Arial" w:hAnsi="Arial" w:cs="Arial"/>
          <w:sz w:val="23"/>
          <w:szCs w:val="23"/>
        </w:rPr>
      </w:pPr>
      <w:r w:rsidRPr="00FA6047">
        <w:rPr>
          <w:rFonts w:ascii="Arial" w:hAnsi="Arial" w:cs="Arial"/>
          <w:b/>
          <w:sz w:val="23"/>
          <w:szCs w:val="23"/>
        </w:rPr>
        <w:t>Tercero</w:t>
      </w:r>
      <w:r w:rsidR="00101A8E" w:rsidRPr="00FA6047">
        <w:rPr>
          <w:rFonts w:ascii="Arial" w:hAnsi="Arial" w:cs="Arial"/>
          <w:b/>
          <w:sz w:val="23"/>
          <w:szCs w:val="23"/>
        </w:rPr>
        <w:t xml:space="preserve">. </w:t>
      </w:r>
      <w:r w:rsidR="00101A8E" w:rsidRPr="00FA6047">
        <w:rPr>
          <w:rFonts w:ascii="Arial" w:hAnsi="Arial" w:cs="Arial"/>
          <w:sz w:val="23"/>
          <w:szCs w:val="23"/>
        </w:rPr>
        <w:t>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rsidR="001F01AE" w:rsidRPr="00FA6047" w:rsidRDefault="001F01AE" w:rsidP="001F01AE">
      <w:pPr>
        <w:rPr>
          <w:rFonts w:ascii="Arial" w:hAnsi="Arial" w:cs="Arial"/>
          <w:sz w:val="23"/>
          <w:szCs w:val="23"/>
        </w:rPr>
      </w:pPr>
      <w:r w:rsidRPr="00FA6047">
        <w:rPr>
          <w:rFonts w:ascii="Arial" w:hAnsi="Arial" w:cs="Arial"/>
          <w:b/>
          <w:bCs/>
          <w:sz w:val="23"/>
          <w:szCs w:val="23"/>
        </w:rPr>
        <w:t>Cuarto</w:t>
      </w:r>
      <w:r w:rsidR="00101A8E" w:rsidRPr="00FA6047">
        <w:rPr>
          <w:rFonts w:ascii="Arial" w:hAnsi="Arial" w:cs="Arial"/>
          <w:b/>
          <w:bCs/>
          <w:sz w:val="23"/>
          <w:szCs w:val="23"/>
        </w:rPr>
        <w:t>.</w:t>
      </w:r>
      <w:r w:rsidR="00101A8E" w:rsidRPr="00FA6047">
        <w:rPr>
          <w:rFonts w:ascii="Arial" w:hAnsi="Arial" w:cs="Arial"/>
          <w:sz w:val="23"/>
          <w:szCs w:val="23"/>
        </w:rPr>
        <w:t xml:space="preserve"> </w:t>
      </w:r>
      <w:r w:rsidRPr="00FA6047">
        <w:rPr>
          <w:rFonts w:ascii="Arial" w:hAnsi="Arial" w:cs="Arial"/>
          <w:sz w:val="23"/>
          <w:szCs w:val="23"/>
        </w:rPr>
        <w:t>De conformidad con lo dispuesto en el artículo 114 de la Ley Electoral y de Partidos Políticos del Estado de Tabasco publíquese el contenido del presente acuerdo en el Periódico Oficial del Estado y en la página de internet del Instituto.</w:t>
      </w:r>
    </w:p>
    <w:p w:rsidR="001F01AE" w:rsidRPr="00FA6047" w:rsidRDefault="001F01AE" w:rsidP="001F01AE">
      <w:pPr>
        <w:pStyle w:val="Puntos"/>
        <w:spacing w:line="300" w:lineRule="auto"/>
        <w:ind w:left="0"/>
        <w:rPr>
          <w:sz w:val="23"/>
          <w:szCs w:val="23"/>
        </w:rPr>
      </w:pPr>
      <w:r w:rsidRPr="00FA6047">
        <w:rPr>
          <w:sz w:val="23"/>
          <w:szCs w:val="23"/>
        </w:rPr>
        <w:t xml:space="preserve">El presente acuerdo fue </w:t>
      </w:r>
      <w:r w:rsidR="003D07F6">
        <w:rPr>
          <w:sz w:val="23"/>
          <w:szCs w:val="23"/>
        </w:rPr>
        <w:t>aprobado</w:t>
      </w:r>
      <w:r w:rsidRPr="00FA6047">
        <w:rPr>
          <w:sz w:val="23"/>
          <w:szCs w:val="23"/>
        </w:rPr>
        <w:t xml:space="preserve"> en sesión</w:t>
      </w:r>
      <w:r w:rsidR="003D07F6">
        <w:rPr>
          <w:sz w:val="23"/>
          <w:szCs w:val="23"/>
        </w:rPr>
        <w:t xml:space="preserve"> ordinaria</w:t>
      </w:r>
      <w:r w:rsidRPr="00FA6047">
        <w:rPr>
          <w:sz w:val="23"/>
          <w:szCs w:val="23"/>
        </w:rPr>
        <w:t xml:space="preserve"> efectuada el</w:t>
      </w:r>
      <w:r w:rsidR="003D07F6">
        <w:rPr>
          <w:sz w:val="23"/>
          <w:szCs w:val="23"/>
        </w:rPr>
        <w:t xml:space="preserve"> treinta</w:t>
      </w:r>
      <w:r w:rsidRPr="00FA6047">
        <w:rPr>
          <w:sz w:val="23"/>
          <w:szCs w:val="23"/>
        </w:rPr>
        <w:t xml:space="preserve"> de</w:t>
      </w:r>
      <w:r w:rsidR="003D07F6">
        <w:rPr>
          <w:sz w:val="23"/>
          <w:szCs w:val="23"/>
        </w:rPr>
        <w:t xml:space="preserve"> noviembre</w:t>
      </w:r>
      <w:r w:rsidRPr="00FA6047">
        <w:rPr>
          <w:sz w:val="23"/>
          <w:szCs w:val="23"/>
        </w:rPr>
        <w:t xml:space="preserve"> del año dos mil veintitrés, por votación </w:t>
      </w:r>
      <w:proofErr w:type="spellStart"/>
      <w:r w:rsidR="003D07F6">
        <w:rPr>
          <w:sz w:val="23"/>
          <w:szCs w:val="23"/>
        </w:rPr>
        <w:t>unanime</w:t>
      </w:r>
      <w:proofErr w:type="spellEnd"/>
      <w:r w:rsidRPr="00FA6047">
        <w:rPr>
          <w:sz w:val="23"/>
          <w:szCs w:val="23"/>
        </w:rPr>
        <w:t xml:space="preserve"> de las y los Consejeros Electorales del Consejo Estatal del Instituto Electoral y de Participación Ciudadana de Tabasco: Dra. </w:t>
      </w:r>
      <w:proofErr w:type="spellStart"/>
      <w:r w:rsidRPr="00FA6047">
        <w:rPr>
          <w:sz w:val="23"/>
          <w:szCs w:val="23"/>
        </w:rPr>
        <w:t>Rosselvy</w:t>
      </w:r>
      <w:proofErr w:type="spellEnd"/>
      <w:r w:rsidRPr="00FA6047">
        <w:rPr>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rsidR="001F01AE" w:rsidRPr="00FA6047" w:rsidRDefault="001F01AE" w:rsidP="001F01AE">
      <w:pPr>
        <w:pStyle w:val="Puntos"/>
        <w:spacing w:line="288" w:lineRule="auto"/>
        <w:ind w:left="0"/>
        <w:rPr>
          <w:sz w:val="23"/>
          <w:szCs w:val="23"/>
        </w:rPr>
      </w:pPr>
    </w:p>
    <w:p w:rsidR="001F01AE" w:rsidRPr="00FA6047" w:rsidRDefault="001F01AE" w:rsidP="001F01AE">
      <w:pPr>
        <w:pStyle w:val="Puntos"/>
        <w:spacing w:line="288" w:lineRule="auto"/>
        <w:ind w:left="0"/>
        <w:rPr>
          <w:sz w:val="23"/>
          <w:szCs w:val="23"/>
        </w:rPr>
      </w:pPr>
    </w:p>
    <w:p w:rsidR="001F01AE" w:rsidRPr="00FA6047" w:rsidRDefault="001F01AE" w:rsidP="001F01AE">
      <w:pPr>
        <w:pStyle w:val="Puntos"/>
        <w:spacing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FA6047" w:rsidRPr="00FA6047" w:rsidTr="00902C02">
        <w:tc>
          <w:tcPr>
            <w:tcW w:w="4395" w:type="dxa"/>
          </w:tcPr>
          <w:p w:rsidR="001F01AE" w:rsidRPr="00FA6047" w:rsidRDefault="001F01AE" w:rsidP="00902C02">
            <w:pPr>
              <w:widowControl w:val="0"/>
              <w:spacing w:before="0" w:after="0"/>
              <w:jc w:val="center"/>
              <w:rPr>
                <w:rFonts w:ascii="Arial" w:hAnsi="Arial" w:cs="Arial"/>
                <w:b/>
                <w:spacing w:val="-10"/>
                <w:sz w:val="23"/>
                <w:szCs w:val="23"/>
              </w:rPr>
            </w:pPr>
            <w:r w:rsidRPr="00FA6047">
              <w:rPr>
                <w:rFonts w:ascii="Arial" w:hAnsi="Arial" w:cs="Arial"/>
                <w:b/>
                <w:spacing w:val="-10"/>
                <w:sz w:val="23"/>
                <w:szCs w:val="23"/>
              </w:rPr>
              <w:t>MTRA. ELIZABETH NAVA GUTIÉRREZ</w:t>
            </w:r>
          </w:p>
          <w:p w:rsidR="001F01AE" w:rsidRPr="00FA6047" w:rsidRDefault="001F01AE" w:rsidP="00902C02">
            <w:pPr>
              <w:widowControl w:val="0"/>
              <w:spacing w:before="0" w:after="0"/>
              <w:jc w:val="center"/>
              <w:rPr>
                <w:rFonts w:ascii="Arial" w:hAnsi="Arial" w:cs="Arial"/>
                <w:b/>
                <w:sz w:val="23"/>
                <w:szCs w:val="23"/>
              </w:rPr>
            </w:pPr>
            <w:r w:rsidRPr="00FA6047">
              <w:rPr>
                <w:rFonts w:ascii="Arial" w:hAnsi="Arial" w:cs="Arial"/>
                <w:b/>
                <w:spacing w:val="-10"/>
                <w:sz w:val="23"/>
                <w:szCs w:val="23"/>
              </w:rPr>
              <w:t>CONSEJERA PRESIDENTA</w:t>
            </w:r>
          </w:p>
        </w:tc>
        <w:tc>
          <w:tcPr>
            <w:tcW w:w="278" w:type="dxa"/>
          </w:tcPr>
          <w:p w:rsidR="001F01AE" w:rsidRPr="00FA6047" w:rsidRDefault="001F01AE" w:rsidP="00902C02">
            <w:pPr>
              <w:widowControl w:val="0"/>
              <w:spacing w:before="0" w:after="0"/>
              <w:rPr>
                <w:rFonts w:ascii="Arial" w:hAnsi="Arial" w:cs="Arial"/>
                <w:b/>
                <w:sz w:val="23"/>
                <w:szCs w:val="23"/>
              </w:rPr>
            </w:pPr>
          </w:p>
        </w:tc>
        <w:tc>
          <w:tcPr>
            <w:tcW w:w="4400" w:type="dxa"/>
          </w:tcPr>
          <w:p w:rsidR="001F01AE" w:rsidRPr="00FA6047" w:rsidRDefault="001F01AE" w:rsidP="00902C02">
            <w:pPr>
              <w:widowControl w:val="0"/>
              <w:spacing w:before="0" w:after="0"/>
              <w:jc w:val="center"/>
              <w:rPr>
                <w:rFonts w:ascii="Arial" w:hAnsi="Arial" w:cs="Arial"/>
                <w:b/>
                <w:spacing w:val="-10"/>
                <w:sz w:val="23"/>
                <w:szCs w:val="23"/>
              </w:rPr>
            </w:pPr>
            <w:r w:rsidRPr="00FA6047">
              <w:rPr>
                <w:rFonts w:ascii="Arial" w:hAnsi="Arial" w:cs="Arial"/>
                <w:b/>
                <w:spacing w:val="-10"/>
                <w:sz w:val="23"/>
                <w:szCs w:val="23"/>
              </w:rPr>
              <w:t>LIC. JORGE ALBERTO ZAVALA FRÍAS</w:t>
            </w:r>
          </w:p>
          <w:p w:rsidR="001F01AE" w:rsidRPr="00FA6047" w:rsidRDefault="001F01AE" w:rsidP="00902C02">
            <w:pPr>
              <w:widowControl w:val="0"/>
              <w:spacing w:before="0" w:after="0"/>
              <w:jc w:val="center"/>
              <w:rPr>
                <w:rFonts w:ascii="Arial" w:hAnsi="Arial" w:cs="Arial"/>
                <w:b/>
                <w:sz w:val="23"/>
                <w:szCs w:val="23"/>
              </w:rPr>
            </w:pPr>
            <w:r w:rsidRPr="00FA6047">
              <w:rPr>
                <w:rFonts w:ascii="Arial" w:hAnsi="Arial" w:cs="Arial"/>
                <w:b/>
                <w:spacing w:val="-10"/>
                <w:sz w:val="23"/>
                <w:szCs w:val="23"/>
              </w:rPr>
              <w:t>SECRETARIO DEL CONSEJO</w:t>
            </w:r>
          </w:p>
        </w:tc>
      </w:tr>
    </w:tbl>
    <w:p w:rsidR="001F01AE" w:rsidRPr="00FA6047" w:rsidRDefault="001F01AE" w:rsidP="001F01AE">
      <w:pPr>
        <w:rPr>
          <w:rFonts w:ascii="Arial" w:hAnsi="Arial" w:cs="Arial"/>
          <w:sz w:val="23"/>
          <w:szCs w:val="23"/>
        </w:rPr>
      </w:pPr>
    </w:p>
    <w:p w:rsidR="001F01AE" w:rsidRPr="00FA6047" w:rsidRDefault="001F01AE" w:rsidP="00101A8E">
      <w:pPr>
        <w:rPr>
          <w:rFonts w:ascii="Arial" w:hAnsi="Arial" w:cs="Arial"/>
          <w:sz w:val="23"/>
          <w:szCs w:val="23"/>
        </w:rPr>
      </w:pPr>
    </w:p>
    <w:sectPr w:rsidR="001F01AE" w:rsidRPr="00FA6047" w:rsidSect="002C3ABB">
      <w:headerReference w:type="even" r:id="rId7"/>
      <w:headerReference w:type="default" r:id="rId8"/>
      <w:footerReference w:type="even" r:id="rId9"/>
      <w:footerReference w:type="default" r:id="rId10"/>
      <w:headerReference w:type="first" r:id="rId11"/>
      <w:footerReference w:type="first" r:id="rId12"/>
      <w:pgSz w:w="12240" w:h="15840" w:code="1"/>
      <w:pgMar w:top="2836" w:right="1701"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153" w:rsidRDefault="00F67153" w:rsidP="00FA6047">
      <w:pPr>
        <w:spacing w:before="0" w:after="0" w:line="240" w:lineRule="auto"/>
      </w:pPr>
      <w:r>
        <w:separator/>
      </w:r>
    </w:p>
  </w:endnote>
  <w:endnote w:type="continuationSeparator" w:id="0">
    <w:p w:rsidR="00F67153" w:rsidRDefault="00F67153" w:rsidP="00FA60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2E1" w:rsidRDefault="001942E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267523309"/>
      <w:docPartObj>
        <w:docPartGallery w:val="Page Numbers (Top of Page)"/>
        <w:docPartUnique/>
      </w:docPartObj>
    </w:sdtPr>
    <w:sdtEndPr/>
    <w:sdtContent>
      <w:p w:rsidR="00FA6047" w:rsidRPr="00FA6047" w:rsidRDefault="00FA6047" w:rsidP="00FA6047">
        <w:pPr>
          <w:pStyle w:val="Piedepgina"/>
          <w:jc w:val="right"/>
          <w:rPr>
            <w:rFonts w:ascii="Arial" w:hAnsi="Arial" w:cs="Arial"/>
            <w:color w:val="993366"/>
            <w:sz w:val="20"/>
            <w:szCs w:val="20"/>
          </w:rPr>
        </w:pPr>
        <w:r w:rsidRPr="00FA6047">
          <w:rPr>
            <w:rFonts w:ascii="Arial" w:hAnsi="Arial" w:cs="Arial"/>
            <w:b/>
            <w:bCs/>
            <w:color w:val="993366"/>
          </w:rPr>
          <w:t xml:space="preserve">Página </w:t>
        </w:r>
        <w:r w:rsidRPr="00FA6047">
          <w:rPr>
            <w:rFonts w:ascii="Arial" w:hAnsi="Arial" w:cs="Arial"/>
            <w:b/>
            <w:bCs/>
            <w:color w:val="993366"/>
          </w:rPr>
          <w:fldChar w:fldCharType="begin"/>
        </w:r>
        <w:r w:rsidRPr="00FA6047">
          <w:rPr>
            <w:rFonts w:ascii="Arial" w:hAnsi="Arial" w:cs="Arial"/>
            <w:b/>
            <w:bCs/>
            <w:color w:val="993366"/>
          </w:rPr>
          <w:instrText>PAGE</w:instrText>
        </w:r>
        <w:r w:rsidRPr="00FA6047">
          <w:rPr>
            <w:rFonts w:ascii="Arial" w:hAnsi="Arial" w:cs="Arial"/>
            <w:b/>
            <w:bCs/>
            <w:color w:val="993366"/>
          </w:rPr>
          <w:fldChar w:fldCharType="separate"/>
        </w:r>
        <w:r w:rsidR="001942E1">
          <w:rPr>
            <w:rFonts w:ascii="Arial" w:hAnsi="Arial" w:cs="Arial"/>
            <w:b/>
            <w:bCs/>
            <w:noProof/>
            <w:color w:val="993366"/>
          </w:rPr>
          <w:t>1</w:t>
        </w:r>
        <w:r w:rsidRPr="00FA6047">
          <w:rPr>
            <w:rFonts w:ascii="Arial" w:hAnsi="Arial" w:cs="Arial"/>
            <w:b/>
            <w:bCs/>
            <w:color w:val="993366"/>
          </w:rPr>
          <w:fldChar w:fldCharType="end"/>
        </w:r>
        <w:r w:rsidRPr="00FA6047">
          <w:rPr>
            <w:rFonts w:ascii="Arial" w:hAnsi="Arial" w:cs="Arial"/>
            <w:b/>
            <w:bCs/>
            <w:color w:val="993366"/>
          </w:rPr>
          <w:t xml:space="preserve"> | </w:t>
        </w:r>
        <w:r w:rsidRPr="00FA6047">
          <w:rPr>
            <w:rFonts w:ascii="Arial" w:hAnsi="Arial" w:cs="Arial"/>
            <w:b/>
            <w:bCs/>
            <w:color w:val="993366"/>
          </w:rPr>
          <w:fldChar w:fldCharType="begin"/>
        </w:r>
        <w:r w:rsidRPr="00FA6047">
          <w:rPr>
            <w:rFonts w:ascii="Arial" w:hAnsi="Arial" w:cs="Arial"/>
            <w:b/>
            <w:bCs/>
            <w:color w:val="993366"/>
          </w:rPr>
          <w:instrText>NUMPAGES</w:instrText>
        </w:r>
        <w:r w:rsidRPr="00FA6047">
          <w:rPr>
            <w:rFonts w:ascii="Arial" w:hAnsi="Arial" w:cs="Arial"/>
            <w:b/>
            <w:bCs/>
            <w:color w:val="993366"/>
          </w:rPr>
          <w:fldChar w:fldCharType="separate"/>
        </w:r>
        <w:r w:rsidR="001942E1">
          <w:rPr>
            <w:rFonts w:ascii="Arial" w:hAnsi="Arial" w:cs="Arial"/>
            <w:b/>
            <w:bCs/>
            <w:noProof/>
            <w:color w:val="993366"/>
          </w:rPr>
          <w:t>11</w:t>
        </w:r>
        <w:r w:rsidRPr="00FA6047">
          <w:rPr>
            <w:rFonts w:ascii="Arial" w:hAnsi="Arial" w:cs="Arial"/>
            <w:b/>
            <w:bCs/>
            <w:color w:val="99336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2E1" w:rsidRDefault="001942E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153" w:rsidRDefault="00F67153" w:rsidP="00FA6047">
      <w:pPr>
        <w:spacing w:before="0" w:after="0" w:line="240" w:lineRule="auto"/>
      </w:pPr>
      <w:r>
        <w:separator/>
      </w:r>
    </w:p>
  </w:footnote>
  <w:footnote w:type="continuationSeparator" w:id="0">
    <w:p w:rsidR="00F67153" w:rsidRDefault="00F67153" w:rsidP="00FA604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2E1" w:rsidRDefault="001942E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FA6047" w:rsidRPr="00063338" w:rsidTr="00902C02">
      <w:tc>
        <w:tcPr>
          <w:tcW w:w="1418" w:type="dxa"/>
        </w:tcPr>
        <w:p w:rsidR="00FA6047" w:rsidRPr="00063338" w:rsidRDefault="00FA6047" w:rsidP="00FA6047">
          <w:pPr>
            <w:pStyle w:val="Encabezado"/>
            <w:ind w:left="-170"/>
            <w:jc w:val="left"/>
          </w:pPr>
          <w:r>
            <w:rPr>
              <w:b/>
              <w:noProof/>
              <w:sz w:val="32"/>
              <w:lang w:eastAsia="es-MX"/>
            </w:rPr>
            <w:drawing>
              <wp:inline distT="0" distB="0" distL="0" distR="0" wp14:anchorId="0F789364" wp14:editId="1FBB1F33">
                <wp:extent cx="1014331" cy="1199403"/>
                <wp:effectExtent l="0" t="0" r="0" b="1270"/>
                <wp:docPr id="1" name="Imagen 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FA6047" w:rsidRPr="00FA6047" w:rsidRDefault="00FA6047" w:rsidP="00FA6047">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rsidR="00FA6047" w:rsidRPr="00063338" w:rsidRDefault="00FA6047" w:rsidP="00FA6047">
          <w:pPr>
            <w:pStyle w:val="Encabezado"/>
            <w:jc w:val="center"/>
          </w:pPr>
          <w:r w:rsidRPr="00FA6047">
            <w:rPr>
              <w:rFonts w:ascii="Arial" w:hAnsi="Arial" w:cs="Arial"/>
              <w:sz w:val="26"/>
              <w:szCs w:val="26"/>
            </w:rPr>
            <w:t>CONSEJO ESTATAL</w:t>
          </w:r>
        </w:p>
      </w:tc>
      <w:tc>
        <w:tcPr>
          <w:tcW w:w="1701" w:type="dxa"/>
        </w:tcPr>
        <w:p w:rsidR="00FA6047" w:rsidRPr="00063338" w:rsidRDefault="00FA6047" w:rsidP="00FA6047">
          <w:pPr>
            <w:pStyle w:val="Encabezado"/>
            <w:spacing w:before="480"/>
          </w:pPr>
          <w:r>
            <w:rPr>
              <w:noProof/>
              <w:lang w:eastAsia="es-MX"/>
            </w:rPr>
            <w:drawing>
              <wp:inline distT="0" distB="0" distL="0" distR="0" wp14:anchorId="68A8A005" wp14:editId="280FDE5F">
                <wp:extent cx="921600" cy="756000"/>
                <wp:effectExtent l="0" t="0" r="0" b="6350"/>
                <wp:docPr id="2" name="Imagen 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FA6047" w:rsidRPr="001942E1" w:rsidRDefault="001942E1" w:rsidP="001942E1">
    <w:pPr>
      <w:pStyle w:val="Encabezado"/>
      <w:jc w:val="right"/>
      <w:rPr>
        <w:rFonts w:ascii="Arial" w:hAnsi="Arial" w:cs="Arial"/>
        <w:b/>
        <w:sz w:val="24"/>
        <w:szCs w:val="24"/>
      </w:rPr>
    </w:pPr>
    <w:bookmarkStart w:id="0" w:name="_GoBack"/>
    <w:bookmarkEnd w:id="0"/>
    <w:r w:rsidRPr="001942E1">
      <w:rPr>
        <w:rFonts w:ascii="Arial" w:hAnsi="Arial" w:cs="Arial"/>
        <w:b/>
        <w:sz w:val="24"/>
        <w:szCs w:val="24"/>
      </w:rPr>
      <w:t>CE/2023/049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2E1" w:rsidRDefault="001942E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15D5E"/>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524F565E"/>
    <w:multiLevelType w:val="hybridMultilevel"/>
    <w:tmpl w:val="2042E6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6B54EC7"/>
    <w:multiLevelType w:val="hybridMultilevel"/>
    <w:tmpl w:val="99189E7C"/>
    <w:lvl w:ilvl="0" w:tplc="B3D44E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57"/>
    <w:rsid w:val="0007308D"/>
    <w:rsid w:val="00092C04"/>
    <w:rsid w:val="000B4446"/>
    <w:rsid w:val="00101A8E"/>
    <w:rsid w:val="001112DB"/>
    <w:rsid w:val="00115551"/>
    <w:rsid w:val="00190837"/>
    <w:rsid w:val="001942E1"/>
    <w:rsid w:val="001F01AE"/>
    <w:rsid w:val="00255526"/>
    <w:rsid w:val="002C3ABB"/>
    <w:rsid w:val="003025E4"/>
    <w:rsid w:val="00353DE7"/>
    <w:rsid w:val="003B0457"/>
    <w:rsid w:val="003D07F6"/>
    <w:rsid w:val="00465329"/>
    <w:rsid w:val="0071028F"/>
    <w:rsid w:val="00791108"/>
    <w:rsid w:val="007E5F34"/>
    <w:rsid w:val="007F220F"/>
    <w:rsid w:val="008D3984"/>
    <w:rsid w:val="00997395"/>
    <w:rsid w:val="00A660A8"/>
    <w:rsid w:val="00AC29F9"/>
    <w:rsid w:val="00B17075"/>
    <w:rsid w:val="00C62F53"/>
    <w:rsid w:val="00C740E9"/>
    <w:rsid w:val="00C93A48"/>
    <w:rsid w:val="00D83226"/>
    <w:rsid w:val="00DC3F7E"/>
    <w:rsid w:val="00DE51CF"/>
    <w:rsid w:val="00ED125D"/>
    <w:rsid w:val="00F67153"/>
    <w:rsid w:val="00F86EF7"/>
    <w:rsid w:val="00F94414"/>
    <w:rsid w:val="00FA6047"/>
    <w:rsid w:val="00FB20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4D81"/>
  <w15:chartTrackingRefBased/>
  <w15:docId w15:val="{C0B61708-1297-4F70-970F-2F23E697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EF7"/>
    <w:pPr>
      <w:spacing w:before="240" w:after="240" w:line="288" w:lineRule="auto"/>
      <w:jc w:val="both"/>
    </w:pPr>
    <w:rPr>
      <w:rFonts w:asciiTheme="majorHAnsi" w:hAnsiTheme="majorHAnsi" w:cstheme="majorHAnsi"/>
    </w:rPr>
  </w:style>
  <w:style w:type="paragraph" w:styleId="Ttulo1">
    <w:name w:val="heading 1"/>
    <w:basedOn w:val="Normal"/>
    <w:next w:val="Normal"/>
    <w:link w:val="Ttulo1Car"/>
    <w:uiPriority w:val="9"/>
    <w:qFormat/>
    <w:rsid w:val="00255526"/>
    <w:pPr>
      <w:keepNext/>
      <w:keepLines/>
      <w:numPr>
        <w:numId w:val="3"/>
      </w:numPr>
      <w:spacing w:before="600" w:after="0"/>
      <w:jc w:val="center"/>
      <w:outlineLvl w:val="0"/>
    </w:pPr>
    <w:rPr>
      <w:rFonts w:ascii="Arial" w:eastAsiaTheme="majorEastAsia" w:hAnsi="Arial" w:cs="Arial"/>
      <w:b/>
      <w:sz w:val="28"/>
      <w:szCs w:val="23"/>
    </w:rPr>
  </w:style>
  <w:style w:type="paragraph" w:styleId="Ttulo2">
    <w:name w:val="heading 2"/>
    <w:basedOn w:val="Normal"/>
    <w:next w:val="Normal"/>
    <w:link w:val="Ttulo2Car"/>
    <w:uiPriority w:val="9"/>
    <w:unhideWhenUsed/>
    <w:qFormat/>
    <w:rsid w:val="00F94414"/>
    <w:pPr>
      <w:keepNext/>
      <w:keepLines/>
      <w:numPr>
        <w:ilvl w:val="1"/>
        <w:numId w:val="3"/>
      </w:numPr>
      <w:spacing w:before="480"/>
      <w:outlineLvl w:val="1"/>
    </w:pPr>
    <w:rPr>
      <w:rFonts w:eastAsiaTheme="majorEastAsia" w:cstheme="majorBidi"/>
      <w:b/>
      <w:color w:val="2E74B5" w:themeColor="accent1" w:themeShade="BF"/>
      <w:sz w:val="23"/>
      <w:szCs w:val="23"/>
    </w:rPr>
  </w:style>
  <w:style w:type="paragraph" w:styleId="Ttulo3">
    <w:name w:val="heading 3"/>
    <w:basedOn w:val="Normal"/>
    <w:next w:val="Normal"/>
    <w:link w:val="Ttulo3Car"/>
    <w:uiPriority w:val="9"/>
    <w:unhideWhenUsed/>
    <w:qFormat/>
    <w:rsid w:val="00C62F53"/>
    <w:pPr>
      <w:keepNext/>
      <w:keepLines/>
      <w:numPr>
        <w:ilvl w:val="2"/>
        <w:numId w:val="3"/>
      </w:numPr>
      <w:spacing w:before="40" w:after="0"/>
      <w:outlineLvl w:val="2"/>
    </w:pPr>
    <w:rPr>
      <w:rFonts w:eastAsiaTheme="majorEastAsia"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255526"/>
    <w:pPr>
      <w:keepNext/>
      <w:keepLines/>
      <w:numPr>
        <w:ilvl w:val="3"/>
        <w:numId w:val="3"/>
      </w:numPr>
      <w:spacing w:before="40" w:after="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55526"/>
    <w:pPr>
      <w:keepNext/>
      <w:keepLines/>
      <w:numPr>
        <w:ilvl w:val="4"/>
        <w:numId w:val="3"/>
      </w:numPr>
      <w:spacing w:before="40" w:after="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55526"/>
    <w:pPr>
      <w:keepNext/>
      <w:keepLines/>
      <w:numPr>
        <w:ilvl w:val="5"/>
        <w:numId w:val="3"/>
      </w:numPr>
      <w:spacing w:before="40" w:after="0"/>
      <w:outlineLvl w:val="5"/>
    </w:pPr>
    <w:rPr>
      <w:rFonts w:eastAsiaTheme="majorEastAsia" w:cstheme="majorBidi"/>
      <w:color w:val="1F4D78" w:themeColor="accent1" w:themeShade="7F"/>
    </w:rPr>
  </w:style>
  <w:style w:type="paragraph" w:styleId="Ttulo7">
    <w:name w:val="heading 7"/>
    <w:basedOn w:val="Normal"/>
    <w:next w:val="Normal"/>
    <w:link w:val="Ttulo7Car"/>
    <w:uiPriority w:val="9"/>
    <w:semiHidden/>
    <w:unhideWhenUsed/>
    <w:qFormat/>
    <w:rsid w:val="00255526"/>
    <w:pPr>
      <w:keepNext/>
      <w:keepLines/>
      <w:numPr>
        <w:ilvl w:val="6"/>
        <w:numId w:val="3"/>
      </w:numPr>
      <w:spacing w:before="40" w:after="0"/>
      <w:outlineLvl w:val="6"/>
    </w:pPr>
    <w:rPr>
      <w:rFonts w:eastAsiaTheme="majorEastAsia" w:cstheme="majorBidi"/>
      <w:i/>
      <w:iCs/>
      <w:color w:val="1F4D78" w:themeColor="accent1" w:themeShade="7F"/>
    </w:rPr>
  </w:style>
  <w:style w:type="paragraph" w:styleId="Ttulo8">
    <w:name w:val="heading 8"/>
    <w:basedOn w:val="Normal"/>
    <w:next w:val="Normal"/>
    <w:link w:val="Ttulo8Car"/>
    <w:uiPriority w:val="9"/>
    <w:semiHidden/>
    <w:unhideWhenUsed/>
    <w:qFormat/>
    <w:rsid w:val="00255526"/>
    <w:pPr>
      <w:keepNext/>
      <w:keepLines/>
      <w:numPr>
        <w:ilvl w:val="7"/>
        <w:numId w:val="3"/>
      </w:numPr>
      <w:spacing w:before="40" w:after="0"/>
      <w:outlineLvl w:val="7"/>
    </w:pPr>
    <w:rPr>
      <w:rFonts w:eastAsiaTheme="majorEastAsia"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55526"/>
    <w:pPr>
      <w:keepNext/>
      <w:keepLines/>
      <w:numPr>
        <w:ilvl w:val="8"/>
        <w:numId w:val="3"/>
      </w:numPr>
      <w:spacing w:before="40" w:after="0"/>
      <w:outlineLvl w:val="8"/>
    </w:pPr>
    <w:rPr>
      <w:rFonts w:eastAsiaTheme="majorEastAsia"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94414"/>
    <w:rPr>
      <w:rFonts w:asciiTheme="majorHAnsi" w:eastAsiaTheme="majorEastAsia" w:hAnsiTheme="majorHAnsi" w:cstheme="majorBidi"/>
      <w:b/>
      <w:color w:val="2E74B5" w:themeColor="accent1" w:themeShade="BF"/>
      <w:sz w:val="23"/>
      <w:szCs w:val="23"/>
    </w:rPr>
  </w:style>
  <w:style w:type="character" w:customStyle="1" w:styleId="Ttulo1Car">
    <w:name w:val="Título 1 Car"/>
    <w:basedOn w:val="Fuentedeprrafopredeter"/>
    <w:link w:val="Ttulo1"/>
    <w:uiPriority w:val="9"/>
    <w:rsid w:val="00255526"/>
    <w:rPr>
      <w:rFonts w:ascii="Arial" w:eastAsiaTheme="majorEastAsia" w:hAnsi="Arial" w:cs="Arial"/>
      <w:b/>
      <w:sz w:val="28"/>
      <w:szCs w:val="23"/>
    </w:rPr>
  </w:style>
  <w:style w:type="table" w:styleId="Tablaconcuadrcula">
    <w:name w:val="Table Grid"/>
    <w:basedOn w:val="Tablanormal"/>
    <w:uiPriority w:val="39"/>
    <w:rsid w:val="00997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997395"/>
    <w:pPr>
      <w:spacing w:line="300" w:lineRule="auto"/>
      <w:ind w:left="720"/>
      <w:contextualSpacing/>
    </w:pPr>
    <w:rPr>
      <w:rFonts w:ascii="Arial" w:hAnsi="Arial" w:cs="Arial"/>
      <w:sz w:val="23"/>
      <w:szCs w:val="23"/>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basedOn w:val="Fuentedeprrafopredeter"/>
    <w:link w:val="Prrafodelista"/>
    <w:uiPriority w:val="34"/>
    <w:qFormat/>
    <w:rsid w:val="00997395"/>
    <w:rPr>
      <w:rFonts w:ascii="Arial" w:hAnsi="Arial" w:cs="Arial"/>
      <w:sz w:val="23"/>
      <w:szCs w:val="23"/>
    </w:rPr>
  </w:style>
  <w:style w:type="character" w:customStyle="1" w:styleId="Ttulo3Car">
    <w:name w:val="Título 3 Car"/>
    <w:basedOn w:val="Fuentedeprrafopredeter"/>
    <w:link w:val="Ttulo3"/>
    <w:uiPriority w:val="9"/>
    <w:rsid w:val="00C62F53"/>
    <w:rPr>
      <w:rFonts w:asciiTheme="majorHAnsi" w:eastAsiaTheme="majorEastAsia" w:hAnsiTheme="majorHAnsi" w:cstheme="majorBidi"/>
      <w:color w:val="1F4D78" w:themeColor="accent1" w:themeShade="7F"/>
      <w:sz w:val="24"/>
      <w:szCs w:val="24"/>
    </w:rPr>
  </w:style>
  <w:style w:type="paragraph" w:customStyle="1" w:styleId="Puntos">
    <w:name w:val="Puntos"/>
    <w:basedOn w:val="Normal"/>
    <w:link w:val="PuntosCar"/>
    <w:qFormat/>
    <w:rsid w:val="001F01AE"/>
    <w:pPr>
      <w:spacing w:before="0" w:line="283" w:lineRule="auto"/>
      <w:ind w:left="624"/>
    </w:pPr>
    <w:rPr>
      <w:rFonts w:ascii="Arial" w:hAnsi="Arial" w:cs="Arial"/>
      <w:sz w:val="24"/>
      <w:szCs w:val="24"/>
    </w:rPr>
  </w:style>
  <w:style w:type="character" w:customStyle="1" w:styleId="PuntosCar">
    <w:name w:val="Puntos Car"/>
    <w:basedOn w:val="Fuentedeprrafopredeter"/>
    <w:link w:val="Puntos"/>
    <w:rsid w:val="001F01AE"/>
    <w:rPr>
      <w:rFonts w:ascii="Arial" w:hAnsi="Arial" w:cs="Arial"/>
      <w:sz w:val="24"/>
      <w:szCs w:val="24"/>
    </w:rPr>
  </w:style>
  <w:style w:type="paragraph" w:styleId="Encabezado">
    <w:name w:val="header"/>
    <w:basedOn w:val="Normal"/>
    <w:link w:val="EncabezadoCar"/>
    <w:uiPriority w:val="99"/>
    <w:unhideWhenUsed/>
    <w:rsid w:val="00FA6047"/>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A6047"/>
    <w:rPr>
      <w:rFonts w:asciiTheme="majorHAnsi" w:hAnsiTheme="majorHAnsi" w:cstheme="majorHAnsi"/>
    </w:rPr>
  </w:style>
  <w:style w:type="paragraph" w:styleId="Piedepgina">
    <w:name w:val="footer"/>
    <w:basedOn w:val="Normal"/>
    <w:link w:val="PiedepginaCar"/>
    <w:uiPriority w:val="99"/>
    <w:unhideWhenUsed/>
    <w:rsid w:val="00FA6047"/>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A6047"/>
    <w:rPr>
      <w:rFonts w:asciiTheme="majorHAnsi" w:hAnsiTheme="majorHAnsi" w:cstheme="majorHAnsi"/>
    </w:rPr>
  </w:style>
  <w:style w:type="character" w:customStyle="1" w:styleId="Ttulo4Car">
    <w:name w:val="Título 4 Car"/>
    <w:basedOn w:val="Fuentedeprrafopredeter"/>
    <w:link w:val="Ttulo4"/>
    <w:uiPriority w:val="9"/>
    <w:semiHidden/>
    <w:rsid w:val="00255526"/>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255526"/>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255526"/>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255526"/>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25552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55526"/>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1942E1"/>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4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11</Pages>
  <Words>3133</Words>
  <Characters>17235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29</cp:revision>
  <cp:lastPrinted>2023-11-30T21:08:00Z</cp:lastPrinted>
  <dcterms:created xsi:type="dcterms:W3CDTF">2023-11-24T18:14:00Z</dcterms:created>
  <dcterms:modified xsi:type="dcterms:W3CDTF">2023-11-30T21:09:00Z</dcterms:modified>
</cp:coreProperties>
</file>