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6D96" w14:textId="2B1B73BB" w:rsidR="00E67BE9" w:rsidRDefault="007E1C7C" w:rsidP="00A030B9">
      <w:pPr>
        <w:pStyle w:val="Ttulo"/>
        <w:spacing w:line="288" w:lineRule="auto"/>
        <w:rPr>
          <w:sz w:val="24"/>
          <w:szCs w:val="24"/>
        </w:rPr>
      </w:pPr>
      <w:r w:rsidRPr="00BF6A6B">
        <w:rPr>
          <w:sz w:val="24"/>
          <w:szCs w:val="24"/>
        </w:rPr>
        <w:t xml:space="preserve">ACUERDO QUE EMITE EL CONSEJO ESTATAL DEL INSTITUTO ELECTORAL Y DE PARTICIPACIÓN CIUDADANA DE TABASCO, MEDIANTE EL CUAL APRUEBA LOS LINEAMIENTOS PARA LA POSTULACIÓN DE CANDIDATURAS COMUNES </w:t>
      </w:r>
      <w:r>
        <w:rPr>
          <w:sz w:val="24"/>
          <w:szCs w:val="24"/>
        </w:rPr>
        <w:t>CON MOTIVO</w:t>
      </w:r>
      <w:r w:rsidRPr="00BF6A6B">
        <w:rPr>
          <w:sz w:val="24"/>
          <w:szCs w:val="24"/>
        </w:rPr>
        <w:t xml:space="preserve"> </w:t>
      </w:r>
      <w:r>
        <w:rPr>
          <w:sz w:val="24"/>
          <w:szCs w:val="24"/>
        </w:rPr>
        <w:t>D</w:t>
      </w:r>
      <w:r w:rsidRPr="00BF6A6B">
        <w:rPr>
          <w:sz w:val="24"/>
          <w:szCs w:val="24"/>
        </w:rPr>
        <w:t xml:space="preserve">EL PROCESO ELECTORAL LOCAL ORDINARIO 2023 </w:t>
      </w:r>
      <w:r>
        <w:rPr>
          <w:sz w:val="24"/>
          <w:szCs w:val="24"/>
        </w:rPr>
        <w:t>–</w:t>
      </w:r>
      <w:r w:rsidRPr="00BF6A6B">
        <w:rPr>
          <w:sz w:val="24"/>
          <w:szCs w:val="24"/>
        </w:rPr>
        <w:t xml:space="preserve"> 2024</w:t>
      </w:r>
    </w:p>
    <w:p w14:paraId="02CE8428" w14:textId="77777777" w:rsidR="005977B3" w:rsidRPr="005977B3" w:rsidRDefault="005977B3" w:rsidP="005977B3"/>
    <w:p w14:paraId="5BAC7FAE" w14:textId="5DBCB281" w:rsidR="00B106A6" w:rsidRPr="00BF6A6B" w:rsidRDefault="00B106A6" w:rsidP="00B106A6">
      <w:pPr>
        <w:spacing w:line="288" w:lineRule="auto"/>
        <w:rPr>
          <w:sz w:val="23"/>
          <w:szCs w:val="23"/>
        </w:rPr>
      </w:pPr>
      <w:r w:rsidRPr="00BF6A6B">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6567BA" w:rsidRPr="00BF6A6B" w14:paraId="1197E1FA" w14:textId="77777777" w:rsidTr="00E81481">
        <w:trPr>
          <w:trHeight w:val="624"/>
          <w:jc w:val="center"/>
        </w:trPr>
        <w:tc>
          <w:tcPr>
            <w:tcW w:w="2042" w:type="pct"/>
            <w:shd w:val="clear" w:color="auto" w:fill="auto"/>
            <w:vAlign w:val="center"/>
          </w:tcPr>
          <w:p w14:paraId="04EC49DE" w14:textId="77777777" w:rsidR="006567BA" w:rsidRPr="00BF6A6B" w:rsidRDefault="006567BA" w:rsidP="000A0507">
            <w:pPr>
              <w:spacing w:before="60" w:after="60" w:line="288" w:lineRule="auto"/>
              <w:ind w:left="57"/>
              <w:jc w:val="right"/>
              <w:rPr>
                <w:b/>
              </w:rPr>
            </w:pPr>
            <w:r w:rsidRPr="00BF6A6B">
              <w:rPr>
                <w:b/>
              </w:rPr>
              <w:t>Consejo Estatal:</w:t>
            </w:r>
          </w:p>
        </w:tc>
        <w:tc>
          <w:tcPr>
            <w:tcW w:w="2958" w:type="pct"/>
            <w:shd w:val="clear" w:color="auto" w:fill="auto"/>
            <w:vAlign w:val="center"/>
          </w:tcPr>
          <w:p w14:paraId="77DA6D16" w14:textId="77777777" w:rsidR="006567BA" w:rsidRPr="00BF6A6B" w:rsidRDefault="006567BA" w:rsidP="000A0507">
            <w:pPr>
              <w:spacing w:before="60" w:after="60" w:line="288" w:lineRule="auto"/>
              <w:ind w:left="57"/>
            </w:pPr>
            <w:r w:rsidRPr="00BF6A6B">
              <w:t>Consejo Estatal del Instituto Electoral y de Participación Ciudadana de Tabasco.</w:t>
            </w:r>
          </w:p>
        </w:tc>
      </w:tr>
      <w:tr w:rsidR="006567BA" w:rsidRPr="00BF6A6B" w14:paraId="0B984CDC" w14:textId="77777777" w:rsidTr="00E81481">
        <w:trPr>
          <w:trHeight w:val="624"/>
          <w:jc w:val="center"/>
        </w:trPr>
        <w:tc>
          <w:tcPr>
            <w:tcW w:w="2042" w:type="pct"/>
            <w:shd w:val="clear" w:color="auto" w:fill="auto"/>
            <w:vAlign w:val="center"/>
          </w:tcPr>
          <w:p w14:paraId="0AC4E667" w14:textId="77777777" w:rsidR="006567BA" w:rsidRPr="00BF6A6B" w:rsidRDefault="006567BA" w:rsidP="000A0507">
            <w:pPr>
              <w:spacing w:before="60" w:after="60" w:line="288" w:lineRule="auto"/>
              <w:ind w:left="57"/>
              <w:jc w:val="right"/>
              <w:rPr>
                <w:b/>
              </w:rPr>
            </w:pPr>
            <w:r w:rsidRPr="00BF6A6B">
              <w:rPr>
                <w:b/>
              </w:rPr>
              <w:t>Constitución Federal:</w:t>
            </w:r>
          </w:p>
        </w:tc>
        <w:tc>
          <w:tcPr>
            <w:tcW w:w="2958" w:type="pct"/>
            <w:shd w:val="clear" w:color="auto" w:fill="auto"/>
            <w:vAlign w:val="center"/>
          </w:tcPr>
          <w:p w14:paraId="3EC7A1D5" w14:textId="77777777" w:rsidR="006567BA" w:rsidRPr="00BF6A6B" w:rsidRDefault="006567BA" w:rsidP="000A0507">
            <w:pPr>
              <w:spacing w:before="60" w:after="60" w:line="288" w:lineRule="auto"/>
              <w:ind w:left="57"/>
            </w:pPr>
            <w:r w:rsidRPr="00BF6A6B">
              <w:t>Constitución Política de los Estados Unidos Mexicanos.</w:t>
            </w:r>
          </w:p>
        </w:tc>
      </w:tr>
      <w:tr w:rsidR="006567BA" w:rsidRPr="00BF6A6B" w14:paraId="0C5EC391" w14:textId="77777777" w:rsidTr="00E81481">
        <w:trPr>
          <w:trHeight w:val="624"/>
          <w:jc w:val="center"/>
        </w:trPr>
        <w:tc>
          <w:tcPr>
            <w:tcW w:w="2042" w:type="pct"/>
            <w:shd w:val="clear" w:color="auto" w:fill="auto"/>
            <w:vAlign w:val="center"/>
          </w:tcPr>
          <w:p w14:paraId="6CC95DA6" w14:textId="77777777" w:rsidR="006567BA" w:rsidRPr="00BF6A6B" w:rsidRDefault="006567BA" w:rsidP="000A0507">
            <w:pPr>
              <w:spacing w:before="60" w:after="60" w:line="288" w:lineRule="auto"/>
              <w:ind w:left="57"/>
              <w:jc w:val="right"/>
              <w:rPr>
                <w:b/>
              </w:rPr>
            </w:pPr>
            <w:r w:rsidRPr="00BF6A6B">
              <w:rPr>
                <w:b/>
              </w:rPr>
              <w:t>Constitución Local:</w:t>
            </w:r>
          </w:p>
        </w:tc>
        <w:tc>
          <w:tcPr>
            <w:tcW w:w="2958" w:type="pct"/>
            <w:shd w:val="clear" w:color="auto" w:fill="auto"/>
            <w:vAlign w:val="center"/>
          </w:tcPr>
          <w:p w14:paraId="041A9F52" w14:textId="77777777" w:rsidR="006567BA" w:rsidRPr="00BF6A6B" w:rsidRDefault="006567BA" w:rsidP="000A0507">
            <w:pPr>
              <w:spacing w:before="60" w:after="60" w:line="288" w:lineRule="auto"/>
              <w:ind w:left="57"/>
            </w:pPr>
            <w:r w:rsidRPr="00BF6A6B">
              <w:t>Constitución Política del Estado Libre y Soberano de Tabasco.</w:t>
            </w:r>
          </w:p>
        </w:tc>
      </w:tr>
      <w:tr w:rsidR="006567BA" w:rsidRPr="00BF6A6B" w14:paraId="5365E5D9" w14:textId="77777777" w:rsidTr="00E81481">
        <w:trPr>
          <w:trHeight w:val="624"/>
          <w:jc w:val="center"/>
        </w:trPr>
        <w:tc>
          <w:tcPr>
            <w:tcW w:w="2042" w:type="pct"/>
            <w:shd w:val="clear" w:color="auto" w:fill="auto"/>
            <w:vAlign w:val="center"/>
          </w:tcPr>
          <w:p w14:paraId="2A813CB0" w14:textId="77777777" w:rsidR="006567BA" w:rsidRPr="00BF6A6B" w:rsidRDefault="006567BA" w:rsidP="000A0507">
            <w:pPr>
              <w:spacing w:before="60" w:after="60" w:line="288" w:lineRule="auto"/>
              <w:ind w:left="57"/>
              <w:jc w:val="right"/>
              <w:rPr>
                <w:b/>
              </w:rPr>
            </w:pPr>
            <w:r w:rsidRPr="00BF6A6B">
              <w:rPr>
                <w:b/>
              </w:rPr>
              <w:t>INE:</w:t>
            </w:r>
          </w:p>
        </w:tc>
        <w:tc>
          <w:tcPr>
            <w:tcW w:w="2958" w:type="pct"/>
            <w:shd w:val="clear" w:color="auto" w:fill="auto"/>
            <w:vAlign w:val="center"/>
          </w:tcPr>
          <w:p w14:paraId="3B01E974" w14:textId="77777777" w:rsidR="006567BA" w:rsidRPr="00BF6A6B" w:rsidRDefault="006567BA" w:rsidP="000A0507">
            <w:pPr>
              <w:spacing w:before="60" w:after="60" w:line="288" w:lineRule="auto"/>
              <w:ind w:left="57"/>
            </w:pPr>
            <w:r w:rsidRPr="00BF6A6B">
              <w:t>Instituto Nacional Electoral.</w:t>
            </w:r>
          </w:p>
        </w:tc>
      </w:tr>
      <w:tr w:rsidR="006567BA" w:rsidRPr="00BF6A6B" w14:paraId="183015AF" w14:textId="77777777" w:rsidTr="00E81481">
        <w:trPr>
          <w:trHeight w:val="624"/>
          <w:jc w:val="center"/>
        </w:trPr>
        <w:tc>
          <w:tcPr>
            <w:tcW w:w="2042" w:type="pct"/>
            <w:shd w:val="clear" w:color="auto" w:fill="auto"/>
            <w:vAlign w:val="center"/>
          </w:tcPr>
          <w:p w14:paraId="072FA674" w14:textId="77777777" w:rsidR="006567BA" w:rsidRPr="00BF6A6B" w:rsidRDefault="006567BA" w:rsidP="00180DC5">
            <w:pPr>
              <w:spacing w:before="60" w:after="60" w:line="288" w:lineRule="auto"/>
              <w:ind w:left="57"/>
              <w:jc w:val="right"/>
              <w:rPr>
                <w:b/>
              </w:rPr>
            </w:pPr>
            <w:r w:rsidRPr="00BF6A6B">
              <w:rPr>
                <w:b/>
              </w:rPr>
              <w:t>Instituto:</w:t>
            </w:r>
          </w:p>
        </w:tc>
        <w:tc>
          <w:tcPr>
            <w:tcW w:w="2958" w:type="pct"/>
            <w:shd w:val="clear" w:color="auto" w:fill="auto"/>
          </w:tcPr>
          <w:p w14:paraId="4A1163D7" w14:textId="77777777" w:rsidR="006567BA" w:rsidRPr="00BF6A6B" w:rsidRDefault="006567BA" w:rsidP="000A0507">
            <w:pPr>
              <w:spacing w:before="60" w:after="60" w:line="288" w:lineRule="auto"/>
              <w:ind w:left="57"/>
            </w:pPr>
            <w:r w:rsidRPr="00BF6A6B">
              <w:t>Instituto Electoral y de Participación Ciudadana de Tabasco.</w:t>
            </w:r>
          </w:p>
        </w:tc>
      </w:tr>
      <w:tr w:rsidR="006567BA" w:rsidRPr="00BF6A6B" w14:paraId="3E3DBACC" w14:textId="77777777" w:rsidTr="00E81481">
        <w:trPr>
          <w:trHeight w:val="624"/>
          <w:jc w:val="center"/>
        </w:trPr>
        <w:tc>
          <w:tcPr>
            <w:tcW w:w="2042" w:type="pct"/>
            <w:shd w:val="clear" w:color="auto" w:fill="auto"/>
            <w:vAlign w:val="center"/>
          </w:tcPr>
          <w:p w14:paraId="07BCA79B" w14:textId="77777777" w:rsidR="006567BA" w:rsidRPr="00BF6A6B" w:rsidRDefault="006567BA" w:rsidP="000A0507">
            <w:pPr>
              <w:spacing w:before="60" w:after="60" w:line="288" w:lineRule="auto"/>
              <w:ind w:left="57"/>
              <w:jc w:val="right"/>
              <w:rPr>
                <w:b/>
              </w:rPr>
            </w:pPr>
            <w:r w:rsidRPr="00BF6A6B">
              <w:rPr>
                <w:b/>
              </w:rPr>
              <w:t>Ley Electoral:</w:t>
            </w:r>
          </w:p>
        </w:tc>
        <w:tc>
          <w:tcPr>
            <w:tcW w:w="2958" w:type="pct"/>
            <w:shd w:val="clear" w:color="auto" w:fill="auto"/>
            <w:vAlign w:val="center"/>
          </w:tcPr>
          <w:p w14:paraId="6B768E4B" w14:textId="77777777" w:rsidR="006567BA" w:rsidRPr="00BF6A6B" w:rsidRDefault="006567BA" w:rsidP="000A0507">
            <w:pPr>
              <w:spacing w:before="60" w:after="60" w:line="288" w:lineRule="auto"/>
              <w:ind w:left="57"/>
            </w:pPr>
            <w:r w:rsidRPr="00BF6A6B">
              <w:t>Ley Electoral y de Partidos Políticos del Estado de Tabasco.</w:t>
            </w:r>
          </w:p>
        </w:tc>
      </w:tr>
      <w:tr w:rsidR="006567BA" w:rsidRPr="00BF6A6B" w14:paraId="25D6F5EB" w14:textId="77777777" w:rsidTr="00E81481">
        <w:trPr>
          <w:trHeight w:val="624"/>
          <w:jc w:val="center"/>
        </w:trPr>
        <w:tc>
          <w:tcPr>
            <w:tcW w:w="2042" w:type="pct"/>
            <w:shd w:val="clear" w:color="auto" w:fill="auto"/>
            <w:vAlign w:val="center"/>
          </w:tcPr>
          <w:p w14:paraId="6133FF25" w14:textId="77777777" w:rsidR="006567BA" w:rsidRPr="00BF6A6B" w:rsidRDefault="006567BA" w:rsidP="000A0507">
            <w:pPr>
              <w:spacing w:before="60" w:after="60" w:line="288" w:lineRule="auto"/>
              <w:ind w:left="57"/>
              <w:jc w:val="right"/>
              <w:rPr>
                <w:b/>
              </w:rPr>
            </w:pPr>
            <w:r w:rsidRPr="00BF6A6B">
              <w:rPr>
                <w:b/>
              </w:rPr>
              <w:t>Ley General:</w:t>
            </w:r>
          </w:p>
        </w:tc>
        <w:tc>
          <w:tcPr>
            <w:tcW w:w="2958" w:type="pct"/>
            <w:shd w:val="clear" w:color="auto" w:fill="auto"/>
            <w:vAlign w:val="center"/>
          </w:tcPr>
          <w:p w14:paraId="22D022E2" w14:textId="77777777" w:rsidR="006567BA" w:rsidRPr="00BF6A6B" w:rsidRDefault="006567BA" w:rsidP="000A0507">
            <w:pPr>
              <w:spacing w:before="60" w:after="60" w:line="288" w:lineRule="auto"/>
              <w:ind w:left="57"/>
            </w:pPr>
            <w:r w:rsidRPr="00BF6A6B">
              <w:t>Ley General de Instituciones y Procedimientos Electorales.</w:t>
            </w:r>
          </w:p>
        </w:tc>
      </w:tr>
      <w:tr w:rsidR="006567BA" w:rsidRPr="00BF6A6B" w14:paraId="5D8AB179" w14:textId="77777777" w:rsidTr="00E81481">
        <w:trPr>
          <w:trHeight w:val="624"/>
          <w:jc w:val="center"/>
        </w:trPr>
        <w:tc>
          <w:tcPr>
            <w:tcW w:w="2042" w:type="pct"/>
            <w:shd w:val="clear" w:color="auto" w:fill="auto"/>
            <w:vAlign w:val="center"/>
          </w:tcPr>
          <w:p w14:paraId="42A50C97" w14:textId="338359FD" w:rsidR="006567BA" w:rsidRPr="00BF6A6B" w:rsidRDefault="006567BA" w:rsidP="000A0507">
            <w:pPr>
              <w:spacing w:before="60" w:after="60" w:line="288" w:lineRule="auto"/>
              <w:ind w:left="57"/>
              <w:jc w:val="right"/>
              <w:rPr>
                <w:b/>
              </w:rPr>
            </w:pPr>
            <w:r w:rsidRPr="00BF6A6B">
              <w:rPr>
                <w:b/>
              </w:rPr>
              <w:t xml:space="preserve">Organismo </w:t>
            </w:r>
            <w:r w:rsidR="00465BE1">
              <w:rPr>
                <w:b/>
              </w:rPr>
              <w:t>E</w:t>
            </w:r>
            <w:r w:rsidRPr="00BF6A6B">
              <w:rPr>
                <w:b/>
              </w:rPr>
              <w:t>lectoral:</w:t>
            </w:r>
          </w:p>
        </w:tc>
        <w:tc>
          <w:tcPr>
            <w:tcW w:w="2958" w:type="pct"/>
            <w:shd w:val="clear" w:color="auto" w:fill="auto"/>
            <w:vAlign w:val="center"/>
          </w:tcPr>
          <w:p w14:paraId="50E0DCFD" w14:textId="77777777" w:rsidR="006567BA" w:rsidRPr="00BF6A6B" w:rsidRDefault="006567BA" w:rsidP="000A0507">
            <w:pPr>
              <w:spacing w:before="60" w:after="60" w:line="288" w:lineRule="auto"/>
              <w:ind w:left="57"/>
            </w:pPr>
            <w:r w:rsidRPr="00BF6A6B">
              <w:t xml:space="preserve">Organismo(s) público(s) local(es) electoral(es). </w:t>
            </w:r>
          </w:p>
        </w:tc>
      </w:tr>
      <w:tr w:rsidR="006567BA" w:rsidRPr="00BF6A6B" w14:paraId="2A4BDF04" w14:textId="77777777" w:rsidTr="00E81481">
        <w:trPr>
          <w:trHeight w:val="624"/>
          <w:jc w:val="center"/>
        </w:trPr>
        <w:tc>
          <w:tcPr>
            <w:tcW w:w="2042" w:type="pct"/>
            <w:shd w:val="clear" w:color="auto" w:fill="auto"/>
            <w:vAlign w:val="center"/>
          </w:tcPr>
          <w:p w14:paraId="2CC74773" w14:textId="77777777" w:rsidR="006567BA" w:rsidRPr="00BF6A6B" w:rsidRDefault="006567BA" w:rsidP="000A0507">
            <w:pPr>
              <w:spacing w:before="60" w:after="60" w:line="288" w:lineRule="auto"/>
              <w:ind w:left="57"/>
              <w:jc w:val="right"/>
              <w:rPr>
                <w:b/>
              </w:rPr>
            </w:pPr>
            <w:r w:rsidRPr="00BF6A6B">
              <w:rPr>
                <w:b/>
              </w:rPr>
              <w:t>Reglamento de Elecciones:</w:t>
            </w:r>
          </w:p>
        </w:tc>
        <w:tc>
          <w:tcPr>
            <w:tcW w:w="2958" w:type="pct"/>
            <w:shd w:val="clear" w:color="auto" w:fill="auto"/>
            <w:vAlign w:val="center"/>
          </w:tcPr>
          <w:p w14:paraId="740CCE1B" w14:textId="77777777" w:rsidR="006567BA" w:rsidRPr="00BF6A6B" w:rsidRDefault="006567BA" w:rsidP="000A0507">
            <w:pPr>
              <w:spacing w:before="60" w:after="60" w:line="288" w:lineRule="auto"/>
              <w:ind w:left="57"/>
            </w:pPr>
            <w:r w:rsidRPr="00BF6A6B">
              <w:t>Reglamento de Elecciones del Instituto Nacional Electoral.</w:t>
            </w:r>
          </w:p>
        </w:tc>
      </w:tr>
      <w:tr w:rsidR="006567BA" w:rsidRPr="00BF6A6B" w14:paraId="490DDF70" w14:textId="77777777" w:rsidTr="00E81481">
        <w:trPr>
          <w:trHeight w:val="624"/>
          <w:jc w:val="center"/>
        </w:trPr>
        <w:tc>
          <w:tcPr>
            <w:tcW w:w="2042" w:type="pct"/>
            <w:shd w:val="clear" w:color="auto" w:fill="auto"/>
            <w:vAlign w:val="center"/>
          </w:tcPr>
          <w:p w14:paraId="3BB76403" w14:textId="77777777" w:rsidR="006567BA" w:rsidRPr="00BF6A6B" w:rsidRDefault="006567BA" w:rsidP="000A0507">
            <w:pPr>
              <w:spacing w:before="60" w:after="60" w:line="288" w:lineRule="auto"/>
              <w:ind w:left="57"/>
              <w:jc w:val="right"/>
              <w:rPr>
                <w:b/>
              </w:rPr>
            </w:pPr>
            <w:r>
              <w:rPr>
                <w:b/>
              </w:rPr>
              <w:t>Sala Superior:</w:t>
            </w:r>
          </w:p>
        </w:tc>
        <w:tc>
          <w:tcPr>
            <w:tcW w:w="2958" w:type="pct"/>
            <w:shd w:val="clear" w:color="auto" w:fill="auto"/>
            <w:vAlign w:val="center"/>
          </w:tcPr>
          <w:p w14:paraId="05848C7A" w14:textId="77777777" w:rsidR="006567BA" w:rsidRPr="00BF6A6B" w:rsidRDefault="006567BA" w:rsidP="000A0507">
            <w:pPr>
              <w:spacing w:before="60" w:after="60" w:line="288" w:lineRule="auto"/>
              <w:ind w:left="57"/>
            </w:pPr>
            <w:r>
              <w:t>Sala Superior del Tribunal Electoral del Poder Judicial de la Federación.</w:t>
            </w:r>
          </w:p>
        </w:tc>
      </w:tr>
      <w:tr w:rsidR="006567BA" w:rsidRPr="00BF6A6B" w14:paraId="5195C744" w14:textId="77777777" w:rsidTr="00E81481">
        <w:trPr>
          <w:trHeight w:val="624"/>
          <w:jc w:val="center"/>
        </w:trPr>
        <w:tc>
          <w:tcPr>
            <w:tcW w:w="2042" w:type="pct"/>
            <w:shd w:val="clear" w:color="auto" w:fill="auto"/>
            <w:vAlign w:val="center"/>
          </w:tcPr>
          <w:p w14:paraId="3441B197" w14:textId="77777777" w:rsidR="006567BA" w:rsidRPr="00BF6A6B" w:rsidRDefault="006567BA" w:rsidP="000A0507">
            <w:pPr>
              <w:spacing w:before="60" w:after="60" w:line="288" w:lineRule="auto"/>
              <w:ind w:left="57"/>
              <w:jc w:val="right"/>
              <w:rPr>
                <w:b/>
              </w:rPr>
            </w:pPr>
            <w:r w:rsidRPr="00BF6A6B">
              <w:rPr>
                <w:b/>
              </w:rPr>
              <w:t>Secretaría Ejecutiva:</w:t>
            </w:r>
          </w:p>
        </w:tc>
        <w:tc>
          <w:tcPr>
            <w:tcW w:w="2958" w:type="pct"/>
            <w:shd w:val="clear" w:color="auto" w:fill="auto"/>
            <w:vAlign w:val="center"/>
          </w:tcPr>
          <w:p w14:paraId="5746C8E4" w14:textId="77777777" w:rsidR="006567BA" w:rsidRPr="00BF6A6B" w:rsidRDefault="006567BA" w:rsidP="000A0507">
            <w:pPr>
              <w:spacing w:before="60" w:after="60" w:line="288" w:lineRule="auto"/>
              <w:ind w:left="57"/>
            </w:pPr>
            <w:r w:rsidRPr="00BF6A6B">
              <w:t>Secretaría Ejecutiva del Instituto Electoral y de Participación Ciudadana de Tabasco.</w:t>
            </w:r>
          </w:p>
        </w:tc>
      </w:tr>
    </w:tbl>
    <w:p w14:paraId="295D96A8" w14:textId="5FA9F028" w:rsidR="0004782D" w:rsidRPr="007E1C7C" w:rsidRDefault="0004782D" w:rsidP="00BF6A6B">
      <w:pPr>
        <w:pStyle w:val="Ttulo1"/>
        <w:rPr>
          <w:sz w:val="24"/>
          <w:szCs w:val="24"/>
        </w:rPr>
      </w:pPr>
      <w:r w:rsidRPr="007E1C7C">
        <w:rPr>
          <w:sz w:val="24"/>
          <w:szCs w:val="24"/>
        </w:rPr>
        <w:lastRenderedPageBreak/>
        <w:t>Antecedentes</w:t>
      </w:r>
    </w:p>
    <w:p w14:paraId="08212774" w14:textId="77777777" w:rsidR="0052172D" w:rsidRPr="007E1C7C" w:rsidRDefault="0052172D" w:rsidP="00BF6A6B">
      <w:pPr>
        <w:pStyle w:val="Ttulo2"/>
        <w:rPr>
          <w:sz w:val="23"/>
          <w:szCs w:val="23"/>
        </w:rPr>
      </w:pPr>
      <w:proofErr w:type="spellStart"/>
      <w:r w:rsidRPr="007E1C7C">
        <w:rPr>
          <w:sz w:val="23"/>
          <w:szCs w:val="23"/>
        </w:rPr>
        <w:t>Distritación</w:t>
      </w:r>
      <w:proofErr w:type="spellEnd"/>
      <w:r w:rsidRPr="007E1C7C">
        <w:rPr>
          <w:sz w:val="23"/>
          <w:szCs w:val="23"/>
        </w:rPr>
        <w:t xml:space="preserve"> Electoral</w:t>
      </w:r>
    </w:p>
    <w:p w14:paraId="7AF34A81" w14:textId="017198AB" w:rsidR="0052172D" w:rsidRPr="007E1C7C" w:rsidRDefault="0052172D" w:rsidP="0052172D">
      <w:pPr>
        <w:spacing w:line="312" w:lineRule="auto"/>
        <w:rPr>
          <w:sz w:val="23"/>
          <w:szCs w:val="23"/>
        </w:rPr>
      </w:pPr>
      <w:r w:rsidRPr="007E1C7C">
        <w:rPr>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627E2DFF" w14:textId="77777777" w:rsidR="0052172D" w:rsidRPr="007E1C7C" w:rsidRDefault="0052172D" w:rsidP="00BF6A6B">
      <w:pPr>
        <w:pStyle w:val="Ttulo2"/>
        <w:rPr>
          <w:sz w:val="23"/>
          <w:szCs w:val="23"/>
        </w:rPr>
      </w:pPr>
      <w:r w:rsidRPr="007E1C7C">
        <w:rPr>
          <w:sz w:val="23"/>
          <w:szCs w:val="23"/>
        </w:rPr>
        <w:t>Homologación de plazos y fechas en los Procesos Electorales Locales Concurrentes</w:t>
      </w:r>
    </w:p>
    <w:p w14:paraId="1DB788A6" w14:textId="77777777" w:rsidR="0052172D" w:rsidRPr="007E1C7C" w:rsidRDefault="0052172D" w:rsidP="0052172D">
      <w:pPr>
        <w:spacing w:line="312" w:lineRule="auto"/>
        <w:rPr>
          <w:sz w:val="23"/>
          <w:szCs w:val="23"/>
        </w:rPr>
      </w:pPr>
      <w:r w:rsidRPr="007E1C7C">
        <w:rPr>
          <w:sz w:val="23"/>
          <w:szCs w:val="23"/>
        </w:rPr>
        <w:t>El 20 de julio de la presente anualidad,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315158D3" w14:textId="343E2B09" w:rsidR="00B51FD9" w:rsidRPr="007E1C7C" w:rsidRDefault="00B51FD9" w:rsidP="00BF6A6B">
      <w:pPr>
        <w:pStyle w:val="Ttulo2"/>
        <w:rPr>
          <w:sz w:val="23"/>
          <w:szCs w:val="23"/>
        </w:rPr>
      </w:pPr>
      <w:r w:rsidRPr="007E1C7C">
        <w:rPr>
          <w:sz w:val="23"/>
          <w:szCs w:val="23"/>
        </w:rPr>
        <w:t>Inicio del Proceso Electoral</w:t>
      </w:r>
    </w:p>
    <w:p w14:paraId="18C9651B" w14:textId="77777777" w:rsidR="00B51FD9" w:rsidRPr="007E1C7C" w:rsidRDefault="00B51FD9" w:rsidP="00164F4D">
      <w:pPr>
        <w:rPr>
          <w:sz w:val="23"/>
          <w:szCs w:val="23"/>
        </w:rPr>
      </w:pPr>
      <w:r w:rsidRPr="007E1C7C">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74A1D549" w14:textId="77777777" w:rsidR="00740B50" w:rsidRPr="007E1C7C" w:rsidRDefault="00740B50" w:rsidP="00BF6A6B">
      <w:pPr>
        <w:pStyle w:val="Ttulo1"/>
        <w:rPr>
          <w:sz w:val="24"/>
          <w:szCs w:val="24"/>
        </w:rPr>
      </w:pPr>
      <w:r w:rsidRPr="007E1C7C">
        <w:rPr>
          <w:sz w:val="24"/>
          <w:szCs w:val="24"/>
        </w:rPr>
        <w:t>Considerando</w:t>
      </w:r>
    </w:p>
    <w:p w14:paraId="7F8052D8" w14:textId="0AA2D1F0" w:rsidR="00740B50" w:rsidRPr="007E1C7C" w:rsidRDefault="00740B50" w:rsidP="00BF6A6B">
      <w:pPr>
        <w:pStyle w:val="Ttulo2"/>
        <w:rPr>
          <w:sz w:val="23"/>
          <w:szCs w:val="23"/>
        </w:rPr>
      </w:pPr>
      <w:r w:rsidRPr="007E1C7C">
        <w:rPr>
          <w:sz w:val="23"/>
          <w:szCs w:val="23"/>
        </w:rPr>
        <w:t xml:space="preserve">Fines del Instituto </w:t>
      </w:r>
    </w:p>
    <w:p w14:paraId="78F71616" w14:textId="29A60F2B" w:rsidR="00740B50" w:rsidRPr="007E1C7C" w:rsidRDefault="00740B50" w:rsidP="00164F4D">
      <w:pPr>
        <w:rPr>
          <w:sz w:val="23"/>
          <w:szCs w:val="23"/>
        </w:rPr>
      </w:pPr>
      <w:r w:rsidRPr="007E1C7C">
        <w:rPr>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w:t>
      </w:r>
      <w:r w:rsidRPr="007E1C7C">
        <w:rPr>
          <w:sz w:val="23"/>
          <w:szCs w:val="23"/>
        </w:rPr>
        <w:lastRenderedPageBreak/>
        <w:t>inclusión, imparcialidad, máxima publicidad, transparencia, rendición de cuentas, objetividad, paridad, interculturalidad y las realizarán con perspectiva de género y enfoque de derechos humanos.</w:t>
      </w:r>
    </w:p>
    <w:p w14:paraId="3A17404E" w14:textId="05E5CF46" w:rsidR="00740B50" w:rsidRPr="007E1C7C" w:rsidRDefault="00740B50" w:rsidP="00164F4D">
      <w:pPr>
        <w:rPr>
          <w:sz w:val="23"/>
          <w:szCs w:val="23"/>
        </w:rPr>
      </w:pPr>
      <w:r w:rsidRPr="007E1C7C">
        <w:rPr>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D37FAC" w:rsidRPr="007E1C7C">
        <w:rPr>
          <w:sz w:val="23"/>
          <w:szCs w:val="23"/>
        </w:rPr>
        <w:t>A</w:t>
      </w:r>
      <w:r w:rsidRPr="007E1C7C">
        <w:rPr>
          <w:sz w:val="23"/>
          <w:szCs w:val="23"/>
        </w:rPr>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7E49F2AC" w:rsidR="00740B50" w:rsidRPr="007E1C7C" w:rsidRDefault="00740B50" w:rsidP="00BF6A6B">
      <w:pPr>
        <w:pStyle w:val="Ttulo2"/>
        <w:rPr>
          <w:sz w:val="23"/>
          <w:szCs w:val="23"/>
        </w:rPr>
      </w:pPr>
      <w:r w:rsidRPr="007E1C7C">
        <w:rPr>
          <w:sz w:val="23"/>
          <w:szCs w:val="23"/>
        </w:rPr>
        <w:t xml:space="preserve">Órganos Centrales del Instituto </w:t>
      </w:r>
    </w:p>
    <w:p w14:paraId="1CE6FE70" w14:textId="32D17C17" w:rsidR="00740B50" w:rsidRPr="007E1C7C" w:rsidRDefault="00740B50" w:rsidP="00164F4D">
      <w:pPr>
        <w:rPr>
          <w:sz w:val="23"/>
          <w:szCs w:val="23"/>
        </w:rPr>
      </w:pPr>
      <w:r w:rsidRPr="007E1C7C">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4BBCDB3" w14:textId="796E4A57" w:rsidR="00740B50" w:rsidRPr="007E1C7C" w:rsidRDefault="00740B50" w:rsidP="00BF6A6B">
      <w:pPr>
        <w:pStyle w:val="Ttulo2"/>
        <w:rPr>
          <w:sz w:val="23"/>
          <w:szCs w:val="23"/>
        </w:rPr>
      </w:pPr>
      <w:r w:rsidRPr="007E1C7C">
        <w:rPr>
          <w:sz w:val="23"/>
          <w:szCs w:val="23"/>
        </w:rPr>
        <w:t xml:space="preserve">Órgano Superior de Dirección del Instituto </w:t>
      </w:r>
    </w:p>
    <w:p w14:paraId="13CF4304" w14:textId="55B93887" w:rsidR="00740B50" w:rsidRPr="007E1C7C" w:rsidRDefault="00740B50" w:rsidP="00164F4D">
      <w:pPr>
        <w:rPr>
          <w:sz w:val="23"/>
          <w:szCs w:val="23"/>
        </w:rPr>
      </w:pPr>
      <w:r w:rsidRPr="007E1C7C">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B202170" w14:textId="77777777" w:rsidR="00740B50" w:rsidRPr="007E1C7C" w:rsidRDefault="00740B50" w:rsidP="00BF6A6B">
      <w:pPr>
        <w:pStyle w:val="Ttulo2"/>
        <w:rPr>
          <w:sz w:val="23"/>
          <w:szCs w:val="23"/>
        </w:rPr>
      </w:pPr>
      <w:r w:rsidRPr="007E1C7C">
        <w:rPr>
          <w:sz w:val="23"/>
          <w:szCs w:val="23"/>
        </w:rPr>
        <w:t>Integración del Órgano de Dirección Superior</w:t>
      </w:r>
    </w:p>
    <w:p w14:paraId="3AAF98EF" w14:textId="77777777" w:rsidR="00740B50" w:rsidRPr="007E1C7C" w:rsidRDefault="00740B50" w:rsidP="00164F4D">
      <w:pPr>
        <w:rPr>
          <w:sz w:val="23"/>
          <w:szCs w:val="23"/>
        </w:rPr>
      </w:pPr>
      <w:r w:rsidRPr="007E1C7C">
        <w:rPr>
          <w:sz w:val="23"/>
          <w:szCs w:val="23"/>
        </w:rPr>
        <w:t xml:space="preserve">Que, los artículos 99 de la Ley General y 107, numeral 1 de la Ley Electoral, disponen que el Consejo Estatal se integrará por una Consejera o un Consejero Presidente y seis </w:t>
      </w:r>
      <w:r w:rsidRPr="007E1C7C">
        <w:rPr>
          <w:sz w:val="23"/>
          <w:szCs w:val="23"/>
        </w:rPr>
        <w:lastRenderedPageBreak/>
        <w:t>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7E1C7C" w:rsidRDefault="00740B50" w:rsidP="00BF6A6B">
      <w:pPr>
        <w:pStyle w:val="Ttulo2"/>
        <w:rPr>
          <w:sz w:val="23"/>
          <w:szCs w:val="23"/>
        </w:rPr>
      </w:pPr>
      <w:r w:rsidRPr="007E1C7C">
        <w:rPr>
          <w:sz w:val="23"/>
          <w:szCs w:val="23"/>
        </w:rPr>
        <w:t xml:space="preserve">Competencia del Consejo Estatal </w:t>
      </w:r>
    </w:p>
    <w:p w14:paraId="2F921C49" w14:textId="5AF579D7" w:rsidR="00270BC2" w:rsidRPr="007E1C7C" w:rsidRDefault="00740B50" w:rsidP="00164F4D">
      <w:pPr>
        <w:rPr>
          <w:sz w:val="23"/>
          <w:szCs w:val="23"/>
        </w:rPr>
      </w:pPr>
      <w:r w:rsidRPr="007E1C7C">
        <w:rPr>
          <w:sz w:val="23"/>
          <w:szCs w:val="23"/>
        </w:rPr>
        <w:t xml:space="preserve">Que, de conformidad con </w:t>
      </w:r>
      <w:r w:rsidR="00C01498" w:rsidRPr="007E1C7C">
        <w:rPr>
          <w:sz w:val="23"/>
          <w:szCs w:val="23"/>
        </w:rPr>
        <w:t>el artículo 115, numeral 1, fracciones I, II</w:t>
      </w:r>
      <w:r w:rsidR="00270BC2" w:rsidRPr="007E1C7C">
        <w:rPr>
          <w:sz w:val="23"/>
          <w:szCs w:val="23"/>
        </w:rPr>
        <w:t xml:space="preserve">, </w:t>
      </w:r>
      <w:r w:rsidR="00C01498" w:rsidRPr="007E1C7C">
        <w:rPr>
          <w:sz w:val="23"/>
          <w:szCs w:val="23"/>
        </w:rPr>
        <w:t>XV</w:t>
      </w:r>
      <w:r w:rsidR="008F0665" w:rsidRPr="007E1C7C">
        <w:rPr>
          <w:sz w:val="23"/>
          <w:szCs w:val="23"/>
        </w:rPr>
        <w:t xml:space="preserve"> </w:t>
      </w:r>
      <w:r w:rsidR="00270BC2" w:rsidRPr="007E1C7C">
        <w:rPr>
          <w:sz w:val="23"/>
          <w:szCs w:val="23"/>
        </w:rPr>
        <w:t xml:space="preserve">y XVII </w:t>
      </w:r>
      <w:r w:rsidR="008F0665" w:rsidRPr="007E1C7C">
        <w:rPr>
          <w:sz w:val="23"/>
          <w:szCs w:val="23"/>
        </w:rPr>
        <w:t>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w:t>
      </w:r>
      <w:r w:rsidR="00270BC2" w:rsidRPr="007E1C7C">
        <w:rPr>
          <w:sz w:val="23"/>
          <w:szCs w:val="23"/>
        </w:rPr>
        <w:t>;</w:t>
      </w:r>
      <w:r w:rsidR="008F0665" w:rsidRPr="007E1C7C">
        <w:rPr>
          <w:sz w:val="23"/>
          <w:szCs w:val="23"/>
        </w:rPr>
        <w:t xml:space="preserve"> llevar a cabo las actividades necesarias para la preparación de la jornada electoral</w:t>
      </w:r>
      <w:r w:rsidR="00270BC2" w:rsidRPr="007E1C7C">
        <w:rPr>
          <w:sz w:val="23"/>
          <w:szCs w:val="23"/>
        </w:rPr>
        <w:t xml:space="preserve"> y aprobar los convenios y los documentos técnicos respectivos en materia de Registro Federal de Electores y los productos derivados, que se formulen con el INE para el desarrollo de los procesos electorales y de participación ciudadana locales; así como en lo relativo al acceso de los partidos políticos, las candidatas y candidatos y las autoridades electorales locales a los tiempos en radio y televisión conforme a lo indicado en la Constitución Federal, las leyes generales y demás ordenamientos jurídicos aplicables</w:t>
      </w:r>
    </w:p>
    <w:p w14:paraId="5E463F78" w14:textId="153BB0F6" w:rsidR="00740B50" w:rsidRPr="007E1C7C" w:rsidRDefault="00740B50" w:rsidP="00164F4D">
      <w:pPr>
        <w:rPr>
          <w:sz w:val="23"/>
          <w:szCs w:val="23"/>
        </w:rPr>
      </w:pPr>
      <w:r w:rsidRPr="007E1C7C">
        <w:rPr>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FD07CD5" w14:textId="77777777" w:rsidR="00BE4BE9" w:rsidRPr="007E1C7C" w:rsidRDefault="00BE4BE9" w:rsidP="00BF6A6B">
      <w:pPr>
        <w:pStyle w:val="Ttulo2"/>
        <w:rPr>
          <w:sz w:val="23"/>
          <w:szCs w:val="23"/>
        </w:rPr>
      </w:pPr>
      <w:r w:rsidRPr="007E1C7C">
        <w:rPr>
          <w:sz w:val="23"/>
          <w:szCs w:val="23"/>
        </w:rPr>
        <w:t>Fines de los partidos políticos</w:t>
      </w:r>
    </w:p>
    <w:p w14:paraId="0C51D0EC" w14:textId="77777777" w:rsidR="00BE4BE9" w:rsidRPr="007E1C7C" w:rsidRDefault="00BE4BE9" w:rsidP="00BE4BE9">
      <w:pPr>
        <w:rPr>
          <w:sz w:val="23"/>
          <w:szCs w:val="23"/>
        </w:rPr>
      </w:pPr>
      <w:r w:rsidRPr="007E1C7C">
        <w:rPr>
          <w:sz w:val="23"/>
          <w:szCs w:val="23"/>
        </w:rPr>
        <w:t xml:space="preserve">Que, de conformidad con los artículos 41, base I de la Constitución Federal, 9 apartado “A”, fracción I, párrafo segundo de la Constitución Local, 3, numeral 1 de la Ley de Partidos y 33 numeral 4, de la Ley Electoral, los partidos políticos son entidades de interés público que tienen como fin promover la participación del pueblo en la vida democrática, fomentar el principio de paridad de género, contribuir a la integración de los órganos de representación política, y como organizaciones ciudadanas, hacer posible su acceso al </w:t>
      </w:r>
      <w:r w:rsidRPr="007E1C7C">
        <w:rPr>
          <w:sz w:val="23"/>
          <w:szCs w:val="23"/>
        </w:rPr>
        <w:lastRenderedPageBreak/>
        <w:t>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p>
    <w:p w14:paraId="39C8A389" w14:textId="3C09D5EB" w:rsidR="00BE4BE9" w:rsidRPr="007E1C7C" w:rsidRDefault="00BE4BE9" w:rsidP="00BE4BE9">
      <w:pPr>
        <w:rPr>
          <w:sz w:val="23"/>
          <w:szCs w:val="23"/>
        </w:rPr>
      </w:pPr>
      <w:r w:rsidRPr="007E1C7C">
        <w:rPr>
          <w:sz w:val="23"/>
          <w:szCs w:val="23"/>
        </w:rPr>
        <w:t xml:space="preserve">Además, conforme a lo dispuesto en la Base I del artículo 41 de la Constitución Federal y 23 numeral 1, inciso b) de la Ley </w:t>
      </w:r>
      <w:r w:rsidR="004E1C1B" w:rsidRPr="007E1C7C">
        <w:rPr>
          <w:sz w:val="23"/>
          <w:szCs w:val="23"/>
        </w:rPr>
        <w:t>de Partidos</w:t>
      </w:r>
      <w:r w:rsidRPr="007E1C7C">
        <w:rPr>
          <w:sz w:val="23"/>
          <w:szCs w:val="23"/>
        </w:rPr>
        <w:t>, los partidos políticos nacionales tendrán derecho a participar en las elecciones de las entidades federativas y municipales.</w:t>
      </w:r>
    </w:p>
    <w:p w14:paraId="54F38362" w14:textId="3E9B8A9A" w:rsidR="007930C7" w:rsidRPr="007E1C7C" w:rsidRDefault="00BE4BE9" w:rsidP="00BF6A6B">
      <w:pPr>
        <w:pStyle w:val="Ttulo2"/>
        <w:rPr>
          <w:sz w:val="23"/>
          <w:szCs w:val="23"/>
        </w:rPr>
      </w:pPr>
      <w:r w:rsidRPr="007E1C7C">
        <w:rPr>
          <w:sz w:val="23"/>
          <w:szCs w:val="23"/>
        </w:rPr>
        <w:t>Formas de asociación de los partidos políticos</w:t>
      </w:r>
    </w:p>
    <w:p w14:paraId="22993656" w14:textId="51796888" w:rsidR="00BE4BE9" w:rsidRPr="007E1C7C" w:rsidRDefault="00BE4BE9" w:rsidP="00BE4BE9">
      <w:pPr>
        <w:rPr>
          <w:sz w:val="23"/>
          <w:szCs w:val="23"/>
        </w:rPr>
      </w:pPr>
      <w:r w:rsidRPr="007E1C7C">
        <w:rPr>
          <w:sz w:val="23"/>
          <w:szCs w:val="23"/>
        </w:rPr>
        <w:t>Que, el artículo 85 numerales 1 y 2 de la Ley de Partidos, establece que éstos podrán constituir frentes, para alcanzar objetivos políticos y sociales compartidos de índole no electoral, mediante acciones y estrategias específicas y comunes. Asimismo, para fines electorales, podrán formar coaliciones para postular a las o los mismos candidatos en las elecciones federales, siempre que cumplan con los requisitos establecidos en esta Ley.</w:t>
      </w:r>
    </w:p>
    <w:p w14:paraId="73B407C5" w14:textId="78C1A503" w:rsidR="00BE4BE9" w:rsidRPr="007E1C7C" w:rsidRDefault="00BE4BE9" w:rsidP="00BE4BE9">
      <w:pPr>
        <w:rPr>
          <w:sz w:val="23"/>
          <w:szCs w:val="23"/>
        </w:rPr>
      </w:pPr>
      <w:r w:rsidRPr="007E1C7C">
        <w:rPr>
          <w:sz w:val="23"/>
          <w:szCs w:val="23"/>
        </w:rPr>
        <w:t xml:space="preserve">Adicionalmente, el numeral 5 del artículo en cita, señala la facultad de las entidades federativas de establecer en sus Constituciones Locales otras formas de participación o asociación de los partidos políticos con el fin de postular </w:t>
      </w:r>
      <w:r w:rsidR="005630A5" w:rsidRPr="007E1C7C">
        <w:rPr>
          <w:sz w:val="23"/>
          <w:szCs w:val="23"/>
        </w:rPr>
        <w:t>candidaturas.</w:t>
      </w:r>
    </w:p>
    <w:p w14:paraId="1F91342C" w14:textId="772326F8" w:rsidR="00BE4BE9" w:rsidRPr="007E1C7C" w:rsidRDefault="00F07FF5" w:rsidP="00BF6A6B">
      <w:pPr>
        <w:pStyle w:val="Ttulo2"/>
        <w:rPr>
          <w:sz w:val="23"/>
          <w:szCs w:val="23"/>
        </w:rPr>
      </w:pPr>
      <w:r w:rsidRPr="007E1C7C">
        <w:rPr>
          <w:sz w:val="23"/>
          <w:szCs w:val="23"/>
        </w:rPr>
        <w:t>Candidaturas comunes</w:t>
      </w:r>
    </w:p>
    <w:p w14:paraId="42463A9F" w14:textId="1BA4B590" w:rsidR="00F07FF5" w:rsidRPr="007E1C7C" w:rsidRDefault="00F07FF5" w:rsidP="00BE4BE9">
      <w:pPr>
        <w:rPr>
          <w:sz w:val="23"/>
          <w:szCs w:val="23"/>
        </w:rPr>
      </w:pPr>
      <w:r w:rsidRPr="007E1C7C">
        <w:rPr>
          <w:sz w:val="23"/>
          <w:szCs w:val="23"/>
        </w:rPr>
        <w:t>Que, el artículo 84 numeral 3 de la Ley Electoral, establece que los partidos políticos, sin mediar coalición, podrán postular candidatas o candidatos comunes para las elecciones a gobernador, diputados o regidores por el principio de mayoría relativa.</w:t>
      </w:r>
    </w:p>
    <w:p w14:paraId="41D73EA6" w14:textId="2E17C8B1" w:rsidR="009108D3" w:rsidRPr="007E1C7C" w:rsidRDefault="009108D3" w:rsidP="009108D3">
      <w:pPr>
        <w:rPr>
          <w:sz w:val="23"/>
          <w:szCs w:val="23"/>
        </w:rPr>
      </w:pPr>
      <w:r w:rsidRPr="007E1C7C">
        <w:rPr>
          <w:sz w:val="23"/>
          <w:szCs w:val="23"/>
        </w:rPr>
        <w:t>Al respecto, el artículo 92 numeral 1 de la Ley Electoral señala que, las candidaturas comunes constituyen otra forma de participación y asociación de los partidos políticos con el fin de postular candidatas o candidatos en las elecciones por el principio de mayoría relativa, conforme lo prevé el artículo 85, párrafo 5 de la Ley de Partidos y la fracción I del apartado “A” del artículo 9 de la Constitución Local.</w:t>
      </w:r>
    </w:p>
    <w:p w14:paraId="7E50D888" w14:textId="40083AAE" w:rsidR="0050796E" w:rsidRPr="007E1C7C" w:rsidRDefault="0050796E" w:rsidP="00BF6A6B">
      <w:pPr>
        <w:pStyle w:val="Ttulo2"/>
        <w:rPr>
          <w:sz w:val="23"/>
          <w:szCs w:val="23"/>
        </w:rPr>
      </w:pPr>
      <w:r w:rsidRPr="007E1C7C">
        <w:rPr>
          <w:sz w:val="23"/>
          <w:szCs w:val="23"/>
        </w:rPr>
        <w:lastRenderedPageBreak/>
        <w:t>Reglas para las candidaturas comunes</w:t>
      </w:r>
    </w:p>
    <w:p w14:paraId="2AD4D928" w14:textId="58F04FBB" w:rsidR="00B629F7" w:rsidRPr="007E1C7C" w:rsidRDefault="00B629F7" w:rsidP="00B629F7">
      <w:pPr>
        <w:rPr>
          <w:sz w:val="23"/>
          <w:szCs w:val="23"/>
        </w:rPr>
      </w:pPr>
      <w:r w:rsidRPr="007E1C7C">
        <w:rPr>
          <w:sz w:val="23"/>
          <w:szCs w:val="23"/>
        </w:rPr>
        <w:t>Que, el artículo 93 numeral 1 de la Ley Electoral señala que se entiende por candidatura común cuando dos o más partidos políticos, sin mediar coalición, registren al mismo candidato o candidata, fórmula o planilla de candidatos o candidatas, por el principio de mayoría relativa, sujetándose a las siguientes reglas:</w:t>
      </w:r>
    </w:p>
    <w:p w14:paraId="429B9F5C" w14:textId="7761EFB2" w:rsidR="00B629F7" w:rsidRPr="007E1C7C" w:rsidRDefault="00B629F7" w:rsidP="00E01D96">
      <w:pPr>
        <w:pStyle w:val="Prrafodelista"/>
        <w:numPr>
          <w:ilvl w:val="0"/>
          <w:numId w:val="3"/>
        </w:numPr>
        <w:ind w:left="510" w:hanging="510"/>
        <w:contextualSpacing w:val="0"/>
        <w:rPr>
          <w:sz w:val="23"/>
          <w:szCs w:val="23"/>
        </w:rPr>
      </w:pPr>
      <w:r w:rsidRPr="007E1C7C">
        <w:rPr>
          <w:sz w:val="23"/>
          <w:szCs w:val="23"/>
        </w:rPr>
        <w:t>Los partidos políticos podrán registrar candidatos o candidatas en común en las demarcaciones electorales donde los mismos no hayan registrado candidatos o candidatas de coalición;</w:t>
      </w:r>
    </w:p>
    <w:p w14:paraId="673D5F5E" w14:textId="49BE4E7A" w:rsidR="00B629F7" w:rsidRPr="007E1C7C" w:rsidRDefault="00B629F7" w:rsidP="00E01D96">
      <w:pPr>
        <w:pStyle w:val="Prrafodelista"/>
        <w:numPr>
          <w:ilvl w:val="0"/>
          <w:numId w:val="3"/>
        </w:numPr>
        <w:ind w:left="510" w:hanging="510"/>
        <w:contextualSpacing w:val="0"/>
        <w:rPr>
          <w:sz w:val="23"/>
          <w:szCs w:val="23"/>
        </w:rPr>
      </w:pPr>
      <w:r w:rsidRPr="007E1C7C">
        <w:rPr>
          <w:sz w:val="23"/>
          <w:szCs w:val="23"/>
        </w:rPr>
        <w:t>En el caso de los ayuntamientos, las candidaturas comunes deberán coincidir en la totalidad de la planilla que se registre;</w:t>
      </w:r>
    </w:p>
    <w:p w14:paraId="388075E9" w14:textId="4B584392" w:rsidR="00B629F7" w:rsidRPr="007E1C7C" w:rsidRDefault="00B629F7" w:rsidP="00E01D96">
      <w:pPr>
        <w:pStyle w:val="Prrafodelista"/>
        <w:numPr>
          <w:ilvl w:val="0"/>
          <w:numId w:val="3"/>
        </w:numPr>
        <w:ind w:left="510" w:hanging="510"/>
        <w:contextualSpacing w:val="0"/>
        <w:rPr>
          <w:sz w:val="23"/>
          <w:szCs w:val="23"/>
        </w:rPr>
      </w:pPr>
      <w:r w:rsidRPr="007E1C7C">
        <w:rPr>
          <w:sz w:val="23"/>
          <w:szCs w:val="23"/>
        </w:rPr>
        <w:t>Tratándose de candidatas o candidatos a diputados por el principio de mayoría relativa, la candidatura común comprenderá a la fórmula completa;</w:t>
      </w:r>
    </w:p>
    <w:p w14:paraId="3338408A" w14:textId="43E5DD21" w:rsidR="00B629F7" w:rsidRPr="007E1C7C" w:rsidRDefault="00B629F7" w:rsidP="00E01D96">
      <w:pPr>
        <w:pStyle w:val="Prrafodelista"/>
        <w:numPr>
          <w:ilvl w:val="0"/>
          <w:numId w:val="3"/>
        </w:numPr>
        <w:ind w:left="510" w:hanging="510"/>
        <w:contextualSpacing w:val="0"/>
        <w:rPr>
          <w:sz w:val="23"/>
          <w:szCs w:val="23"/>
        </w:rPr>
      </w:pPr>
      <w:r w:rsidRPr="007E1C7C">
        <w:rPr>
          <w:sz w:val="23"/>
          <w:szCs w:val="23"/>
        </w:rPr>
        <w:t xml:space="preserve">Las candidaturas a </w:t>
      </w:r>
      <w:r w:rsidR="002311C5" w:rsidRPr="007E1C7C">
        <w:rPr>
          <w:sz w:val="23"/>
          <w:szCs w:val="23"/>
        </w:rPr>
        <w:t xml:space="preserve">diputaciones </w:t>
      </w:r>
      <w:r w:rsidRPr="007E1C7C">
        <w:rPr>
          <w:sz w:val="23"/>
          <w:szCs w:val="23"/>
        </w:rPr>
        <w:t xml:space="preserve">o </w:t>
      </w:r>
      <w:r w:rsidR="002311C5" w:rsidRPr="007E1C7C">
        <w:rPr>
          <w:sz w:val="23"/>
          <w:szCs w:val="23"/>
        </w:rPr>
        <w:t>regi</w:t>
      </w:r>
      <w:r w:rsidR="008F1464" w:rsidRPr="007E1C7C">
        <w:rPr>
          <w:sz w:val="23"/>
          <w:szCs w:val="23"/>
        </w:rPr>
        <w:t>d</w:t>
      </w:r>
      <w:r w:rsidR="002311C5" w:rsidRPr="007E1C7C">
        <w:rPr>
          <w:sz w:val="23"/>
          <w:szCs w:val="23"/>
        </w:rPr>
        <w:t>u</w:t>
      </w:r>
      <w:r w:rsidR="008F1464" w:rsidRPr="007E1C7C">
        <w:rPr>
          <w:sz w:val="23"/>
          <w:szCs w:val="23"/>
        </w:rPr>
        <w:t>r</w:t>
      </w:r>
      <w:r w:rsidR="002311C5" w:rsidRPr="007E1C7C">
        <w:rPr>
          <w:sz w:val="23"/>
          <w:szCs w:val="23"/>
        </w:rPr>
        <w:t xml:space="preserve">ías </w:t>
      </w:r>
      <w:r w:rsidRPr="007E1C7C">
        <w:rPr>
          <w:sz w:val="23"/>
          <w:szCs w:val="23"/>
        </w:rPr>
        <w:t>por el principio de representación proporcional no podrán ser objeto de candidaturas comunes;</w:t>
      </w:r>
    </w:p>
    <w:p w14:paraId="1010C042" w14:textId="2A44C1DA" w:rsidR="00B629F7" w:rsidRPr="007E1C7C" w:rsidRDefault="00B629F7" w:rsidP="00E01D96">
      <w:pPr>
        <w:pStyle w:val="Prrafodelista"/>
        <w:numPr>
          <w:ilvl w:val="0"/>
          <w:numId w:val="3"/>
        </w:numPr>
        <w:ind w:left="510" w:hanging="510"/>
        <w:contextualSpacing w:val="0"/>
        <w:rPr>
          <w:sz w:val="23"/>
          <w:szCs w:val="23"/>
        </w:rPr>
      </w:pPr>
      <w:r w:rsidRPr="007E1C7C">
        <w:rPr>
          <w:sz w:val="23"/>
          <w:szCs w:val="23"/>
        </w:rPr>
        <w:t xml:space="preserve">La aceptación o, en su caso, rechazo de la solicitud de registro de una candidatura común presentada por cada partido político no producirá ningún efecto sobre las solicitudes presentadas por otro u otros </w:t>
      </w:r>
      <w:r w:rsidR="00E01D96" w:rsidRPr="007E1C7C">
        <w:rPr>
          <w:sz w:val="23"/>
          <w:szCs w:val="23"/>
        </w:rPr>
        <w:t xml:space="preserve">partidos políticos </w:t>
      </w:r>
      <w:r w:rsidRPr="007E1C7C">
        <w:rPr>
          <w:sz w:val="23"/>
          <w:szCs w:val="23"/>
        </w:rPr>
        <w:t>respecto del mismo candidato</w:t>
      </w:r>
      <w:r w:rsidR="00E01D96" w:rsidRPr="007E1C7C">
        <w:rPr>
          <w:sz w:val="23"/>
          <w:szCs w:val="23"/>
        </w:rPr>
        <w:t xml:space="preserve"> o candidata</w:t>
      </w:r>
      <w:r w:rsidRPr="007E1C7C">
        <w:rPr>
          <w:sz w:val="23"/>
          <w:szCs w:val="23"/>
        </w:rPr>
        <w:t>, y</w:t>
      </w:r>
    </w:p>
    <w:p w14:paraId="5E71C9DA" w14:textId="7E749A32" w:rsidR="0050796E" w:rsidRPr="007E1C7C" w:rsidRDefault="00B629F7" w:rsidP="00E01D96">
      <w:pPr>
        <w:pStyle w:val="Prrafodelista"/>
        <w:numPr>
          <w:ilvl w:val="0"/>
          <w:numId w:val="3"/>
        </w:numPr>
        <w:ind w:left="510" w:hanging="510"/>
        <w:contextualSpacing w:val="0"/>
        <w:rPr>
          <w:sz w:val="23"/>
          <w:szCs w:val="23"/>
        </w:rPr>
      </w:pPr>
      <w:r w:rsidRPr="007E1C7C">
        <w:rPr>
          <w:sz w:val="23"/>
          <w:szCs w:val="23"/>
        </w:rPr>
        <w:t>Los gastos de campaña de las candidaturas comunes no deberán exceder el tope que para cada elección se establezca como si fuera una candidatura registrada por un solo partido.</w:t>
      </w:r>
    </w:p>
    <w:p w14:paraId="66EAF28F" w14:textId="2C7F4F23" w:rsidR="00D42C97" w:rsidRPr="007E1C7C" w:rsidRDefault="00D42C97" w:rsidP="00BF6A6B">
      <w:pPr>
        <w:pStyle w:val="Ttulo2"/>
        <w:rPr>
          <w:sz w:val="23"/>
          <w:szCs w:val="23"/>
        </w:rPr>
      </w:pPr>
      <w:r w:rsidRPr="007E1C7C">
        <w:rPr>
          <w:sz w:val="23"/>
          <w:szCs w:val="23"/>
        </w:rPr>
        <w:t>Reglas para la postulación de candidaturas comunes</w:t>
      </w:r>
    </w:p>
    <w:p w14:paraId="67593DF9" w14:textId="7652EECA" w:rsidR="00671009" w:rsidRPr="007E1C7C" w:rsidRDefault="00E415AF" w:rsidP="00671009">
      <w:pPr>
        <w:rPr>
          <w:sz w:val="23"/>
          <w:szCs w:val="23"/>
        </w:rPr>
      </w:pPr>
      <w:r w:rsidRPr="007E1C7C">
        <w:rPr>
          <w:sz w:val="23"/>
          <w:szCs w:val="23"/>
        </w:rPr>
        <w:t>Que, el artículo 94, numeral 1 de la Ley Electoral impone a los partidos políticos la obligación de sujetarse a las siguientes reglas aplicables p</w:t>
      </w:r>
      <w:r w:rsidR="00671009" w:rsidRPr="007E1C7C">
        <w:rPr>
          <w:sz w:val="23"/>
          <w:szCs w:val="23"/>
        </w:rPr>
        <w:t>ara la postulación de candidaturas comunes:</w:t>
      </w:r>
    </w:p>
    <w:p w14:paraId="65AB7397" w14:textId="4A002754" w:rsidR="00671009" w:rsidRPr="007E1C7C" w:rsidRDefault="00671009" w:rsidP="00E415AF">
      <w:pPr>
        <w:pStyle w:val="Prrafodelista"/>
        <w:numPr>
          <w:ilvl w:val="0"/>
          <w:numId w:val="5"/>
        </w:numPr>
        <w:ind w:left="510" w:hanging="510"/>
        <w:contextualSpacing w:val="0"/>
        <w:rPr>
          <w:sz w:val="23"/>
          <w:szCs w:val="23"/>
        </w:rPr>
      </w:pPr>
      <w:r w:rsidRPr="007E1C7C">
        <w:rPr>
          <w:sz w:val="23"/>
          <w:szCs w:val="23"/>
        </w:rPr>
        <w:t xml:space="preserve">Podrán postular </w:t>
      </w:r>
      <w:r w:rsidR="00365DD3" w:rsidRPr="007E1C7C">
        <w:rPr>
          <w:sz w:val="23"/>
          <w:szCs w:val="23"/>
        </w:rPr>
        <w:t xml:space="preserve">candidatas o </w:t>
      </w:r>
      <w:r w:rsidRPr="007E1C7C">
        <w:rPr>
          <w:sz w:val="23"/>
          <w:szCs w:val="23"/>
        </w:rPr>
        <w:t xml:space="preserve">candidatos comunes para la elección de </w:t>
      </w:r>
      <w:r w:rsidR="008459E0" w:rsidRPr="007E1C7C">
        <w:rPr>
          <w:sz w:val="23"/>
          <w:szCs w:val="23"/>
        </w:rPr>
        <w:t xml:space="preserve">Gubernatura </w:t>
      </w:r>
      <w:r w:rsidRPr="007E1C7C">
        <w:rPr>
          <w:sz w:val="23"/>
          <w:szCs w:val="23"/>
        </w:rPr>
        <w:t xml:space="preserve">del Estado, </w:t>
      </w:r>
      <w:r w:rsidR="008459E0" w:rsidRPr="007E1C7C">
        <w:rPr>
          <w:sz w:val="23"/>
          <w:szCs w:val="23"/>
        </w:rPr>
        <w:t xml:space="preserve">diputaciones </w:t>
      </w:r>
      <w:r w:rsidRPr="007E1C7C">
        <w:rPr>
          <w:sz w:val="23"/>
          <w:szCs w:val="23"/>
        </w:rPr>
        <w:t xml:space="preserve">por el principio de mayoría relativa, y planillas de mayoría </w:t>
      </w:r>
      <w:r w:rsidRPr="007E1C7C">
        <w:rPr>
          <w:sz w:val="23"/>
          <w:szCs w:val="23"/>
        </w:rPr>
        <w:lastRenderedPageBreak/>
        <w:t>relativa para la renovación de ayuntamientos, sea en elección ordinaria o extraordinaria. En todo caso se requiere el consentimiento escrito del candidato</w:t>
      </w:r>
      <w:r w:rsidR="008459E0" w:rsidRPr="007E1C7C">
        <w:rPr>
          <w:sz w:val="23"/>
          <w:szCs w:val="23"/>
        </w:rPr>
        <w:t xml:space="preserve">, candidata </w:t>
      </w:r>
      <w:r w:rsidRPr="007E1C7C">
        <w:rPr>
          <w:sz w:val="23"/>
          <w:szCs w:val="23"/>
        </w:rPr>
        <w:t>o candidat</w:t>
      </w:r>
      <w:r w:rsidR="008459E0" w:rsidRPr="007E1C7C">
        <w:rPr>
          <w:sz w:val="23"/>
          <w:szCs w:val="23"/>
        </w:rPr>
        <w:t>uras</w:t>
      </w:r>
      <w:r w:rsidRPr="007E1C7C">
        <w:rPr>
          <w:sz w:val="23"/>
          <w:szCs w:val="23"/>
        </w:rPr>
        <w:t xml:space="preserve"> comunes;</w:t>
      </w:r>
    </w:p>
    <w:p w14:paraId="7D7E448A" w14:textId="66729CC8" w:rsidR="00671009" w:rsidRPr="007E1C7C" w:rsidRDefault="00671009" w:rsidP="00E415AF">
      <w:pPr>
        <w:pStyle w:val="Prrafodelista"/>
        <w:numPr>
          <w:ilvl w:val="0"/>
          <w:numId w:val="5"/>
        </w:numPr>
        <w:ind w:left="510" w:hanging="510"/>
        <w:contextualSpacing w:val="0"/>
        <w:rPr>
          <w:sz w:val="23"/>
          <w:szCs w:val="23"/>
        </w:rPr>
      </w:pPr>
      <w:r w:rsidRPr="007E1C7C">
        <w:rPr>
          <w:sz w:val="23"/>
          <w:szCs w:val="23"/>
        </w:rPr>
        <w:t>Antes de que concluya el plazo para el registro oficial de candidatos deberán presentar ante el Consejo, las resoluciones de los órganos o instancias partidistas estatutariamente facultados para autorizar la candidatura común;</w:t>
      </w:r>
    </w:p>
    <w:p w14:paraId="7018566B" w14:textId="31059B30" w:rsidR="00671009" w:rsidRPr="007E1C7C" w:rsidRDefault="00671009" w:rsidP="00E415AF">
      <w:pPr>
        <w:pStyle w:val="Prrafodelista"/>
        <w:numPr>
          <w:ilvl w:val="0"/>
          <w:numId w:val="5"/>
        </w:numPr>
        <w:ind w:left="510" w:hanging="510"/>
        <w:contextualSpacing w:val="0"/>
        <w:rPr>
          <w:sz w:val="23"/>
          <w:szCs w:val="23"/>
        </w:rPr>
      </w:pPr>
      <w:r w:rsidRPr="007E1C7C">
        <w:rPr>
          <w:sz w:val="23"/>
          <w:szCs w:val="23"/>
        </w:rPr>
        <w:t xml:space="preserve">Cuando se trate de un </w:t>
      </w:r>
      <w:r w:rsidR="00C73B8D" w:rsidRPr="007E1C7C">
        <w:rPr>
          <w:sz w:val="23"/>
          <w:szCs w:val="23"/>
        </w:rPr>
        <w:t>candidato o candidata</w:t>
      </w:r>
      <w:r w:rsidRPr="007E1C7C">
        <w:rPr>
          <w:sz w:val="23"/>
          <w:szCs w:val="23"/>
        </w:rPr>
        <w:t xml:space="preserve"> común a </w:t>
      </w:r>
      <w:r w:rsidR="00C73B8D" w:rsidRPr="007E1C7C">
        <w:rPr>
          <w:sz w:val="23"/>
          <w:szCs w:val="23"/>
        </w:rPr>
        <w:t>una diputación</w:t>
      </w:r>
      <w:r w:rsidRPr="007E1C7C">
        <w:rPr>
          <w:sz w:val="23"/>
          <w:szCs w:val="23"/>
        </w:rPr>
        <w:t>, en caso de resultar electo los partidos postulantes deberán señalar por escrito, en el convenio respectivo, a qué fracción parlamentaria se integrará en el Congreso del Estado;</w:t>
      </w:r>
    </w:p>
    <w:p w14:paraId="70B84379" w14:textId="583A2E45" w:rsidR="00671009" w:rsidRPr="007E1C7C" w:rsidRDefault="00671009" w:rsidP="00E415AF">
      <w:pPr>
        <w:pStyle w:val="Prrafodelista"/>
        <w:numPr>
          <w:ilvl w:val="0"/>
          <w:numId w:val="5"/>
        </w:numPr>
        <w:ind w:left="510" w:hanging="510"/>
        <w:contextualSpacing w:val="0"/>
        <w:rPr>
          <w:sz w:val="23"/>
          <w:szCs w:val="23"/>
        </w:rPr>
      </w:pPr>
      <w:r w:rsidRPr="007E1C7C">
        <w:rPr>
          <w:sz w:val="23"/>
          <w:szCs w:val="23"/>
        </w:rPr>
        <w:t xml:space="preserve">Presentar convenio en donde se indiquen las aportaciones de cada uno de los </w:t>
      </w:r>
      <w:r w:rsidR="00C73B8D" w:rsidRPr="007E1C7C">
        <w:rPr>
          <w:sz w:val="23"/>
          <w:szCs w:val="23"/>
        </w:rPr>
        <w:t xml:space="preserve">partidos políticos </w:t>
      </w:r>
      <w:r w:rsidRPr="007E1C7C">
        <w:rPr>
          <w:sz w:val="23"/>
          <w:szCs w:val="23"/>
        </w:rPr>
        <w:t xml:space="preserve">postulantes del candidato </w:t>
      </w:r>
      <w:r w:rsidR="00C73B8D" w:rsidRPr="007E1C7C">
        <w:rPr>
          <w:sz w:val="23"/>
          <w:szCs w:val="23"/>
        </w:rPr>
        <w:t xml:space="preserve">o candidata </w:t>
      </w:r>
      <w:r w:rsidRPr="007E1C7C">
        <w:rPr>
          <w:sz w:val="23"/>
          <w:szCs w:val="23"/>
        </w:rPr>
        <w:t>común para gastos de campaña, sujetándose a los topes de gastos de campaña que para ello determine la autoridad electoral, y</w:t>
      </w:r>
    </w:p>
    <w:p w14:paraId="7D3F6742" w14:textId="72E0FB9A" w:rsidR="00D42C97" w:rsidRPr="007E1C7C" w:rsidRDefault="00671009" w:rsidP="00E415AF">
      <w:pPr>
        <w:pStyle w:val="Prrafodelista"/>
        <w:numPr>
          <w:ilvl w:val="0"/>
          <w:numId w:val="5"/>
        </w:numPr>
        <w:ind w:left="510" w:hanging="510"/>
        <w:contextualSpacing w:val="0"/>
        <w:rPr>
          <w:sz w:val="23"/>
          <w:szCs w:val="23"/>
        </w:rPr>
      </w:pPr>
      <w:r w:rsidRPr="007E1C7C">
        <w:rPr>
          <w:sz w:val="23"/>
          <w:szCs w:val="23"/>
        </w:rPr>
        <w:t xml:space="preserve">Cada </w:t>
      </w:r>
      <w:r w:rsidR="00C73B8D" w:rsidRPr="007E1C7C">
        <w:rPr>
          <w:sz w:val="23"/>
          <w:szCs w:val="23"/>
        </w:rPr>
        <w:t>p</w:t>
      </w:r>
      <w:r w:rsidRPr="007E1C7C">
        <w:rPr>
          <w:sz w:val="23"/>
          <w:szCs w:val="23"/>
        </w:rPr>
        <w:t>artido será responsable de entregar su informe, en el que se señalen los gastos de campaña realizados.</w:t>
      </w:r>
    </w:p>
    <w:p w14:paraId="01A1214C" w14:textId="1064A918" w:rsidR="00E53E53" w:rsidRPr="007E1C7C" w:rsidRDefault="00E53E53" w:rsidP="00BF6A6B">
      <w:pPr>
        <w:pStyle w:val="Ttulo2"/>
        <w:rPr>
          <w:sz w:val="23"/>
          <w:szCs w:val="23"/>
        </w:rPr>
      </w:pPr>
      <w:r w:rsidRPr="007E1C7C">
        <w:rPr>
          <w:sz w:val="23"/>
          <w:szCs w:val="23"/>
        </w:rPr>
        <w:t>Propaganda electoral para candidaturas comunes</w:t>
      </w:r>
    </w:p>
    <w:p w14:paraId="48676B34" w14:textId="36CB01FA" w:rsidR="0066234B" w:rsidRPr="007E1C7C" w:rsidRDefault="0066234B" w:rsidP="00164F4D">
      <w:pPr>
        <w:rPr>
          <w:sz w:val="23"/>
          <w:szCs w:val="23"/>
        </w:rPr>
      </w:pPr>
      <w:r w:rsidRPr="007E1C7C">
        <w:rPr>
          <w:sz w:val="23"/>
          <w:szCs w:val="23"/>
        </w:rPr>
        <w:t>Que, el numeral 2 del artículo 94 de la Ley Electoral establece que, la propaganda de los partidos que hayan registrado candidaturas comunes deberá identificar claramente a los partidos y candidatos o candidatas que se postulen bajo esa forma de asociación.</w:t>
      </w:r>
    </w:p>
    <w:p w14:paraId="1745EB64" w14:textId="17543B05" w:rsidR="0066234B" w:rsidRPr="007E1C7C" w:rsidRDefault="007E2CBE" w:rsidP="00BF6A6B">
      <w:pPr>
        <w:pStyle w:val="Ttulo2"/>
        <w:rPr>
          <w:sz w:val="23"/>
          <w:szCs w:val="23"/>
        </w:rPr>
      </w:pPr>
      <w:r w:rsidRPr="007E1C7C">
        <w:rPr>
          <w:sz w:val="23"/>
          <w:szCs w:val="23"/>
        </w:rPr>
        <w:t>Sustitución de candidaturas comunes</w:t>
      </w:r>
    </w:p>
    <w:p w14:paraId="76FCE38A" w14:textId="36DCE81D" w:rsidR="007E2CBE" w:rsidRPr="007E1C7C" w:rsidRDefault="005360A1" w:rsidP="00164F4D">
      <w:pPr>
        <w:rPr>
          <w:sz w:val="23"/>
          <w:szCs w:val="23"/>
        </w:rPr>
      </w:pPr>
      <w:r w:rsidRPr="007E1C7C">
        <w:rPr>
          <w:sz w:val="23"/>
          <w:szCs w:val="23"/>
        </w:rPr>
        <w:t xml:space="preserve">Que, el artículo 192 numeral 1 fracción IV de la Ley Electoral dispone que, para la sustitución de candidaturas postuladas en común por dos o más partidos políticos, </w:t>
      </w:r>
      <w:r w:rsidR="009E1381" w:rsidRPr="007E1C7C">
        <w:rPr>
          <w:sz w:val="23"/>
          <w:szCs w:val="23"/>
        </w:rPr>
        <w:t xml:space="preserve">deberán solicitarlo por escrito al Consejo Estatal, debiendo </w:t>
      </w:r>
      <w:r w:rsidRPr="007E1C7C">
        <w:rPr>
          <w:sz w:val="23"/>
          <w:szCs w:val="23"/>
        </w:rPr>
        <w:t>presentar, en su caso, las modificaciones que correspondan al convenio de candidatura común inicial al momento de la sustitución.</w:t>
      </w:r>
    </w:p>
    <w:p w14:paraId="736787DF" w14:textId="73379DED" w:rsidR="00CC23DD" w:rsidRPr="007E1C7C" w:rsidRDefault="00CC23DD" w:rsidP="00BF6A6B">
      <w:pPr>
        <w:pStyle w:val="Ttulo2"/>
        <w:rPr>
          <w:sz w:val="23"/>
          <w:szCs w:val="23"/>
        </w:rPr>
      </w:pPr>
      <w:r w:rsidRPr="007E1C7C">
        <w:rPr>
          <w:sz w:val="23"/>
          <w:szCs w:val="23"/>
        </w:rPr>
        <w:lastRenderedPageBreak/>
        <w:t>Emblemas para candidaturas comunes</w:t>
      </w:r>
    </w:p>
    <w:p w14:paraId="083BFA8E" w14:textId="3B49890A" w:rsidR="00171410" w:rsidRPr="007E1C7C" w:rsidRDefault="00CC23DD" w:rsidP="00EB173D">
      <w:pPr>
        <w:rPr>
          <w:sz w:val="23"/>
          <w:szCs w:val="23"/>
        </w:rPr>
      </w:pPr>
      <w:r w:rsidRPr="007E1C7C">
        <w:rPr>
          <w:sz w:val="23"/>
          <w:szCs w:val="23"/>
        </w:rPr>
        <w:t>Que</w:t>
      </w:r>
      <w:r w:rsidR="00C06C57" w:rsidRPr="007E1C7C">
        <w:rPr>
          <w:sz w:val="23"/>
          <w:szCs w:val="23"/>
        </w:rPr>
        <w:t>,</w:t>
      </w:r>
      <w:r w:rsidRPr="007E1C7C">
        <w:rPr>
          <w:sz w:val="23"/>
          <w:szCs w:val="23"/>
        </w:rPr>
        <w:t xml:space="preserve"> el artículo 216 numeral 2 fracción III de la Ley </w:t>
      </w:r>
      <w:r w:rsidR="00C06C57" w:rsidRPr="007E1C7C">
        <w:rPr>
          <w:sz w:val="23"/>
          <w:szCs w:val="23"/>
        </w:rPr>
        <w:t xml:space="preserve">Electoral </w:t>
      </w:r>
      <w:r w:rsidR="00EB173D" w:rsidRPr="007E1C7C">
        <w:rPr>
          <w:sz w:val="23"/>
          <w:szCs w:val="23"/>
        </w:rPr>
        <w:t xml:space="preserve">dispone que, las boletas para la elección de Gubernatura, diputaciones, presidencias municipales y </w:t>
      </w:r>
      <w:r w:rsidR="005C3969" w:rsidRPr="007E1C7C">
        <w:rPr>
          <w:sz w:val="23"/>
          <w:szCs w:val="23"/>
        </w:rPr>
        <w:t>regidurías</w:t>
      </w:r>
      <w:r w:rsidR="00EB173D" w:rsidRPr="007E1C7C">
        <w:rPr>
          <w:sz w:val="23"/>
          <w:szCs w:val="23"/>
        </w:rPr>
        <w:t xml:space="preserve"> contendrán entre otros datos, </w:t>
      </w:r>
      <w:r w:rsidRPr="007E1C7C">
        <w:rPr>
          <w:sz w:val="23"/>
          <w:szCs w:val="23"/>
        </w:rPr>
        <w:t xml:space="preserve">el emblema a color de cada uno de los partidos políticos que participan con </w:t>
      </w:r>
      <w:r w:rsidR="00EB173D" w:rsidRPr="007E1C7C">
        <w:rPr>
          <w:sz w:val="23"/>
          <w:szCs w:val="23"/>
        </w:rPr>
        <w:t xml:space="preserve">candidatas o </w:t>
      </w:r>
      <w:r w:rsidRPr="007E1C7C">
        <w:rPr>
          <w:sz w:val="23"/>
          <w:szCs w:val="23"/>
        </w:rPr>
        <w:t>candidatos propios, en coalición, o en forma común, en la elección de que se trate.</w:t>
      </w:r>
    </w:p>
    <w:p w14:paraId="485BA2B8" w14:textId="3B1A1947" w:rsidR="00671BA4" w:rsidRPr="007E1C7C" w:rsidRDefault="00671BA4" w:rsidP="00BF6A6B">
      <w:pPr>
        <w:pStyle w:val="Ttulo2"/>
        <w:rPr>
          <w:sz w:val="23"/>
          <w:szCs w:val="23"/>
        </w:rPr>
      </w:pPr>
      <w:r w:rsidRPr="007E1C7C">
        <w:rPr>
          <w:sz w:val="23"/>
          <w:szCs w:val="23"/>
        </w:rPr>
        <w:t xml:space="preserve">Restricción a </w:t>
      </w:r>
      <w:r w:rsidR="00B25563" w:rsidRPr="007E1C7C">
        <w:rPr>
          <w:sz w:val="23"/>
          <w:szCs w:val="23"/>
        </w:rPr>
        <w:t>la</w:t>
      </w:r>
      <w:r w:rsidR="00D90FC8" w:rsidRPr="007E1C7C">
        <w:rPr>
          <w:sz w:val="23"/>
          <w:szCs w:val="23"/>
        </w:rPr>
        <w:t>s</w:t>
      </w:r>
      <w:r w:rsidR="00B25563" w:rsidRPr="007E1C7C">
        <w:rPr>
          <w:sz w:val="23"/>
          <w:szCs w:val="23"/>
        </w:rPr>
        <w:t xml:space="preserve"> </w:t>
      </w:r>
      <w:r w:rsidRPr="007E1C7C">
        <w:rPr>
          <w:sz w:val="23"/>
          <w:szCs w:val="23"/>
        </w:rPr>
        <w:t xml:space="preserve">candidaturas </w:t>
      </w:r>
      <w:r w:rsidR="00E824B8" w:rsidRPr="007E1C7C">
        <w:rPr>
          <w:sz w:val="23"/>
          <w:szCs w:val="23"/>
        </w:rPr>
        <w:t>comunes</w:t>
      </w:r>
    </w:p>
    <w:p w14:paraId="2FBED8CA" w14:textId="18683E1F" w:rsidR="004426C4" w:rsidRPr="007E1C7C" w:rsidRDefault="004426C4" w:rsidP="009E3857">
      <w:pPr>
        <w:rPr>
          <w:sz w:val="23"/>
          <w:szCs w:val="23"/>
        </w:rPr>
      </w:pPr>
      <w:r w:rsidRPr="007E1C7C">
        <w:rPr>
          <w:sz w:val="23"/>
          <w:szCs w:val="23"/>
        </w:rPr>
        <w:t>Que, la Sala Superior</w:t>
      </w:r>
      <w:r w:rsidR="00A952D4" w:rsidRPr="007E1C7C">
        <w:rPr>
          <w:rStyle w:val="Refdenotaalpie"/>
          <w:sz w:val="23"/>
          <w:szCs w:val="23"/>
        </w:rPr>
        <w:footnoteReference w:id="1"/>
      </w:r>
      <w:r w:rsidR="00B30747" w:rsidRPr="007E1C7C">
        <w:rPr>
          <w:sz w:val="23"/>
          <w:szCs w:val="23"/>
        </w:rPr>
        <w:t xml:space="preserve"> </w:t>
      </w:r>
      <w:r w:rsidR="00655C24" w:rsidRPr="007E1C7C">
        <w:rPr>
          <w:sz w:val="23"/>
          <w:szCs w:val="23"/>
        </w:rPr>
        <w:t xml:space="preserve">consideró </w:t>
      </w:r>
      <w:r w:rsidR="00B30747" w:rsidRPr="007E1C7C">
        <w:rPr>
          <w:sz w:val="23"/>
          <w:szCs w:val="23"/>
        </w:rPr>
        <w:t>viable que los partidos políticos se asocien o formen alianzas con fines electorales, pues ello es parte de su derecho de auto organización y su libertad de asociación en materia política. Sin embargo, esta potestad puede verse limitada por el régimen general en materia electoral.</w:t>
      </w:r>
    </w:p>
    <w:p w14:paraId="56897595" w14:textId="33CC82AE" w:rsidR="00D14322" w:rsidRPr="007E1C7C" w:rsidRDefault="00D14322" w:rsidP="009E3857">
      <w:pPr>
        <w:rPr>
          <w:sz w:val="23"/>
          <w:szCs w:val="23"/>
        </w:rPr>
      </w:pPr>
      <w:r w:rsidRPr="007E1C7C">
        <w:rPr>
          <w:sz w:val="23"/>
          <w:szCs w:val="23"/>
        </w:rPr>
        <w:t>Esto porque la normativa debe interpretarse y aplicarse de forma tal que armonice de modo adecuado la participación mediante coaliciones frente a otras formas de asociación.</w:t>
      </w:r>
      <w:r w:rsidR="00F362F5" w:rsidRPr="007E1C7C">
        <w:rPr>
          <w:sz w:val="23"/>
          <w:szCs w:val="23"/>
        </w:rPr>
        <w:t xml:space="preserve"> </w:t>
      </w:r>
    </w:p>
    <w:p w14:paraId="07030CC7" w14:textId="4EE14E0F" w:rsidR="00F362F5" w:rsidRPr="007E1C7C" w:rsidRDefault="00F362F5" w:rsidP="00F362F5">
      <w:pPr>
        <w:rPr>
          <w:sz w:val="23"/>
          <w:szCs w:val="23"/>
        </w:rPr>
      </w:pPr>
      <w:r w:rsidRPr="007E1C7C">
        <w:rPr>
          <w:sz w:val="23"/>
          <w:szCs w:val="23"/>
        </w:rPr>
        <w:t>Así, la Sala Superior consideró que las candidaturas comunes son una forma de participación política diversa de las coaliciones, cuyo elemento de distinción esencial se basa en la idea de la postulación de un mismo candidato o candidata, pero no de la aceptación de una plataforma política común.</w:t>
      </w:r>
    </w:p>
    <w:p w14:paraId="4217C04D" w14:textId="35CC6E9F" w:rsidR="00F362F5" w:rsidRPr="007E1C7C" w:rsidRDefault="000A7C9A" w:rsidP="00F362F5">
      <w:pPr>
        <w:rPr>
          <w:sz w:val="23"/>
          <w:szCs w:val="23"/>
        </w:rPr>
      </w:pPr>
      <w:r w:rsidRPr="007E1C7C">
        <w:rPr>
          <w:sz w:val="23"/>
          <w:szCs w:val="23"/>
        </w:rPr>
        <w:t xml:space="preserve">Es por lo que </w:t>
      </w:r>
      <w:r w:rsidR="00F362F5" w:rsidRPr="007E1C7C">
        <w:rPr>
          <w:sz w:val="23"/>
          <w:szCs w:val="23"/>
        </w:rPr>
        <w:t>sostuvo que, en una candidatura común, en principio, cada partido político mantiene su individualidad en cuanto a los postulados políticos o ideológicos que detentan, pero están de acuerdo en postular a un mismo candidato o candidata, ya sea por su trayectoria o arraigo en la comunidad, o por las condiciones propias que imperan en la demarcación en la que pretenden participar.</w:t>
      </w:r>
    </w:p>
    <w:p w14:paraId="35377CC7" w14:textId="5CE3EC97" w:rsidR="000A7C9A" w:rsidRPr="007E1C7C" w:rsidRDefault="000A7C9A" w:rsidP="00F362F5">
      <w:pPr>
        <w:rPr>
          <w:sz w:val="23"/>
          <w:szCs w:val="23"/>
        </w:rPr>
      </w:pPr>
      <w:r w:rsidRPr="007E1C7C">
        <w:rPr>
          <w:sz w:val="23"/>
          <w:szCs w:val="23"/>
        </w:rPr>
        <w:t xml:space="preserve">Conforme a lo expuesto, la Sala Superior consideró que la coexistencia de una coalición y una candidatura común en un mismo proceso electoral no solo debe hacerse a la luz del elemento formal de su denominación, sino de los elementos materiales o sustanciales que definen a cada una; de ahí que sea necesario analizar cada caso para determinar cuáles son los efectos y alcances del citado convenio, principalmente para verificar que mediante </w:t>
      </w:r>
      <w:r w:rsidRPr="007E1C7C">
        <w:rPr>
          <w:sz w:val="23"/>
          <w:szCs w:val="23"/>
        </w:rPr>
        <w:lastRenderedPageBreak/>
        <w:t>su instrumentación no se pretenda la elusión del cumplimiento de otras obligaciones legales, como puede ser el principio de uniformidad</w:t>
      </w:r>
      <w:r w:rsidR="005C7680" w:rsidRPr="007E1C7C">
        <w:rPr>
          <w:sz w:val="23"/>
          <w:szCs w:val="23"/>
        </w:rPr>
        <w:t>.</w:t>
      </w:r>
    </w:p>
    <w:p w14:paraId="05CF7FE3" w14:textId="1FC721CA" w:rsidR="005C7680" w:rsidRPr="007E1C7C" w:rsidRDefault="005C7680" w:rsidP="00F362F5">
      <w:pPr>
        <w:rPr>
          <w:sz w:val="23"/>
          <w:szCs w:val="23"/>
        </w:rPr>
      </w:pPr>
      <w:r w:rsidRPr="007E1C7C">
        <w:rPr>
          <w:sz w:val="23"/>
          <w:szCs w:val="23"/>
        </w:rPr>
        <w:t>A partir de tales premisas, la Sala Superior determinó que las candidaturas comunes tienen las siguientes limitaciones:</w:t>
      </w:r>
    </w:p>
    <w:p w14:paraId="11A4EA2E" w14:textId="3C17E2F4" w:rsidR="00E30BD0" w:rsidRPr="007E1C7C" w:rsidRDefault="004426C4" w:rsidP="00854980">
      <w:pPr>
        <w:pStyle w:val="Prrafodelista"/>
        <w:numPr>
          <w:ilvl w:val="0"/>
          <w:numId w:val="6"/>
        </w:numPr>
        <w:ind w:left="510" w:hanging="510"/>
        <w:contextualSpacing w:val="0"/>
        <w:rPr>
          <w:sz w:val="23"/>
          <w:szCs w:val="23"/>
        </w:rPr>
      </w:pPr>
      <w:r w:rsidRPr="007E1C7C">
        <w:rPr>
          <w:sz w:val="23"/>
          <w:szCs w:val="23"/>
        </w:rPr>
        <w:t>Los partidos políticos están impedidos para convenir una cantidad de candidaturas comunes que equivalgan, cuando menos, al veinticinco por ciento de las postulaciones;</w:t>
      </w:r>
    </w:p>
    <w:p w14:paraId="41212C14" w14:textId="3FC589F4" w:rsidR="004426C4" w:rsidRPr="007E1C7C" w:rsidRDefault="004426C4" w:rsidP="00854980">
      <w:pPr>
        <w:pStyle w:val="Prrafodelista"/>
        <w:numPr>
          <w:ilvl w:val="0"/>
          <w:numId w:val="6"/>
        </w:numPr>
        <w:ind w:left="510" w:hanging="510"/>
        <w:contextualSpacing w:val="0"/>
        <w:rPr>
          <w:sz w:val="23"/>
          <w:szCs w:val="23"/>
        </w:rPr>
      </w:pPr>
      <w:r w:rsidRPr="007E1C7C">
        <w:rPr>
          <w:sz w:val="23"/>
          <w:szCs w:val="23"/>
        </w:rPr>
        <w:t>En virtud de la similitud entre las coaliciones y una candidatura común, así como el número de postulaciones que comprenden dichas figuras, les resulta aplicable el principio de uniformidad, por lo que éstas no pueden estar conformadas por partidos diversos;</w:t>
      </w:r>
      <w:r w:rsidR="00AB729F" w:rsidRPr="007E1C7C">
        <w:rPr>
          <w:sz w:val="23"/>
          <w:szCs w:val="23"/>
        </w:rPr>
        <w:t xml:space="preserve"> y </w:t>
      </w:r>
    </w:p>
    <w:p w14:paraId="0204ED7A" w14:textId="329214E1" w:rsidR="00AB729F" w:rsidRPr="007E1C7C" w:rsidRDefault="00AB729F" w:rsidP="00854980">
      <w:pPr>
        <w:pStyle w:val="Prrafodelista"/>
        <w:numPr>
          <w:ilvl w:val="0"/>
          <w:numId w:val="6"/>
        </w:numPr>
        <w:ind w:left="510" w:hanging="510"/>
        <w:contextualSpacing w:val="0"/>
        <w:rPr>
          <w:sz w:val="23"/>
          <w:szCs w:val="23"/>
        </w:rPr>
      </w:pPr>
      <w:r w:rsidRPr="007E1C7C">
        <w:rPr>
          <w:sz w:val="23"/>
          <w:szCs w:val="23"/>
        </w:rPr>
        <w:t xml:space="preserve">Las candidaturas comunes no deberán tener </w:t>
      </w:r>
      <w:r w:rsidR="00B30747" w:rsidRPr="007E1C7C">
        <w:rPr>
          <w:sz w:val="23"/>
          <w:szCs w:val="23"/>
        </w:rPr>
        <w:t xml:space="preserve">simultáneamente </w:t>
      </w:r>
      <w:r w:rsidRPr="007E1C7C">
        <w:rPr>
          <w:sz w:val="23"/>
          <w:szCs w:val="23"/>
        </w:rPr>
        <w:t>una denominación idéntica a una coalición dentro del mismo proceso electoral.</w:t>
      </w:r>
      <w:r w:rsidR="00B30747" w:rsidRPr="007E1C7C">
        <w:rPr>
          <w:sz w:val="23"/>
          <w:szCs w:val="23"/>
        </w:rPr>
        <w:t xml:space="preserve"> </w:t>
      </w:r>
    </w:p>
    <w:p w14:paraId="4B108D75" w14:textId="562B5C53" w:rsidR="007C5431" w:rsidRPr="007E1C7C" w:rsidRDefault="007C5431" w:rsidP="00BF6A6B">
      <w:pPr>
        <w:pStyle w:val="Ttulo2"/>
        <w:rPr>
          <w:sz w:val="23"/>
          <w:szCs w:val="23"/>
        </w:rPr>
      </w:pPr>
      <w:r w:rsidRPr="007E1C7C">
        <w:rPr>
          <w:sz w:val="23"/>
          <w:szCs w:val="23"/>
        </w:rPr>
        <w:t>Lineamientos para candidaturas comunes</w:t>
      </w:r>
    </w:p>
    <w:p w14:paraId="6FCEA124" w14:textId="77777777" w:rsidR="009F600A" w:rsidRPr="007E1C7C" w:rsidRDefault="00555BF3" w:rsidP="00164F4D">
      <w:pPr>
        <w:rPr>
          <w:sz w:val="23"/>
          <w:szCs w:val="23"/>
        </w:rPr>
      </w:pPr>
      <w:r w:rsidRPr="007E1C7C">
        <w:rPr>
          <w:sz w:val="23"/>
          <w:szCs w:val="23"/>
        </w:rPr>
        <w:t xml:space="preserve">Que, a partir de las consideraciones </w:t>
      </w:r>
      <w:r w:rsidR="009F600A" w:rsidRPr="007E1C7C">
        <w:rPr>
          <w:sz w:val="23"/>
          <w:szCs w:val="23"/>
        </w:rPr>
        <w:t xml:space="preserve">señaladas, este Consejo Estatal con apego a los principios rectores de legalidad, imparcialidad, objetividad, independencia, paridad de género, certeza y máxima publicidad y con estricto respeto a los principios de auto determinación y auto organización de los partidos políticos, </w:t>
      </w:r>
      <w:r w:rsidRPr="007E1C7C">
        <w:rPr>
          <w:sz w:val="23"/>
          <w:szCs w:val="23"/>
        </w:rPr>
        <w:t xml:space="preserve">emite los Lineamientos que contienen los criterios y reglas aplicables para la postulación de candidaturas comunes en el próximo </w:t>
      </w:r>
      <w:r w:rsidR="00B71E04" w:rsidRPr="007E1C7C">
        <w:rPr>
          <w:sz w:val="23"/>
          <w:szCs w:val="23"/>
        </w:rPr>
        <w:t>proceso electoral</w:t>
      </w:r>
      <w:r w:rsidR="009F600A" w:rsidRPr="007E1C7C">
        <w:rPr>
          <w:sz w:val="23"/>
          <w:szCs w:val="23"/>
        </w:rPr>
        <w:t>.</w:t>
      </w:r>
    </w:p>
    <w:p w14:paraId="2F171266" w14:textId="25665EB8" w:rsidR="00B75BE9" w:rsidRPr="007E1C7C" w:rsidRDefault="009F600A" w:rsidP="009F600A">
      <w:pPr>
        <w:rPr>
          <w:sz w:val="23"/>
          <w:szCs w:val="23"/>
        </w:rPr>
      </w:pPr>
      <w:r w:rsidRPr="007E1C7C">
        <w:rPr>
          <w:sz w:val="23"/>
          <w:szCs w:val="23"/>
        </w:rPr>
        <w:t xml:space="preserve">Lo anterior tiene como propósito </w:t>
      </w:r>
      <w:r w:rsidR="00555BF3" w:rsidRPr="007E1C7C">
        <w:rPr>
          <w:sz w:val="23"/>
          <w:szCs w:val="23"/>
        </w:rPr>
        <w:t xml:space="preserve">que, </w:t>
      </w:r>
      <w:r w:rsidR="00B75BE9" w:rsidRPr="007E1C7C">
        <w:rPr>
          <w:sz w:val="23"/>
          <w:szCs w:val="23"/>
        </w:rPr>
        <w:t xml:space="preserve">a través de un solo documento, </w:t>
      </w:r>
      <w:r w:rsidR="00555BF3" w:rsidRPr="007E1C7C">
        <w:rPr>
          <w:sz w:val="23"/>
          <w:szCs w:val="23"/>
        </w:rPr>
        <w:t>los partidos políticos y la</w:t>
      </w:r>
      <w:r w:rsidRPr="007E1C7C">
        <w:rPr>
          <w:sz w:val="23"/>
          <w:szCs w:val="23"/>
        </w:rPr>
        <w:t>s personas interesadas</w:t>
      </w:r>
      <w:r w:rsidR="00555BF3" w:rsidRPr="007E1C7C">
        <w:rPr>
          <w:sz w:val="23"/>
          <w:szCs w:val="23"/>
        </w:rPr>
        <w:t xml:space="preserve"> conozca</w:t>
      </w:r>
      <w:r w:rsidRPr="007E1C7C">
        <w:rPr>
          <w:sz w:val="23"/>
          <w:szCs w:val="23"/>
        </w:rPr>
        <w:t>n</w:t>
      </w:r>
      <w:r w:rsidR="00555BF3" w:rsidRPr="007E1C7C">
        <w:rPr>
          <w:sz w:val="23"/>
          <w:szCs w:val="23"/>
        </w:rPr>
        <w:t xml:space="preserve"> de manera </w:t>
      </w:r>
      <w:r w:rsidRPr="007E1C7C">
        <w:rPr>
          <w:sz w:val="23"/>
          <w:szCs w:val="23"/>
        </w:rPr>
        <w:t>oportuna</w:t>
      </w:r>
      <w:r w:rsidR="00555BF3" w:rsidRPr="007E1C7C">
        <w:rPr>
          <w:sz w:val="23"/>
          <w:szCs w:val="23"/>
        </w:rPr>
        <w:t xml:space="preserve"> el procedimiento al que deberá sujetarse </w:t>
      </w:r>
      <w:r w:rsidRPr="007E1C7C">
        <w:rPr>
          <w:sz w:val="23"/>
          <w:szCs w:val="23"/>
        </w:rPr>
        <w:t xml:space="preserve">la formalización de las candidaturas comunes. </w:t>
      </w:r>
    </w:p>
    <w:p w14:paraId="45FD1D64" w14:textId="720F3CB3" w:rsidR="00B75BE9" w:rsidRPr="007E1C7C" w:rsidRDefault="00B75BE9" w:rsidP="00B75BE9">
      <w:pPr>
        <w:rPr>
          <w:sz w:val="23"/>
          <w:szCs w:val="23"/>
        </w:rPr>
      </w:pPr>
      <w:r w:rsidRPr="007E1C7C">
        <w:rPr>
          <w:sz w:val="23"/>
          <w:szCs w:val="23"/>
        </w:rPr>
        <w:t>Para ello</w:t>
      </w:r>
      <w:r w:rsidR="009F600A" w:rsidRPr="007E1C7C">
        <w:rPr>
          <w:sz w:val="23"/>
          <w:szCs w:val="23"/>
        </w:rPr>
        <w:t xml:space="preserve">, </w:t>
      </w:r>
      <w:r w:rsidR="00555BF3" w:rsidRPr="007E1C7C">
        <w:rPr>
          <w:sz w:val="23"/>
          <w:szCs w:val="23"/>
        </w:rPr>
        <w:t xml:space="preserve">el documento </w:t>
      </w:r>
      <w:r w:rsidR="009F600A" w:rsidRPr="007E1C7C">
        <w:rPr>
          <w:sz w:val="23"/>
          <w:szCs w:val="23"/>
        </w:rPr>
        <w:t xml:space="preserve">contiene </w:t>
      </w:r>
      <w:r w:rsidRPr="007E1C7C">
        <w:rPr>
          <w:sz w:val="23"/>
          <w:szCs w:val="23"/>
        </w:rPr>
        <w:t xml:space="preserve">los </w:t>
      </w:r>
      <w:r w:rsidR="006B1A91" w:rsidRPr="007E1C7C">
        <w:rPr>
          <w:sz w:val="23"/>
          <w:szCs w:val="23"/>
        </w:rPr>
        <w:t xml:space="preserve">requisitos </w:t>
      </w:r>
      <w:r w:rsidRPr="007E1C7C">
        <w:rPr>
          <w:sz w:val="23"/>
          <w:szCs w:val="23"/>
        </w:rPr>
        <w:t xml:space="preserve">que deberán reunir las solicitudes, los documentos que deberán presentarse de forma adjunta, los </w:t>
      </w:r>
      <w:r w:rsidR="006B1A91" w:rsidRPr="007E1C7C">
        <w:rPr>
          <w:sz w:val="23"/>
          <w:szCs w:val="23"/>
        </w:rPr>
        <w:t xml:space="preserve">requisitos </w:t>
      </w:r>
      <w:r w:rsidR="009F600A" w:rsidRPr="007E1C7C">
        <w:rPr>
          <w:sz w:val="23"/>
          <w:szCs w:val="23"/>
        </w:rPr>
        <w:t xml:space="preserve">para </w:t>
      </w:r>
      <w:r w:rsidRPr="007E1C7C">
        <w:rPr>
          <w:sz w:val="23"/>
          <w:szCs w:val="23"/>
        </w:rPr>
        <w:t>la formalización d</w:t>
      </w:r>
      <w:r w:rsidR="009F600A" w:rsidRPr="007E1C7C">
        <w:rPr>
          <w:sz w:val="23"/>
          <w:szCs w:val="23"/>
        </w:rPr>
        <w:t>el convenio</w:t>
      </w:r>
      <w:r w:rsidR="006B1A91" w:rsidRPr="007E1C7C">
        <w:rPr>
          <w:sz w:val="23"/>
          <w:szCs w:val="23"/>
        </w:rPr>
        <w:t xml:space="preserve"> </w:t>
      </w:r>
      <w:r w:rsidRPr="007E1C7C">
        <w:rPr>
          <w:sz w:val="23"/>
          <w:szCs w:val="23"/>
        </w:rPr>
        <w:t xml:space="preserve">y las restricciones a las que estarán sujetos los partidos políticos para postular a través de esta modalidad de asociación. Todo esto permitirá la consulta ágil y oportuna de los partidos políticos que participen en el Proceso Electoral Local Ordinario 2023 – 2024. </w:t>
      </w:r>
    </w:p>
    <w:p w14:paraId="3DB2F6D0" w14:textId="15F74B4D" w:rsidR="00740B50" w:rsidRPr="007E1C7C" w:rsidRDefault="00740B50" w:rsidP="00164F4D">
      <w:pPr>
        <w:rPr>
          <w:sz w:val="23"/>
          <w:szCs w:val="23"/>
        </w:rPr>
      </w:pPr>
      <w:r w:rsidRPr="007E1C7C">
        <w:rPr>
          <w:sz w:val="23"/>
          <w:szCs w:val="23"/>
        </w:rPr>
        <w:lastRenderedPageBreak/>
        <w:t>Sobre la base de las consideraciones señaladas, este Consejo Estatal emite el siguiente:</w:t>
      </w:r>
    </w:p>
    <w:p w14:paraId="1AE87B66" w14:textId="77777777" w:rsidR="00740B50" w:rsidRPr="007E1C7C" w:rsidRDefault="00740B50" w:rsidP="00BF6A6B">
      <w:pPr>
        <w:pStyle w:val="Ttulo1"/>
        <w:rPr>
          <w:sz w:val="24"/>
          <w:szCs w:val="24"/>
        </w:rPr>
      </w:pPr>
      <w:r w:rsidRPr="007E1C7C">
        <w:rPr>
          <w:sz w:val="24"/>
          <w:szCs w:val="24"/>
        </w:rPr>
        <w:t>Ac</w:t>
      </w:r>
      <w:bookmarkStart w:id="0" w:name="_GoBack"/>
      <w:bookmarkEnd w:id="0"/>
      <w:r w:rsidRPr="007E1C7C">
        <w:rPr>
          <w:sz w:val="24"/>
          <w:szCs w:val="24"/>
        </w:rPr>
        <w:t>uerdo</w:t>
      </w:r>
    </w:p>
    <w:p w14:paraId="582AC29B" w14:textId="7EC74339" w:rsidR="00306BF5" w:rsidRPr="00BF6A6B" w:rsidRDefault="00306BF5" w:rsidP="00DE3772">
      <w:pPr>
        <w:pStyle w:val="Puntos"/>
        <w:spacing w:line="300" w:lineRule="auto"/>
        <w:ind w:left="0"/>
        <w:rPr>
          <w:bCs/>
          <w:sz w:val="23"/>
          <w:szCs w:val="23"/>
        </w:rPr>
      </w:pPr>
      <w:r w:rsidRPr="00BF6A6B">
        <w:rPr>
          <w:b/>
          <w:sz w:val="23"/>
          <w:szCs w:val="23"/>
        </w:rPr>
        <w:t xml:space="preserve">Primero. </w:t>
      </w:r>
      <w:r w:rsidRPr="00BF6A6B">
        <w:rPr>
          <w:bCs/>
          <w:sz w:val="23"/>
          <w:szCs w:val="23"/>
        </w:rPr>
        <w:t xml:space="preserve">Se aprueban los Lineamientos </w:t>
      </w:r>
      <w:r w:rsidR="00DE3772" w:rsidRPr="00BF6A6B">
        <w:rPr>
          <w:bCs/>
          <w:sz w:val="23"/>
          <w:szCs w:val="23"/>
        </w:rPr>
        <w:t xml:space="preserve">para la postulación de candidaturas comunes </w:t>
      </w:r>
      <w:r w:rsidR="00AE4F59">
        <w:rPr>
          <w:bCs/>
          <w:sz w:val="23"/>
          <w:szCs w:val="23"/>
        </w:rPr>
        <w:t>con motivo</w:t>
      </w:r>
      <w:r w:rsidR="00DE3772" w:rsidRPr="00BF6A6B">
        <w:rPr>
          <w:bCs/>
          <w:sz w:val="23"/>
          <w:szCs w:val="23"/>
        </w:rPr>
        <w:t xml:space="preserve"> </w:t>
      </w:r>
      <w:r w:rsidR="00AE4F59">
        <w:rPr>
          <w:bCs/>
          <w:sz w:val="23"/>
          <w:szCs w:val="23"/>
        </w:rPr>
        <w:t>d</w:t>
      </w:r>
      <w:r w:rsidR="00DE3772" w:rsidRPr="00BF6A6B">
        <w:rPr>
          <w:bCs/>
          <w:sz w:val="23"/>
          <w:szCs w:val="23"/>
        </w:rPr>
        <w:t xml:space="preserve">el Proceso Electoral Local Ordinario 2023 – 2024 </w:t>
      </w:r>
      <w:r w:rsidRPr="00BF6A6B">
        <w:rPr>
          <w:bCs/>
          <w:sz w:val="23"/>
          <w:szCs w:val="23"/>
        </w:rPr>
        <w:t>anexos al presente acuerdo.</w:t>
      </w:r>
    </w:p>
    <w:p w14:paraId="46698A9A" w14:textId="71BE9A7B" w:rsidR="002E0012" w:rsidRDefault="002E0012" w:rsidP="00164F4D">
      <w:pPr>
        <w:pStyle w:val="Puntos"/>
        <w:spacing w:line="300" w:lineRule="auto"/>
        <w:ind w:left="0"/>
      </w:pPr>
      <w:r w:rsidRPr="002E0012">
        <w:rPr>
          <w:b/>
          <w:bCs/>
        </w:rPr>
        <w:t xml:space="preserve">Segundo. </w:t>
      </w:r>
      <w:r>
        <w:t>L</w:t>
      </w:r>
      <w:r w:rsidRPr="002618F8">
        <w:t xml:space="preserve">os Lineamientos aprobados entrarán en vigor a partir del día siguiente de </w:t>
      </w:r>
      <w:r>
        <w:t xml:space="preserve">la </w:t>
      </w:r>
      <w:r w:rsidRPr="002618F8">
        <w:t xml:space="preserve">aprobación </w:t>
      </w:r>
      <w:r>
        <w:t>del presente acuerdo</w:t>
      </w:r>
      <w:r w:rsidRPr="002618F8">
        <w:t>.</w:t>
      </w:r>
    </w:p>
    <w:p w14:paraId="3C51A77F" w14:textId="483C2523" w:rsidR="00740B50" w:rsidRPr="00BF6A6B" w:rsidRDefault="00E415EF" w:rsidP="00164F4D">
      <w:pPr>
        <w:pStyle w:val="Puntos"/>
        <w:spacing w:line="300" w:lineRule="auto"/>
        <w:ind w:left="0"/>
        <w:rPr>
          <w:sz w:val="23"/>
          <w:szCs w:val="23"/>
        </w:rPr>
      </w:pPr>
      <w:r>
        <w:rPr>
          <w:b/>
          <w:sz w:val="23"/>
          <w:szCs w:val="23"/>
        </w:rPr>
        <w:t xml:space="preserve">Tercero. </w:t>
      </w:r>
      <w:r w:rsidR="00740B50" w:rsidRPr="00BF6A6B">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76C47688" w:rsidR="00740B50" w:rsidRPr="00BF6A6B" w:rsidRDefault="00E415EF" w:rsidP="00164F4D">
      <w:pPr>
        <w:pStyle w:val="Puntos"/>
        <w:spacing w:line="300" w:lineRule="auto"/>
        <w:ind w:left="0"/>
        <w:rPr>
          <w:sz w:val="23"/>
          <w:szCs w:val="23"/>
        </w:rPr>
      </w:pPr>
      <w:r>
        <w:rPr>
          <w:b/>
          <w:bCs/>
          <w:sz w:val="23"/>
          <w:szCs w:val="23"/>
        </w:rPr>
        <w:t>Cuarto</w:t>
      </w:r>
      <w:r w:rsidR="00740B50" w:rsidRPr="00BF6A6B">
        <w:rPr>
          <w:b/>
          <w:bCs/>
          <w:sz w:val="23"/>
          <w:szCs w:val="23"/>
        </w:rPr>
        <w:t>.</w:t>
      </w:r>
      <w:r w:rsidR="00740B50" w:rsidRPr="00BF6A6B">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5A0DA6EE" w:rsidR="00740B50" w:rsidRPr="00BF6A6B" w:rsidRDefault="00740B50" w:rsidP="00164F4D">
      <w:pPr>
        <w:pStyle w:val="Puntos"/>
        <w:spacing w:line="300" w:lineRule="auto"/>
        <w:ind w:left="0"/>
        <w:rPr>
          <w:sz w:val="23"/>
          <w:szCs w:val="23"/>
        </w:rPr>
      </w:pPr>
      <w:r w:rsidRPr="00BF6A6B">
        <w:rPr>
          <w:sz w:val="23"/>
          <w:szCs w:val="23"/>
        </w:rPr>
        <w:t xml:space="preserve">El presente acuerdo fue </w:t>
      </w:r>
      <w:r w:rsidR="007E1C7C">
        <w:rPr>
          <w:sz w:val="23"/>
          <w:szCs w:val="23"/>
        </w:rPr>
        <w:t xml:space="preserve">aprobado </w:t>
      </w:r>
      <w:r w:rsidRPr="00BF6A6B">
        <w:rPr>
          <w:sz w:val="23"/>
          <w:szCs w:val="23"/>
        </w:rPr>
        <w:t>en sesión</w:t>
      </w:r>
      <w:r w:rsidR="007E1C7C">
        <w:rPr>
          <w:sz w:val="23"/>
          <w:szCs w:val="23"/>
        </w:rPr>
        <w:t xml:space="preserve"> ordinaria efectuada el veintinueve</w:t>
      </w:r>
      <w:r w:rsidRPr="00BF6A6B">
        <w:rPr>
          <w:sz w:val="23"/>
          <w:szCs w:val="23"/>
        </w:rPr>
        <w:t xml:space="preserve"> de </w:t>
      </w:r>
      <w:r w:rsidR="007E1C7C">
        <w:rPr>
          <w:sz w:val="23"/>
          <w:szCs w:val="23"/>
        </w:rPr>
        <w:t>septiembre</w:t>
      </w:r>
      <w:r w:rsidRPr="00BF6A6B">
        <w:rPr>
          <w:sz w:val="23"/>
          <w:szCs w:val="23"/>
        </w:rPr>
        <w:t xml:space="preserve"> del año dos mil veintitrés, por votación </w:t>
      </w:r>
      <w:r w:rsidR="007E1C7C">
        <w:rPr>
          <w:sz w:val="23"/>
          <w:szCs w:val="23"/>
        </w:rPr>
        <w:t>unánime</w:t>
      </w:r>
      <w:r w:rsidRPr="00BF6A6B">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5946733D" w14:textId="77777777" w:rsidR="00C92A82" w:rsidRDefault="00C92A82" w:rsidP="00740B50">
      <w:pPr>
        <w:pStyle w:val="Puntos"/>
        <w:spacing w:line="288" w:lineRule="auto"/>
        <w:ind w:left="0"/>
        <w:rPr>
          <w:sz w:val="23"/>
          <w:szCs w:val="23"/>
        </w:rPr>
      </w:pPr>
    </w:p>
    <w:p w14:paraId="34720F27" w14:textId="77777777" w:rsidR="00AE66DC" w:rsidRPr="00BF6A6B" w:rsidRDefault="00AE66DC" w:rsidP="00740B50">
      <w:pPr>
        <w:pStyle w:val="Puntos"/>
        <w:spacing w:line="288" w:lineRule="auto"/>
        <w:ind w:left="0"/>
        <w:rPr>
          <w:sz w:val="23"/>
          <w:szCs w:val="23"/>
        </w:rPr>
      </w:pPr>
    </w:p>
    <w:p w14:paraId="13003BE9" w14:textId="77777777" w:rsidR="00740B50" w:rsidRPr="00BF6A6B" w:rsidRDefault="00740B5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BF6A6B" w14:paraId="2300726E" w14:textId="77777777" w:rsidTr="007E2B43">
        <w:tc>
          <w:tcPr>
            <w:tcW w:w="4395" w:type="dxa"/>
          </w:tcPr>
          <w:p w14:paraId="52563203" w14:textId="77777777" w:rsidR="00740B50" w:rsidRPr="00BF6A6B" w:rsidRDefault="00740B50" w:rsidP="00740B50">
            <w:pPr>
              <w:widowControl w:val="0"/>
              <w:spacing w:before="0" w:after="0" w:line="288" w:lineRule="auto"/>
              <w:jc w:val="center"/>
              <w:rPr>
                <w:b/>
                <w:spacing w:val="-10"/>
                <w:sz w:val="23"/>
                <w:szCs w:val="23"/>
              </w:rPr>
            </w:pPr>
            <w:r w:rsidRPr="00BF6A6B">
              <w:rPr>
                <w:b/>
                <w:spacing w:val="-10"/>
                <w:sz w:val="23"/>
                <w:szCs w:val="23"/>
              </w:rPr>
              <w:t>MTRA. ELIZABETH NAVA GUTIÉRREZ</w:t>
            </w:r>
          </w:p>
          <w:p w14:paraId="4FC98756" w14:textId="77777777" w:rsidR="00740B50" w:rsidRPr="00BF6A6B" w:rsidRDefault="00740B50" w:rsidP="00740B50">
            <w:pPr>
              <w:widowControl w:val="0"/>
              <w:spacing w:before="0" w:after="0" w:line="288" w:lineRule="auto"/>
              <w:jc w:val="center"/>
              <w:rPr>
                <w:b/>
                <w:sz w:val="23"/>
                <w:szCs w:val="23"/>
              </w:rPr>
            </w:pPr>
            <w:r w:rsidRPr="00BF6A6B">
              <w:rPr>
                <w:b/>
                <w:spacing w:val="-10"/>
                <w:sz w:val="23"/>
                <w:szCs w:val="23"/>
              </w:rPr>
              <w:t>CONSEJERA PRESIDENTA</w:t>
            </w:r>
          </w:p>
        </w:tc>
        <w:tc>
          <w:tcPr>
            <w:tcW w:w="278" w:type="dxa"/>
          </w:tcPr>
          <w:p w14:paraId="0159DDD1" w14:textId="77777777" w:rsidR="00740B50" w:rsidRPr="00BF6A6B" w:rsidRDefault="00740B50" w:rsidP="00740B50">
            <w:pPr>
              <w:widowControl w:val="0"/>
              <w:spacing w:before="0" w:after="0" w:line="288" w:lineRule="auto"/>
              <w:rPr>
                <w:b/>
                <w:sz w:val="23"/>
                <w:szCs w:val="23"/>
              </w:rPr>
            </w:pPr>
          </w:p>
        </w:tc>
        <w:tc>
          <w:tcPr>
            <w:tcW w:w="4400" w:type="dxa"/>
          </w:tcPr>
          <w:p w14:paraId="6F9F39CB" w14:textId="77777777" w:rsidR="00740B50" w:rsidRPr="00BF6A6B" w:rsidRDefault="00740B50" w:rsidP="00740B50">
            <w:pPr>
              <w:widowControl w:val="0"/>
              <w:spacing w:before="0" w:after="0" w:line="288" w:lineRule="auto"/>
              <w:jc w:val="center"/>
              <w:rPr>
                <w:b/>
                <w:spacing w:val="-10"/>
                <w:sz w:val="23"/>
                <w:szCs w:val="23"/>
              </w:rPr>
            </w:pPr>
            <w:r w:rsidRPr="00BF6A6B">
              <w:rPr>
                <w:b/>
                <w:spacing w:val="-10"/>
                <w:sz w:val="23"/>
                <w:szCs w:val="23"/>
              </w:rPr>
              <w:t>LIC. JORGE ALBERTO ZAVALA FRÍAS</w:t>
            </w:r>
          </w:p>
          <w:p w14:paraId="4A791AA8" w14:textId="77777777" w:rsidR="00740B50" w:rsidRPr="00BF6A6B" w:rsidRDefault="00740B50" w:rsidP="00740B50">
            <w:pPr>
              <w:widowControl w:val="0"/>
              <w:spacing w:before="0" w:after="0" w:line="288" w:lineRule="auto"/>
              <w:jc w:val="center"/>
              <w:rPr>
                <w:b/>
                <w:sz w:val="23"/>
                <w:szCs w:val="23"/>
              </w:rPr>
            </w:pPr>
            <w:r w:rsidRPr="00BF6A6B">
              <w:rPr>
                <w:b/>
                <w:spacing w:val="-10"/>
                <w:sz w:val="23"/>
                <w:szCs w:val="23"/>
              </w:rPr>
              <w:t>SECRETARIO DEL CONSEJO</w:t>
            </w:r>
          </w:p>
        </w:tc>
      </w:tr>
    </w:tbl>
    <w:p w14:paraId="15D39B25" w14:textId="77777777" w:rsidR="0004782D" w:rsidRPr="00BF6A6B" w:rsidRDefault="0004782D" w:rsidP="0004782D">
      <w:pPr>
        <w:rPr>
          <w:sz w:val="23"/>
          <w:szCs w:val="23"/>
        </w:rPr>
      </w:pPr>
    </w:p>
    <w:sectPr w:rsidR="0004782D" w:rsidRPr="00BF6A6B" w:rsidSect="007E1C7C">
      <w:headerReference w:type="default" r:id="rId8"/>
      <w:footerReference w:type="default" r:id="rId9"/>
      <w:pgSz w:w="12240" w:h="15840" w:code="1"/>
      <w:pgMar w:top="2835" w:right="1325"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ECF15" w14:textId="77777777" w:rsidR="00AC27E7" w:rsidRDefault="00AC27E7" w:rsidP="00681E3C">
      <w:pPr>
        <w:spacing w:before="0" w:after="0" w:line="240" w:lineRule="auto"/>
      </w:pPr>
      <w:r>
        <w:separator/>
      </w:r>
    </w:p>
  </w:endnote>
  <w:endnote w:type="continuationSeparator" w:id="0">
    <w:p w14:paraId="49F4F24C" w14:textId="77777777" w:rsidR="00AC27E7" w:rsidRDefault="00AC27E7"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216782973"/>
      <w:docPartObj>
        <w:docPartGallery w:val="Page Numbers (Bottom of Page)"/>
        <w:docPartUnique/>
      </w:docPartObj>
    </w:sdtPr>
    <w:sdtEndPr/>
    <w:sdtContent>
      <w:sdt>
        <w:sdtPr>
          <w:rPr>
            <w:color w:val="993366"/>
            <w:sz w:val="20"/>
            <w:szCs w:val="20"/>
          </w:rPr>
          <w:id w:val="-236937708"/>
          <w:docPartObj>
            <w:docPartGallery w:val="Page Numbers (Top of Page)"/>
            <w:docPartUnique/>
          </w:docPartObj>
        </w:sdtPr>
        <w:sdtEndPr/>
        <w:sdtContent>
          <w:p w14:paraId="6BC7EC49" w14:textId="101344D5"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7E1C7C">
              <w:rPr>
                <w:b/>
                <w:bCs/>
                <w:noProof/>
                <w:color w:val="993366"/>
              </w:rPr>
              <w:t>10</w:t>
            </w:r>
            <w:r w:rsidRPr="0084107C">
              <w:rPr>
                <w:b/>
                <w:bCs/>
                <w:color w:val="993366"/>
              </w:rPr>
              <w:fldChar w:fldCharType="end"/>
            </w:r>
            <w:r w:rsidRPr="0084107C">
              <w:rPr>
                <w:b/>
                <w:bCs/>
                <w:color w:val="993366"/>
                <w:lang w:val="es-ES"/>
              </w:rPr>
              <w:t xml:space="preserve"> | </w:t>
            </w:r>
            <w:r w:rsidR="00BB46F4">
              <w:rPr>
                <w:b/>
                <w:bCs/>
                <w:color w:val="993366"/>
                <w:lang w:val="es-ES"/>
              </w:rPr>
              <w:t>10</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B2AB" w14:textId="77777777" w:rsidR="00AC27E7" w:rsidRDefault="00AC27E7" w:rsidP="00681E3C">
      <w:pPr>
        <w:spacing w:before="0" w:after="0" w:line="240" w:lineRule="auto"/>
      </w:pPr>
      <w:r>
        <w:separator/>
      </w:r>
    </w:p>
  </w:footnote>
  <w:footnote w:type="continuationSeparator" w:id="0">
    <w:p w14:paraId="66566531" w14:textId="77777777" w:rsidR="00AC27E7" w:rsidRDefault="00AC27E7" w:rsidP="00681E3C">
      <w:pPr>
        <w:spacing w:before="0" w:after="0" w:line="240" w:lineRule="auto"/>
      </w:pPr>
      <w:r>
        <w:continuationSeparator/>
      </w:r>
    </w:p>
  </w:footnote>
  <w:footnote w:id="1">
    <w:p w14:paraId="7223DFB5" w14:textId="37E463E2" w:rsidR="00A952D4" w:rsidRPr="00B74527" w:rsidRDefault="00A952D4">
      <w:pPr>
        <w:pStyle w:val="Textonotapie"/>
        <w:rPr>
          <w:sz w:val="16"/>
          <w:szCs w:val="16"/>
        </w:rPr>
      </w:pPr>
      <w:r w:rsidRPr="00B74527">
        <w:rPr>
          <w:rStyle w:val="Refdenotaalpie"/>
          <w:sz w:val="16"/>
          <w:szCs w:val="16"/>
        </w:rPr>
        <w:footnoteRef/>
      </w:r>
      <w:r w:rsidRPr="00B74527">
        <w:rPr>
          <w:sz w:val="16"/>
          <w:szCs w:val="16"/>
        </w:rPr>
        <w:t xml:space="preserve"> SUP-JRC-24/2018 y SUP-JRC-66/2018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7" name="Imagen 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8" name="Imagen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48C54591" w:rsidR="007D607B" w:rsidRPr="007E1C7C" w:rsidRDefault="007E1C7C" w:rsidP="007E1C7C">
    <w:pPr>
      <w:pStyle w:val="Encabezado"/>
      <w:jc w:val="right"/>
      <w:rPr>
        <w:b/>
        <w:sz w:val="24"/>
        <w:szCs w:val="24"/>
      </w:rPr>
    </w:pPr>
    <w:r w:rsidRPr="007E1C7C">
      <w:rPr>
        <w:b/>
        <w:sz w:val="24"/>
        <w:szCs w:val="24"/>
      </w:rPr>
      <w:t>CE/2023/023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7368D1E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CC328CF"/>
    <w:multiLevelType w:val="hybridMultilevel"/>
    <w:tmpl w:val="AF0A7D4C"/>
    <w:lvl w:ilvl="0" w:tplc="71647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D85A52"/>
    <w:multiLevelType w:val="hybridMultilevel"/>
    <w:tmpl w:val="C812018A"/>
    <w:lvl w:ilvl="0" w:tplc="71647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5463BC"/>
    <w:multiLevelType w:val="multilevel"/>
    <w:tmpl w:val="F71205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F21325A"/>
    <w:multiLevelType w:val="hybridMultilevel"/>
    <w:tmpl w:val="D9E60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8B1602"/>
    <w:multiLevelType w:val="hybridMultilevel"/>
    <w:tmpl w:val="219A6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90573C"/>
    <w:multiLevelType w:val="hybridMultilevel"/>
    <w:tmpl w:val="34FE4BFC"/>
    <w:lvl w:ilvl="0" w:tplc="71647A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874A21"/>
    <w:multiLevelType w:val="hybridMultilevel"/>
    <w:tmpl w:val="427CF3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3"/>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16B4D"/>
    <w:rsid w:val="0004782D"/>
    <w:rsid w:val="0005177B"/>
    <w:rsid w:val="0007023E"/>
    <w:rsid w:val="000A0507"/>
    <w:rsid w:val="000A18F6"/>
    <w:rsid w:val="000A7C9A"/>
    <w:rsid w:val="00110770"/>
    <w:rsid w:val="00164F4D"/>
    <w:rsid w:val="00171410"/>
    <w:rsid w:val="00180DC5"/>
    <w:rsid w:val="00182427"/>
    <w:rsid w:val="001B2468"/>
    <w:rsid w:val="001C7F34"/>
    <w:rsid w:val="001D7A74"/>
    <w:rsid w:val="001F7FDA"/>
    <w:rsid w:val="002013C1"/>
    <w:rsid w:val="00207EB0"/>
    <w:rsid w:val="00211D0D"/>
    <w:rsid w:val="00214AEF"/>
    <w:rsid w:val="002243F1"/>
    <w:rsid w:val="002311C5"/>
    <w:rsid w:val="00270BC2"/>
    <w:rsid w:val="002840C2"/>
    <w:rsid w:val="00286728"/>
    <w:rsid w:val="002919A2"/>
    <w:rsid w:val="00293CAB"/>
    <w:rsid w:val="00293FB8"/>
    <w:rsid w:val="002A535D"/>
    <w:rsid w:val="002B6704"/>
    <w:rsid w:val="002E0012"/>
    <w:rsid w:val="002E7982"/>
    <w:rsid w:val="002F302C"/>
    <w:rsid w:val="00306BF5"/>
    <w:rsid w:val="0031142D"/>
    <w:rsid w:val="003265AE"/>
    <w:rsid w:val="00334BD9"/>
    <w:rsid w:val="00352396"/>
    <w:rsid w:val="003569A1"/>
    <w:rsid w:val="00365DD3"/>
    <w:rsid w:val="00383B0D"/>
    <w:rsid w:val="00385C98"/>
    <w:rsid w:val="003A6A1F"/>
    <w:rsid w:val="003B3E4B"/>
    <w:rsid w:val="003B43C0"/>
    <w:rsid w:val="003B4764"/>
    <w:rsid w:val="003D0E0E"/>
    <w:rsid w:val="003E73B9"/>
    <w:rsid w:val="003F0318"/>
    <w:rsid w:val="00424169"/>
    <w:rsid w:val="004426C4"/>
    <w:rsid w:val="00465BE1"/>
    <w:rsid w:val="00474847"/>
    <w:rsid w:val="00480FEA"/>
    <w:rsid w:val="004A0B95"/>
    <w:rsid w:val="004A0C88"/>
    <w:rsid w:val="004E1C1B"/>
    <w:rsid w:val="004E20E0"/>
    <w:rsid w:val="004E338C"/>
    <w:rsid w:val="004E77A9"/>
    <w:rsid w:val="004F3882"/>
    <w:rsid w:val="0050796E"/>
    <w:rsid w:val="0052172D"/>
    <w:rsid w:val="005360A1"/>
    <w:rsid w:val="005526F5"/>
    <w:rsid w:val="00555BF3"/>
    <w:rsid w:val="00555E47"/>
    <w:rsid w:val="005630A5"/>
    <w:rsid w:val="005977B3"/>
    <w:rsid w:val="005B5704"/>
    <w:rsid w:val="005C3969"/>
    <w:rsid w:val="005C7680"/>
    <w:rsid w:val="00605CA8"/>
    <w:rsid w:val="00655C24"/>
    <w:rsid w:val="006567BA"/>
    <w:rsid w:val="0066234B"/>
    <w:rsid w:val="00671009"/>
    <w:rsid w:val="00671BA4"/>
    <w:rsid w:val="00675723"/>
    <w:rsid w:val="00681E3C"/>
    <w:rsid w:val="006B141E"/>
    <w:rsid w:val="006B1A91"/>
    <w:rsid w:val="006E7BD2"/>
    <w:rsid w:val="007113D2"/>
    <w:rsid w:val="007127D1"/>
    <w:rsid w:val="00713664"/>
    <w:rsid w:val="0071794F"/>
    <w:rsid w:val="0073465C"/>
    <w:rsid w:val="00740B50"/>
    <w:rsid w:val="007467BE"/>
    <w:rsid w:val="00751B62"/>
    <w:rsid w:val="00761920"/>
    <w:rsid w:val="00776E3E"/>
    <w:rsid w:val="007930C7"/>
    <w:rsid w:val="00795BF8"/>
    <w:rsid w:val="007B125F"/>
    <w:rsid w:val="007C26B9"/>
    <w:rsid w:val="007C5431"/>
    <w:rsid w:val="007D607B"/>
    <w:rsid w:val="007E1C7C"/>
    <w:rsid w:val="007E2CBE"/>
    <w:rsid w:val="007E7B89"/>
    <w:rsid w:val="0084107C"/>
    <w:rsid w:val="008459E0"/>
    <w:rsid w:val="00854980"/>
    <w:rsid w:val="008836C7"/>
    <w:rsid w:val="008B7A59"/>
    <w:rsid w:val="008F0665"/>
    <w:rsid w:val="008F1464"/>
    <w:rsid w:val="009108D3"/>
    <w:rsid w:val="009400E9"/>
    <w:rsid w:val="00977672"/>
    <w:rsid w:val="00990F99"/>
    <w:rsid w:val="009A0FA9"/>
    <w:rsid w:val="009E1381"/>
    <w:rsid w:val="009E3857"/>
    <w:rsid w:val="009F600A"/>
    <w:rsid w:val="00A02202"/>
    <w:rsid w:val="00A030B9"/>
    <w:rsid w:val="00A25D5A"/>
    <w:rsid w:val="00A545FA"/>
    <w:rsid w:val="00A952D4"/>
    <w:rsid w:val="00AB2F50"/>
    <w:rsid w:val="00AB729F"/>
    <w:rsid w:val="00AB7C96"/>
    <w:rsid w:val="00AC27E7"/>
    <w:rsid w:val="00AD55F0"/>
    <w:rsid w:val="00AD698A"/>
    <w:rsid w:val="00AE2D54"/>
    <w:rsid w:val="00AE4F59"/>
    <w:rsid w:val="00AE66DC"/>
    <w:rsid w:val="00B005BB"/>
    <w:rsid w:val="00B066E3"/>
    <w:rsid w:val="00B106A6"/>
    <w:rsid w:val="00B25563"/>
    <w:rsid w:val="00B30747"/>
    <w:rsid w:val="00B44C6F"/>
    <w:rsid w:val="00B51FD9"/>
    <w:rsid w:val="00B61801"/>
    <w:rsid w:val="00B629F7"/>
    <w:rsid w:val="00B71E04"/>
    <w:rsid w:val="00B74527"/>
    <w:rsid w:val="00B75BE9"/>
    <w:rsid w:val="00B80364"/>
    <w:rsid w:val="00B81685"/>
    <w:rsid w:val="00BB300E"/>
    <w:rsid w:val="00BB46F4"/>
    <w:rsid w:val="00BB7BBA"/>
    <w:rsid w:val="00BE212A"/>
    <w:rsid w:val="00BE4BE9"/>
    <w:rsid w:val="00BF6A6B"/>
    <w:rsid w:val="00C00229"/>
    <w:rsid w:val="00C01498"/>
    <w:rsid w:val="00C02A70"/>
    <w:rsid w:val="00C06C57"/>
    <w:rsid w:val="00C20465"/>
    <w:rsid w:val="00C209F5"/>
    <w:rsid w:val="00C4775F"/>
    <w:rsid w:val="00C517A1"/>
    <w:rsid w:val="00C62606"/>
    <w:rsid w:val="00C73B8D"/>
    <w:rsid w:val="00C92A82"/>
    <w:rsid w:val="00CC23DD"/>
    <w:rsid w:val="00CD50E3"/>
    <w:rsid w:val="00CE7B28"/>
    <w:rsid w:val="00D14322"/>
    <w:rsid w:val="00D37FAC"/>
    <w:rsid w:val="00D42C97"/>
    <w:rsid w:val="00D471E1"/>
    <w:rsid w:val="00D55DB1"/>
    <w:rsid w:val="00D7628E"/>
    <w:rsid w:val="00D819B9"/>
    <w:rsid w:val="00D90FC8"/>
    <w:rsid w:val="00DA579A"/>
    <w:rsid w:val="00DC1726"/>
    <w:rsid w:val="00DE3772"/>
    <w:rsid w:val="00E01D96"/>
    <w:rsid w:val="00E024B4"/>
    <w:rsid w:val="00E12968"/>
    <w:rsid w:val="00E1616B"/>
    <w:rsid w:val="00E30BD0"/>
    <w:rsid w:val="00E415AF"/>
    <w:rsid w:val="00E415EF"/>
    <w:rsid w:val="00E53E53"/>
    <w:rsid w:val="00E67BE9"/>
    <w:rsid w:val="00E824B8"/>
    <w:rsid w:val="00EB173D"/>
    <w:rsid w:val="00EC3A62"/>
    <w:rsid w:val="00F07FF5"/>
    <w:rsid w:val="00F362F5"/>
    <w:rsid w:val="00F64D85"/>
    <w:rsid w:val="00F95F41"/>
    <w:rsid w:val="00FA0FCA"/>
    <w:rsid w:val="00FB39DC"/>
    <w:rsid w:val="00FB4766"/>
    <w:rsid w:val="00FC1E91"/>
    <w:rsid w:val="00FC3A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BF6A6B"/>
    <w:pPr>
      <w:numPr>
        <w:numId w:val="1"/>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BF6A6B"/>
    <w:pPr>
      <w:keepNext/>
      <w:keepLines/>
      <w:numPr>
        <w:ilvl w:val="1"/>
        <w:numId w:val="1"/>
      </w:numPr>
      <w:spacing w:before="360" w:after="0" w:line="312" w:lineRule="auto"/>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6A6B"/>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BF6A6B"/>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basedOn w:val="Normal"/>
    <w:uiPriority w:val="34"/>
    <w:qFormat/>
    <w:rsid w:val="00E01D96"/>
    <w:pPr>
      <w:ind w:left="720"/>
      <w:contextualSpacing/>
    </w:pPr>
  </w:style>
  <w:style w:type="paragraph" w:styleId="Textonotapie">
    <w:name w:val="footnote text"/>
    <w:basedOn w:val="Normal"/>
    <w:link w:val="TextonotapieCar"/>
    <w:uiPriority w:val="99"/>
    <w:semiHidden/>
    <w:unhideWhenUsed/>
    <w:rsid w:val="00A952D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A952D4"/>
    <w:rPr>
      <w:rFonts w:ascii="Arial" w:hAnsi="Arial" w:cs="Arial"/>
      <w:sz w:val="20"/>
      <w:szCs w:val="20"/>
    </w:rPr>
  </w:style>
  <w:style w:type="character" w:styleId="Refdenotaalpie">
    <w:name w:val="footnote reference"/>
    <w:basedOn w:val="Fuentedeprrafopredeter"/>
    <w:uiPriority w:val="99"/>
    <w:semiHidden/>
    <w:unhideWhenUsed/>
    <w:rsid w:val="00A952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D2AD-B21C-4385-8336-EF1229B0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2870</Words>
  <Characters>15787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106</cp:revision>
  <dcterms:created xsi:type="dcterms:W3CDTF">2023-06-25T22:48:00Z</dcterms:created>
  <dcterms:modified xsi:type="dcterms:W3CDTF">2023-10-02T16:48:00Z</dcterms:modified>
</cp:coreProperties>
</file>