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76D96" w14:textId="2CB1ED5D" w:rsidR="00E67BE9" w:rsidRPr="00EF6A1E" w:rsidRDefault="004C37C4" w:rsidP="00E12968">
      <w:pPr>
        <w:pStyle w:val="Ttulo"/>
        <w:rPr>
          <w:sz w:val="24"/>
          <w:szCs w:val="24"/>
        </w:rPr>
      </w:pPr>
      <w:r w:rsidRPr="00EF6A1E">
        <w:rPr>
          <w:sz w:val="24"/>
          <w:szCs w:val="24"/>
        </w:rPr>
        <w:t>ACUERDO QUE EMITE EL CONSEJO ESTATAL DEL INSTITUTO ELECTORAL Y DE PARTICIPACIÓN CIUDADANA DE TABASCO, MEDIANTE EL CUAL APRUEBA EL CALENDARIO PARA EL PROCESO ELECTORAL LOCAL ORDINARIO 2023 – 2024</w:t>
      </w:r>
    </w:p>
    <w:p w14:paraId="60F1F1C7" w14:textId="77777777" w:rsidR="005A75DF" w:rsidRPr="00EF6A1E" w:rsidRDefault="005A75DF" w:rsidP="00B106A6">
      <w:pPr>
        <w:spacing w:line="288" w:lineRule="auto"/>
        <w:rPr>
          <w:sz w:val="23"/>
          <w:szCs w:val="23"/>
        </w:rPr>
      </w:pPr>
    </w:p>
    <w:p w14:paraId="5BAC7FAE" w14:textId="2DF9BDC5" w:rsidR="00B106A6" w:rsidRDefault="00B106A6" w:rsidP="00B106A6">
      <w:pPr>
        <w:spacing w:line="288" w:lineRule="auto"/>
        <w:rPr>
          <w:sz w:val="23"/>
          <w:szCs w:val="23"/>
        </w:rPr>
      </w:pPr>
      <w:r w:rsidRPr="00EF6A1E">
        <w:rPr>
          <w:sz w:val="23"/>
          <w:szCs w:val="23"/>
        </w:rPr>
        <w:t>Para efectos del presente acuerdo se usarán las abreviaturas y definiciones siguientes:</w:t>
      </w:r>
    </w:p>
    <w:p w14:paraId="0A79E120" w14:textId="77777777" w:rsidR="00946EC3" w:rsidRPr="00EF6A1E" w:rsidRDefault="00946EC3" w:rsidP="00B106A6">
      <w:pPr>
        <w:spacing w:line="288" w:lineRule="auto"/>
        <w:rPr>
          <w:sz w:val="23"/>
          <w:szCs w:val="23"/>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B106A6" w:rsidRPr="00EF6A1E" w14:paraId="0D198CD7" w14:textId="77777777" w:rsidTr="00E81481">
        <w:trPr>
          <w:trHeight w:val="624"/>
          <w:jc w:val="center"/>
        </w:trPr>
        <w:tc>
          <w:tcPr>
            <w:tcW w:w="2042" w:type="pct"/>
            <w:shd w:val="clear" w:color="auto" w:fill="auto"/>
            <w:vAlign w:val="center"/>
          </w:tcPr>
          <w:p w14:paraId="03AB1D3E" w14:textId="77777777" w:rsidR="00B106A6" w:rsidRPr="004C37C4" w:rsidRDefault="00B106A6" w:rsidP="000A0507">
            <w:pPr>
              <w:spacing w:before="60" w:after="60" w:line="288" w:lineRule="auto"/>
              <w:ind w:left="57"/>
              <w:jc w:val="right"/>
              <w:rPr>
                <w:b/>
                <w:sz w:val="20"/>
                <w:szCs w:val="20"/>
              </w:rPr>
            </w:pPr>
            <w:r w:rsidRPr="004C37C4">
              <w:rPr>
                <w:b/>
                <w:sz w:val="20"/>
                <w:szCs w:val="20"/>
              </w:rPr>
              <w:t>Consejo Estatal:</w:t>
            </w:r>
          </w:p>
        </w:tc>
        <w:tc>
          <w:tcPr>
            <w:tcW w:w="2958" w:type="pct"/>
            <w:shd w:val="clear" w:color="auto" w:fill="auto"/>
            <w:vAlign w:val="center"/>
          </w:tcPr>
          <w:p w14:paraId="568D7DA2" w14:textId="77777777" w:rsidR="00B106A6" w:rsidRPr="004C37C4" w:rsidRDefault="00B106A6" w:rsidP="000A0507">
            <w:pPr>
              <w:spacing w:before="60" w:after="60" w:line="288" w:lineRule="auto"/>
              <w:ind w:left="57"/>
              <w:rPr>
                <w:sz w:val="20"/>
                <w:szCs w:val="20"/>
              </w:rPr>
            </w:pPr>
            <w:r w:rsidRPr="004C37C4">
              <w:rPr>
                <w:sz w:val="20"/>
                <w:szCs w:val="20"/>
              </w:rPr>
              <w:t>Consejo Estatal del Instituto Electoral y de Participación Ciudadana de Tabasco.</w:t>
            </w:r>
          </w:p>
        </w:tc>
      </w:tr>
      <w:tr w:rsidR="00B106A6" w:rsidRPr="00EF6A1E" w14:paraId="5EA75C92" w14:textId="77777777" w:rsidTr="00E81481">
        <w:trPr>
          <w:trHeight w:val="624"/>
          <w:jc w:val="center"/>
        </w:trPr>
        <w:tc>
          <w:tcPr>
            <w:tcW w:w="2042" w:type="pct"/>
            <w:shd w:val="clear" w:color="auto" w:fill="auto"/>
            <w:vAlign w:val="center"/>
          </w:tcPr>
          <w:p w14:paraId="283CD78B" w14:textId="77777777" w:rsidR="00B106A6" w:rsidRPr="004C37C4" w:rsidRDefault="00B106A6" w:rsidP="000A0507">
            <w:pPr>
              <w:spacing w:before="60" w:after="60" w:line="288" w:lineRule="auto"/>
              <w:ind w:left="57"/>
              <w:jc w:val="right"/>
              <w:rPr>
                <w:b/>
                <w:sz w:val="20"/>
                <w:szCs w:val="20"/>
              </w:rPr>
            </w:pPr>
            <w:r w:rsidRPr="004C37C4">
              <w:rPr>
                <w:b/>
                <w:sz w:val="20"/>
                <w:szCs w:val="20"/>
              </w:rPr>
              <w:t>Constitución Federal:</w:t>
            </w:r>
          </w:p>
        </w:tc>
        <w:tc>
          <w:tcPr>
            <w:tcW w:w="2958" w:type="pct"/>
            <w:shd w:val="clear" w:color="auto" w:fill="auto"/>
            <w:vAlign w:val="center"/>
          </w:tcPr>
          <w:p w14:paraId="4125B541" w14:textId="77777777" w:rsidR="00B106A6" w:rsidRPr="004C37C4" w:rsidRDefault="00B106A6" w:rsidP="000A0507">
            <w:pPr>
              <w:spacing w:before="60" w:after="60" w:line="288" w:lineRule="auto"/>
              <w:ind w:left="57"/>
              <w:rPr>
                <w:sz w:val="20"/>
                <w:szCs w:val="20"/>
              </w:rPr>
            </w:pPr>
            <w:r w:rsidRPr="004C37C4">
              <w:rPr>
                <w:sz w:val="20"/>
                <w:szCs w:val="20"/>
              </w:rPr>
              <w:t>Constitución Política de los Estados Unidos Mexicanos.</w:t>
            </w:r>
          </w:p>
        </w:tc>
      </w:tr>
      <w:tr w:rsidR="00B106A6" w:rsidRPr="00EF6A1E" w14:paraId="798DD104" w14:textId="77777777" w:rsidTr="00E81481">
        <w:trPr>
          <w:trHeight w:val="624"/>
          <w:jc w:val="center"/>
        </w:trPr>
        <w:tc>
          <w:tcPr>
            <w:tcW w:w="2042" w:type="pct"/>
            <w:shd w:val="clear" w:color="auto" w:fill="auto"/>
            <w:vAlign w:val="center"/>
          </w:tcPr>
          <w:p w14:paraId="559744B3" w14:textId="77777777" w:rsidR="00B106A6" w:rsidRPr="004C37C4" w:rsidRDefault="00B106A6" w:rsidP="000A0507">
            <w:pPr>
              <w:spacing w:before="60" w:after="60" w:line="288" w:lineRule="auto"/>
              <w:ind w:left="57"/>
              <w:jc w:val="right"/>
              <w:rPr>
                <w:b/>
                <w:sz w:val="20"/>
                <w:szCs w:val="20"/>
              </w:rPr>
            </w:pPr>
            <w:r w:rsidRPr="004C37C4">
              <w:rPr>
                <w:b/>
                <w:sz w:val="20"/>
                <w:szCs w:val="20"/>
              </w:rPr>
              <w:t>Constitución Local:</w:t>
            </w:r>
          </w:p>
        </w:tc>
        <w:tc>
          <w:tcPr>
            <w:tcW w:w="2958" w:type="pct"/>
            <w:shd w:val="clear" w:color="auto" w:fill="auto"/>
            <w:vAlign w:val="center"/>
          </w:tcPr>
          <w:p w14:paraId="273363F1" w14:textId="77777777" w:rsidR="00B106A6" w:rsidRPr="004C37C4" w:rsidRDefault="00B106A6" w:rsidP="000A0507">
            <w:pPr>
              <w:spacing w:before="60" w:after="60" w:line="288" w:lineRule="auto"/>
              <w:ind w:left="57"/>
              <w:rPr>
                <w:sz w:val="20"/>
                <w:szCs w:val="20"/>
              </w:rPr>
            </w:pPr>
            <w:r w:rsidRPr="004C37C4">
              <w:rPr>
                <w:sz w:val="20"/>
                <w:szCs w:val="20"/>
              </w:rPr>
              <w:t>Constitución Política del Estado Libre y Soberano de Tabasco.</w:t>
            </w:r>
          </w:p>
        </w:tc>
      </w:tr>
      <w:tr w:rsidR="00B106A6" w:rsidRPr="00EF6A1E" w14:paraId="37C7F3D0" w14:textId="77777777" w:rsidTr="00E81481">
        <w:trPr>
          <w:trHeight w:val="624"/>
          <w:jc w:val="center"/>
        </w:trPr>
        <w:tc>
          <w:tcPr>
            <w:tcW w:w="2042" w:type="pct"/>
            <w:shd w:val="clear" w:color="auto" w:fill="auto"/>
            <w:vAlign w:val="center"/>
          </w:tcPr>
          <w:p w14:paraId="509876B2" w14:textId="77777777" w:rsidR="00B106A6" w:rsidRPr="004C37C4" w:rsidRDefault="00B106A6" w:rsidP="000A0507">
            <w:pPr>
              <w:spacing w:before="60" w:after="60" w:line="288" w:lineRule="auto"/>
              <w:ind w:left="57"/>
              <w:jc w:val="right"/>
              <w:rPr>
                <w:b/>
                <w:sz w:val="20"/>
                <w:szCs w:val="20"/>
              </w:rPr>
            </w:pPr>
            <w:r w:rsidRPr="004C37C4">
              <w:rPr>
                <w:b/>
                <w:sz w:val="20"/>
                <w:szCs w:val="20"/>
              </w:rPr>
              <w:t>INE:</w:t>
            </w:r>
          </w:p>
        </w:tc>
        <w:tc>
          <w:tcPr>
            <w:tcW w:w="2958" w:type="pct"/>
            <w:shd w:val="clear" w:color="auto" w:fill="auto"/>
            <w:vAlign w:val="center"/>
          </w:tcPr>
          <w:p w14:paraId="040E6867" w14:textId="77777777" w:rsidR="00B106A6" w:rsidRPr="004C37C4" w:rsidRDefault="00B106A6" w:rsidP="000A0507">
            <w:pPr>
              <w:spacing w:before="60" w:after="60" w:line="288" w:lineRule="auto"/>
              <w:ind w:left="57"/>
              <w:rPr>
                <w:sz w:val="20"/>
                <w:szCs w:val="20"/>
              </w:rPr>
            </w:pPr>
            <w:r w:rsidRPr="004C37C4">
              <w:rPr>
                <w:sz w:val="20"/>
                <w:szCs w:val="20"/>
              </w:rPr>
              <w:t>Instituto Nacional Electoral.</w:t>
            </w:r>
          </w:p>
        </w:tc>
      </w:tr>
      <w:tr w:rsidR="00B106A6" w:rsidRPr="00EF6A1E" w14:paraId="7BD00233" w14:textId="77777777" w:rsidTr="00E81481">
        <w:trPr>
          <w:trHeight w:val="624"/>
          <w:jc w:val="center"/>
        </w:trPr>
        <w:tc>
          <w:tcPr>
            <w:tcW w:w="2042" w:type="pct"/>
            <w:shd w:val="clear" w:color="auto" w:fill="auto"/>
            <w:vAlign w:val="center"/>
          </w:tcPr>
          <w:p w14:paraId="0CE1357A" w14:textId="3734295B" w:rsidR="00B106A6" w:rsidRPr="004C37C4" w:rsidRDefault="00B106A6" w:rsidP="000A0507">
            <w:pPr>
              <w:spacing w:before="60" w:after="60" w:line="288" w:lineRule="auto"/>
              <w:ind w:left="57"/>
              <w:jc w:val="right"/>
              <w:rPr>
                <w:b/>
                <w:sz w:val="20"/>
                <w:szCs w:val="20"/>
              </w:rPr>
            </w:pPr>
            <w:r w:rsidRPr="004C37C4">
              <w:rPr>
                <w:b/>
                <w:sz w:val="20"/>
                <w:szCs w:val="20"/>
              </w:rPr>
              <w:t>Instituto:</w:t>
            </w:r>
          </w:p>
        </w:tc>
        <w:tc>
          <w:tcPr>
            <w:tcW w:w="2958" w:type="pct"/>
            <w:shd w:val="clear" w:color="auto" w:fill="auto"/>
          </w:tcPr>
          <w:p w14:paraId="36CD44AA" w14:textId="77777777" w:rsidR="00B106A6" w:rsidRPr="004C37C4" w:rsidRDefault="00B106A6" w:rsidP="000A0507">
            <w:pPr>
              <w:spacing w:before="60" w:after="60" w:line="288" w:lineRule="auto"/>
              <w:ind w:left="57"/>
              <w:rPr>
                <w:sz w:val="20"/>
                <w:szCs w:val="20"/>
              </w:rPr>
            </w:pPr>
            <w:r w:rsidRPr="004C37C4">
              <w:rPr>
                <w:sz w:val="20"/>
                <w:szCs w:val="20"/>
              </w:rPr>
              <w:t>Instituto Electoral y de Participación Ciudadana de Tabasco.</w:t>
            </w:r>
          </w:p>
        </w:tc>
      </w:tr>
      <w:tr w:rsidR="00B106A6" w:rsidRPr="00EF6A1E" w14:paraId="48D71ACE" w14:textId="77777777" w:rsidTr="00E81481">
        <w:trPr>
          <w:trHeight w:val="624"/>
          <w:jc w:val="center"/>
        </w:trPr>
        <w:tc>
          <w:tcPr>
            <w:tcW w:w="2042" w:type="pct"/>
            <w:shd w:val="clear" w:color="auto" w:fill="auto"/>
            <w:vAlign w:val="center"/>
          </w:tcPr>
          <w:p w14:paraId="75F15390" w14:textId="77777777" w:rsidR="00B106A6" w:rsidRPr="004C37C4" w:rsidRDefault="00B106A6" w:rsidP="000A0507">
            <w:pPr>
              <w:spacing w:before="60" w:after="60" w:line="288" w:lineRule="auto"/>
              <w:ind w:left="57"/>
              <w:jc w:val="right"/>
              <w:rPr>
                <w:b/>
                <w:sz w:val="20"/>
                <w:szCs w:val="20"/>
              </w:rPr>
            </w:pPr>
            <w:r w:rsidRPr="004C37C4">
              <w:rPr>
                <w:b/>
                <w:sz w:val="20"/>
                <w:szCs w:val="20"/>
              </w:rPr>
              <w:t>Ley Electoral:</w:t>
            </w:r>
          </w:p>
        </w:tc>
        <w:tc>
          <w:tcPr>
            <w:tcW w:w="2958" w:type="pct"/>
            <w:shd w:val="clear" w:color="auto" w:fill="auto"/>
            <w:vAlign w:val="center"/>
          </w:tcPr>
          <w:p w14:paraId="461FB106" w14:textId="77777777" w:rsidR="00B106A6" w:rsidRPr="004C37C4" w:rsidRDefault="00B106A6" w:rsidP="000A0507">
            <w:pPr>
              <w:spacing w:before="60" w:after="60" w:line="288" w:lineRule="auto"/>
              <w:ind w:left="57"/>
              <w:rPr>
                <w:sz w:val="20"/>
                <w:szCs w:val="20"/>
              </w:rPr>
            </w:pPr>
            <w:r w:rsidRPr="004C37C4">
              <w:rPr>
                <w:sz w:val="20"/>
                <w:szCs w:val="20"/>
              </w:rPr>
              <w:t>Ley Electoral y de Partidos Políticos del Estado de Tabasco.</w:t>
            </w:r>
          </w:p>
        </w:tc>
      </w:tr>
      <w:tr w:rsidR="00B106A6" w:rsidRPr="00EF6A1E" w14:paraId="1A850A16" w14:textId="77777777" w:rsidTr="00E81481">
        <w:trPr>
          <w:trHeight w:val="624"/>
          <w:jc w:val="center"/>
        </w:trPr>
        <w:tc>
          <w:tcPr>
            <w:tcW w:w="2042" w:type="pct"/>
            <w:shd w:val="clear" w:color="auto" w:fill="auto"/>
            <w:vAlign w:val="center"/>
          </w:tcPr>
          <w:p w14:paraId="7F2C32B0" w14:textId="77777777" w:rsidR="00B106A6" w:rsidRPr="004C37C4" w:rsidRDefault="00B106A6" w:rsidP="000A0507">
            <w:pPr>
              <w:spacing w:before="60" w:after="60" w:line="288" w:lineRule="auto"/>
              <w:ind w:left="57"/>
              <w:jc w:val="right"/>
              <w:rPr>
                <w:b/>
                <w:sz w:val="20"/>
                <w:szCs w:val="20"/>
              </w:rPr>
            </w:pPr>
            <w:r w:rsidRPr="004C37C4">
              <w:rPr>
                <w:b/>
                <w:sz w:val="20"/>
                <w:szCs w:val="20"/>
              </w:rPr>
              <w:t>Ley General:</w:t>
            </w:r>
          </w:p>
        </w:tc>
        <w:tc>
          <w:tcPr>
            <w:tcW w:w="2958" w:type="pct"/>
            <w:shd w:val="clear" w:color="auto" w:fill="auto"/>
            <w:vAlign w:val="center"/>
          </w:tcPr>
          <w:p w14:paraId="5DA192AE" w14:textId="77777777" w:rsidR="00B106A6" w:rsidRPr="004C37C4" w:rsidRDefault="00B106A6" w:rsidP="000A0507">
            <w:pPr>
              <w:spacing w:before="60" w:after="60" w:line="288" w:lineRule="auto"/>
              <w:ind w:left="57"/>
              <w:rPr>
                <w:sz w:val="20"/>
                <w:szCs w:val="20"/>
              </w:rPr>
            </w:pPr>
            <w:r w:rsidRPr="004C37C4">
              <w:rPr>
                <w:sz w:val="20"/>
                <w:szCs w:val="20"/>
              </w:rPr>
              <w:t>Ley General de Instituciones y Procedimientos Electorales.</w:t>
            </w:r>
          </w:p>
        </w:tc>
      </w:tr>
      <w:tr w:rsidR="00B106A6" w:rsidRPr="00EF6A1E" w14:paraId="3D36CA6F" w14:textId="77777777" w:rsidTr="00E81481">
        <w:trPr>
          <w:trHeight w:val="624"/>
          <w:jc w:val="center"/>
        </w:trPr>
        <w:tc>
          <w:tcPr>
            <w:tcW w:w="2042" w:type="pct"/>
            <w:shd w:val="clear" w:color="auto" w:fill="auto"/>
            <w:vAlign w:val="center"/>
          </w:tcPr>
          <w:p w14:paraId="7CE09E8B" w14:textId="77777777" w:rsidR="00B106A6" w:rsidRPr="004C37C4" w:rsidRDefault="00B106A6" w:rsidP="000A0507">
            <w:pPr>
              <w:spacing w:before="60" w:after="60" w:line="288" w:lineRule="auto"/>
              <w:ind w:left="57"/>
              <w:jc w:val="right"/>
              <w:rPr>
                <w:b/>
                <w:sz w:val="20"/>
                <w:szCs w:val="20"/>
              </w:rPr>
            </w:pPr>
            <w:r w:rsidRPr="004C37C4">
              <w:rPr>
                <w:b/>
                <w:sz w:val="20"/>
                <w:szCs w:val="20"/>
              </w:rPr>
              <w:t>Organismo electoral:</w:t>
            </w:r>
          </w:p>
        </w:tc>
        <w:tc>
          <w:tcPr>
            <w:tcW w:w="2958" w:type="pct"/>
            <w:shd w:val="clear" w:color="auto" w:fill="auto"/>
            <w:vAlign w:val="center"/>
          </w:tcPr>
          <w:p w14:paraId="502F2F4F" w14:textId="77777777" w:rsidR="00B106A6" w:rsidRPr="004C37C4" w:rsidRDefault="00B106A6" w:rsidP="000A0507">
            <w:pPr>
              <w:spacing w:before="60" w:after="60" w:line="288" w:lineRule="auto"/>
              <w:ind w:left="57"/>
              <w:rPr>
                <w:sz w:val="20"/>
                <w:szCs w:val="20"/>
              </w:rPr>
            </w:pPr>
            <w:r w:rsidRPr="004C37C4">
              <w:rPr>
                <w:sz w:val="20"/>
                <w:szCs w:val="20"/>
              </w:rPr>
              <w:t xml:space="preserve">Organismo(s) público(s) local(es) electoral(es). </w:t>
            </w:r>
          </w:p>
        </w:tc>
      </w:tr>
      <w:tr w:rsidR="00B106A6" w:rsidRPr="00EF6A1E" w14:paraId="232DB007" w14:textId="77777777" w:rsidTr="00E81481">
        <w:trPr>
          <w:trHeight w:val="624"/>
          <w:jc w:val="center"/>
        </w:trPr>
        <w:tc>
          <w:tcPr>
            <w:tcW w:w="2042" w:type="pct"/>
            <w:shd w:val="clear" w:color="auto" w:fill="auto"/>
            <w:vAlign w:val="center"/>
          </w:tcPr>
          <w:p w14:paraId="7A00CAE7" w14:textId="4950F786" w:rsidR="00B106A6" w:rsidRPr="004C37C4" w:rsidRDefault="00B106A6" w:rsidP="000A0507">
            <w:pPr>
              <w:spacing w:before="60" w:after="60" w:line="288" w:lineRule="auto"/>
              <w:ind w:left="57"/>
              <w:jc w:val="right"/>
              <w:rPr>
                <w:b/>
                <w:sz w:val="20"/>
                <w:szCs w:val="20"/>
              </w:rPr>
            </w:pPr>
            <w:r w:rsidRPr="004C37C4">
              <w:rPr>
                <w:b/>
                <w:sz w:val="20"/>
                <w:szCs w:val="20"/>
              </w:rPr>
              <w:t>Reglamento de Elecciones:</w:t>
            </w:r>
          </w:p>
        </w:tc>
        <w:tc>
          <w:tcPr>
            <w:tcW w:w="2958" w:type="pct"/>
            <w:shd w:val="clear" w:color="auto" w:fill="auto"/>
            <w:vAlign w:val="center"/>
          </w:tcPr>
          <w:p w14:paraId="0B75042C" w14:textId="768FAE5B" w:rsidR="00B106A6" w:rsidRPr="004C37C4" w:rsidRDefault="00B106A6" w:rsidP="000A0507">
            <w:pPr>
              <w:spacing w:before="60" w:after="60" w:line="288" w:lineRule="auto"/>
              <w:ind w:left="57"/>
              <w:rPr>
                <w:sz w:val="20"/>
                <w:szCs w:val="20"/>
              </w:rPr>
            </w:pPr>
            <w:r w:rsidRPr="004C37C4">
              <w:rPr>
                <w:sz w:val="20"/>
                <w:szCs w:val="20"/>
              </w:rPr>
              <w:t>Reglamento de Elecciones del Instituto Nacional Electoral.</w:t>
            </w:r>
          </w:p>
        </w:tc>
      </w:tr>
      <w:tr w:rsidR="00B106A6" w:rsidRPr="00EF6A1E" w14:paraId="727F9F22" w14:textId="77777777" w:rsidTr="00E81481">
        <w:trPr>
          <w:trHeight w:val="624"/>
          <w:jc w:val="center"/>
        </w:trPr>
        <w:tc>
          <w:tcPr>
            <w:tcW w:w="2042" w:type="pct"/>
            <w:shd w:val="clear" w:color="auto" w:fill="auto"/>
            <w:vAlign w:val="center"/>
          </w:tcPr>
          <w:p w14:paraId="2AC6BE2F" w14:textId="77777777" w:rsidR="00B106A6" w:rsidRPr="004C37C4" w:rsidRDefault="00B106A6" w:rsidP="000A0507">
            <w:pPr>
              <w:spacing w:before="60" w:after="60" w:line="288" w:lineRule="auto"/>
              <w:ind w:left="57"/>
              <w:jc w:val="right"/>
              <w:rPr>
                <w:b/>
                <w:sz w:val="20"/>
                <w:szCs w:val="20"/>
              </w:rPr>
            </w:pPr>
            <w:r w:rsidRPr="004C37C4">
              <w:rPr>
                <w:b/>
                <w:sz w:val="20"/>
                <w:szCs w:val="20"/>
              </w:rPr>
              <w:t>Secretaría Ejecutiva:</w:t>
            </w:r>
          </w:p>
        </w:tc>
        <w:tc>
          <w:tcPr>
            <w:tcW w:w="2958" w:type="pct"/>
            <w:shd w:val="clear" w:color="auto" w:fill="auto"/>
            <w:vAlign w:val="center"/>
          </w:tcPr>
          <w:p w14:paraId="257AC90C" w14:textId="77777777" w:rsidR="00B106A6" w:rsidRPr="004C37C4" w:rsidRDefault="00B106A6" w:rsidP="000A0507">
            <w:pPr>
              <w:spacing w:before="60" w:after="60" w:line="288" w:lineRule="auto"/>
              <w:ind w:left="57"/>
              <w:rPr>
                <w:sz w:val="20"/>
                <w:szCs w:val="20"/>
              </w:rPr>
            </w:pPr>
            <w:r w:rsidRPr="004C37C4">
              <w:rPr>
                <w:sz w:val="20"/>
                <w:szCs w:val="20"/>
              </w:rPr>
              <w:t>Secretaría Ejecutiva del Instituto Electoral y de Participación Ciudadana de Tabasco.</w:t>
            </w:r>
          </w:p>
        </w:tc>
      </w:tr>
    </w:tbl>
    <w:p w14:paraId="2508CA06" w14:textId="77777777" w:rsidR="00B106A6" w:rsidRPr="00EF6A1E" w:rsidRDefault="00B106A6" w:rsidP="00B106A6"/>
    <w:p w14:paraId="295D96A8" w14:textId="5FA9F028" w:rsidR="0004782D" w:rsidRPr="004C37C4" w:rsidRDefault="0004782D" w:rsidP="00AD3519">
      <w:pPr>
        <w:pStyle w:val="Ttulo1"/>
        <w:rPr>
          <w:sz w:val="24"/>
          <w:szCs w:val="24"/>
        </w:rPr>
      </w:pPr>
      <w:r w:rsidRPr="004C37C4">
        <w:rPr>
          <w:sz w:val="24"/>
          <w:szCs w:val="24"/>
        </w:rPr>
        <w:lastRenderedPageBreak/>
        <w:t>Antecedentes</w:t>
      </w:r>
    </w:p>
    <w:p w14:paraId="0DF156A1" w14:textId="77777777" w:rsidR="00962430" w:rsidRPr="004C37C4" w:rsidRDefault="00962430" w:rsidP="00962430">
      <w:pPr>
        <w:pStyle w:val="Ttulo2"/>
        <w:keepNext w:val="0"/>
        <w:keepLines w:val="0"/>
        <w:widowControl w:val="0"/>
        <w:spacing w:before="480" w:after="240"/>
        <w:rPr>
          <w:sz w:val="23"/>
          <w:szCs w:val="23"/>
        </w:rPr>
      </w:pPr>
      <w:r w:rsidRPr="00C824D3">
        <w:t>Homologación de plazos y fechas en los Procesos Electorales Locales Concurrentes</w:t>
      </w:r>
    </w:p>
    <w:p w14:paraId="7E9523DE" w14:textId="77777777" w:rsidR="00962430" w:rsidRPr="004C37C4" w:rsidRDefault="00962430" w:rsidP="00962430">
      <w:pPr>
        <w:widowControl w:val="0"/>
        <w:rPr>
          <w:sz w:val="23"/>
          <w:szCs w:val="23"/>
        </w:rPr>
      </w:pPr>
      <w:r w:rsidRPr="004C37C4">
        <w:rPr>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00BF90B" w14:textId="11E5E739" w:rsidR="0079650B" w:rsidRPr="004C37C4" w:rsidRDefault="0079650B" w:rsidP="00AD3519">
      <w:pPr>
        <w:pStyle w:val="Ttulo2"/>
        <w:rPr>
          <w:sz w:val="23"/>
          <w:szCs w:val="23"/>
        </w:rPr>
      </w:pPr>
      <w:r w:rsidRPr="004C37C4">
        <w:rPr>
          <w:sz w:val="23"/>
          <w:szCs w:val="23"/>
        </w:rPr>
        <w:t xml:space="preserve">Plan Integral y calendarios de </w:t>
      </w:r>
      <w:r w:rsidR="000602F5" w:rsidRPr="004C37C4">
        <w:rPr>
          <w:sz w:val="23"/>
          <w:szCs w:val="23"/>
        </w:rPr>
        <w:t>c</w:t>
      </w:r>
      <w:r w:rsidRPr="004C37C4">
        <w:rPr>
          <w:sz w:val="23"/>
          <w:szCs w:val="23"/>
        </w:rPr>
        <w:t>oordinación de los Procesos Electorales Locales Concurrente con el Federal 2023-2024</w:t>
      </w:r>
    </w:p>
    <w:p w14:paraId="465E1069" w14:textId="42DF6A82" w:rsidR="0079650B" w:rsidRPr="004C37C4" w:rsidRDefault="0079650B" w:rsidP="0079650B">
      <w:pPr>
        <w:rPr>
          <w:sz w:val="23"/>
          <w:szCs w:val="23"/>
        </w:rPr>
      </w:pPr>
      <w:r w:rsidRPr="004C37C4">
        <w:rPr>
          <w:sz w:val="23"/>
          <w:szCs w:val="23"/>
        </w:rPr>
        <w:t xml:space="preserve">El 20 de julio del presente año, el Consejo General del INE mediante acuerdo INE/CG446/2023 aprobó el Plan Integral y </w:t>
      </w:r>
      <w:r w:rsidR="00C40D1E" w:rsidRPr="004C37C4">
        <w:rPr>
          <w:sz w:val="23"/>
          <w:szCs w:val="23"/>
        </w:rPr>
        <w:t xml:space="preserve">los </w:t>
      </w:r>
      <w:r w:rsidRPr="004C37C4">
        <w:rPr>
          <w:sz w:val="23"/>
          <w:szCs w:val="23"/>
        </w:rPr>
        <w:t xml:space="preserve">Calendarios de Coordinación </w:t>
      </w:r>
      <w:r w:rsidR="00C40D1E" w:rsidRPr="004C37C4">
        <w:rPr>
          <w:sz w:val="23"/>
          <w:szCs w:val="23"/>
        </w:rPr>
        <w:t xml:space="preserve">de los Procesos Electorales Locales concurrentes con </w:t>
      </w:r>
      <w:r w:rsidRPr="004C37C4">
        <w:rPr>
          <w:sz w:val="23"/>
          <w:szCs w:val="23"/>
        </w:rPr>
        <w:t xml:space="preserve">el </w:t>
      </w:r>
      <w:r w:rsidR="00C40D1E" w:rsidRPr="004C37C4">
        <w:rPr>
          <w:sz w:val="23"/>
          <w:szCs w:val="23"/>
        </w:rPr>
        <w:t xml:space="preserve">Federal </w:t>
      </w:r>
      <w:r w:rsidRPr="004C37C4">
        <w:rPr>
          <w:sz w:val="23"/>
          <w:szCs w:val="23"/>
        </w:rPr>
        <w:t>2023</w:t>
      </w:r>
      <w:r w:rsidR="00405092" w:rsidRPr="004C37C4">
        <w:rPr>
          <w:sz w:val="23"/>
          <w:szCs w:val="23"/>
        </w:rPr>
        <w:t xml:space="preserve"> – </w:t>
      </w:r>
      <w:r w:rsidRPr="004C37C4">
        <w:rPr>
          <w:sz w:val="23"/>
          <w:szCs w:val="23"/>
        </w:rPr>
        <w:t>2024</w:t>
      </w:r>
      <w:r w:rsidR="00405092" w:rsidRPr="004C37C4">
        <w:rPr>
          <w:sz w:val="23"/>
          <w:szCs w:val="23"/>
        </w:rPr>
        <w:t xml:space="preserve"> </w:t>
      </w:r>
      <w:r w:rsidRPr="004C37C4">
        <w:rPr>
          <w:sz w:val="23"/>
          <w:szCs w:val="23"/>
        </w:rPr>
        <w:t xml:space="preserve">que tiene como finalidad coadyuvar a la evaluación de la actuación del INE y de los </w:t>
      </w:r>
      <w:r w:rsidR="00DC1612" w:rsidRPr="004C37C4">
        <w:rPr>
          <w:sz w:val="23"/>
          <w:szCs w:val="23"/>
        </w:rPr>
        <w:t>o</w:t>
      </w:r>
      <w:r w:rsidRPr="004C37C4">
        <w:rPr>
          <w:sz w:val="23"/>
          <w:szCs w:val="23"/>
        </w:rPr>
        <w:t>rganismo</w:t>
      </w:r>
      <w:r w:rsidR="00DC1612" w:rsidRPr="004C37C4">
        <w:rPr>
          <w:sz w:val="23"/>
          <w:szCs w:val="23"/>
        </w:rPr>
        <w:t>s electorales</w:t>
      </w:r>
      <w:r w:rsidR="00EE0CDE" w:rsidRPr="004C37C4">
        <w:rPr>
          <w:sz w:val="23"/>
          <w:szCs w:val="23"/>
        </w:rPr>
        <w:t>,</w:t>
      </w:r>
      <w:r w:rsidRPr="004C37C4">
        <w:rPr>
          <w:sz w:val="23"/>
          <w:szCs w:val="23"/>
        </w:rPr>
        <w:t xml:space="preserve"> permitiendo formular propuestas de mejora permanente en la planeación de procesos electorales subsecuentes.</w:t>
      </w:r>
    </w:p>
    <w:p w14:paraId="21A857D3" w14:textId="77777777" w:rsidR="0079650B" w:rsidRPr="004C37C4" w:rsidRDefault="0079650B" w:rsidP="00AD3519">
      <w:pPr>
        <w:pStyle w:val="Ttulo2"/>
        <w:rPr>
          <w:sz w:val="23"/>
          <w:szCs w:val="23"/>
        </w:rPr>
      </w:pPr>
      <w:r w:rsidRPr="004C37C4">
        <w:rPr>
          <w:sz w:val="23"/>
          <w:szCs w:val="23"/>
        </w:rPr>
        <w:t xml:space="preserve">Convenio de Coordinación </w:t>
      </w:r>
    </w:p>
    <w:p w14:paraId="523DFEA9" w14:textId="35722287" w:rsidR="0079650B" w:rsidRPr="004C37C4" w:rsidRDefault="0079650B" w:rsidP="0079650B">
      <w:pPr>
        <w:rPr>
          <w:sz w:val="23"/>
          <w:szCs w:val="23"/>
        </w:rPr>
      </w:pPr>
      <w:r w:rsidRPr="004C37C4">
        <w:rPr>
          <w:sz w:val="23"/>
          <w:szCs w:val="23"/>
        </w:rPr>
        <w:t xml:space="preserve">El 7 de septiembre del presente año, </w:t>
      </w:r>
      <w:r w:rsidR="00A46B15" w:rsidRPr="004C37C4">
        <w:rPr>
          <w:sz w:val="23"/>
          <w:szCs w:val="23"/>
        </w:rPr>
        <w:t xml:space="preserve">el </w:t>
      </w:r>
      <w:r w:rsidRPr="004C37C4">
        <w:rPr>
          <w:sz w:val="23"/>
          <w:szCs w:val="23"/>
        </w:rPr>
        <w:t xml:space="preserve">INE y el Instituto suscribieron el Convenio General para establecer las bases de coordinación para hacer efectiva la realización del Proceso Electoral Concurrente 2023-2024 en el estado de Tabasco para la renovación de los cargos a la Gubernatura del Estado, diputaciones locales, presidencias municipales y regidurías, cuya jornada electoral se celebrará el </w:t>
      </w:r>
      <w:r w:rsidR="0017781F" w:rsidRPr="004C37C4">
        <w:rPr>
          <w:sz w:val="23"/>
          <w:szCs w:val="23"/>
        </w:rPr>
        <w:t>2</w:t>
      </w:r>
      <w:r w:rsidRPr="004C37C4">
        <w:rPr>
          <w:sz w:val="23"/>
          <w:szCs w:val="23"/>
        </w:rPr>
        <w:t xml:space="preserve"> de junio de 2024.  </w:t>
      </w:r>
    </w:p>
    <w:p w14:paraId="315158D3" w14:textId="18ACE7E4" w:rsidR="00B51FD9" w:rsidRPr="004C37C4" w:rsidRDefault="00B51FD9" w:rsidP="00AD3519">
      <w:pPr>
        <w:pStyle w:val="Ttulo2"/>
        <w:rPr>
          <w:sz w:val="23"/>
          <w:szCs w:val="23"/>
        </w:rPr>
      </w:pPr>
      <w:r w:rsidRPr="004C37C4">
        <w:rPr>
          <w:sz w:val="23"/>
          <w:szCs w:val="23"/>
        </w:rPr>
        <w:lastRenderedPageBreak/>
        <w:t>Inicio del Proceso Electoral</w:t>
      </w:r>
    </w:p>
    <w:p w14:paraId="18C9651B" w14:textId="5C7C3DA3" w:rsidR="00B51FD9" w:rsidRPr="004C37C4" w:rsidRDefault="00B51FD9" w:rsidP="00AD3519">
      <w:pPr>
        <w:rPr>
          <w:sz w:val="23"/>
          <w:szCs w:val="23"/>
        </w:rPr>
      </w:pPr>
      <w:r w:rsidRPr="004C37C4">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p>
    <w:p w14:paraId="43477197" w14:textId="77777777" w:rsidR="00962430" w:rsidRPr="004C37C4" w:rsidRDefault="00962430" w:rsidP="00962430">
      <w:pPr>
        <w:pStyle w:val="Ttulo2"/>
        <w:keepNext w:val="0"/>
        <w:keepLines w:val="0"/>
        <w:widowControl w:val="0"/>
        <w:spacing w:before="480" w:after="240"/>
        <w:rPr>
          <w:sz w:val="23"/>
          <w:szCs w:val="23"/>
        </w:rPr>
      </w:pPr>
      <w:r w:rsidRPr="004C37C4">
        <w:rPr>
          <w:sz w:val="23"/>
          <w:szCs w:val="23"/>
        </w:rPr>
        <w:t>Jornada Electoral</w:t>
      </w:r>
    </w:p>
    <w:p w14:paraId="26DD787C" w14:textId="77777777" w:rsidR="00962430" w:rsidRPr="004C37C4" w:rsidRDefault="00962430" w:rsidP="00962430">
      <w:pPr>
        <w:widowControl w:val="0"/>
        <w:rPr>
          <w:sz w:val="23"/>
          <w:szCs w:val="23"/>
        </w:rPr>
      </w:pPr>
      <w:r w:rsidRPr="004C37C4">
        <w:rPr>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4A1D549" w14:textId="77777777" w:rsidR="00740B50" w:rsidRPr="004C37C4" w:rsidRDefault="00740B50" w:rsidP="00AD3519">
      <w:pPr>
        <w:pStyle w:val="Ttulo1"/>
        <w:rPr>
          <w:sz w:val="24"/>
          <w:szCs w:val="24"/>
        </w:rPr>
      </w:pPr>
      <w:r w:rsidRPr="004C37C4">
        <w:rPr>
          <w:sz w:val="24"/>
          <w:szCs w:val="24"/>
        </w:rPr>
        <w:t>Considerando</w:t>
      </w:r>
    </w:p>
    <w:p w14:paraId="7F8052D8" w14:textId="67235C6E" w:rsidR="00740B50" w:rsidRPr="004C37C4" w:rsidRDefault="00740B50" w:rsidP="00AD3519">
      <w:pPr>
        <w:pStyle w:val="Ttulo2"/>
        <w:rPr>
          <w:sz w:val="23"/>
          <w:szCs w:val="23"/>
        </w:rPr>
      </w:pPr>
      <w:r w:rsidRPr="004C37C4">
        <w:rPr>
          <w:sz w:val="23"/>
          <w:szCs w:val="23"/>
        </w:rPr>
        <w:t xml:space="preserve">Fines del Instituto </w:t>
      </w:r>
    </w:p>
    <w:p w14:paraId="78F71616" w14:textId="529DC6AB" w:rsidR="00740B50" w:rsidRPr="004C37C4" w:rsidRDefault="00740B50" w:rsidP="00AD3519">
      <w:pPr>
        <w:rPr>
          <w:sz w:val="23"/>
          <w:szCs w:val="23"/>
        </w:rPr>
      </w:pPr>
      <w:r w:rsidRPr="004C37C4">
        <w:rPr>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A17404E" w14:textId="3DD28510" w:rsidR="00740B50" w:rsidRPr="004C37C4" w:rsidRDefault="00740B50" w:rsidP="00164F4D">
      <w:pPr>
        <w:rPr>
          <w:sz w:val="23"/>
          <w:szCs w:val="23"/>
        </w:rPr>
      </w:pPr>
      <w:r w:rsidRPr="004C37C4">
        <w:rPr>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C0735C" w:rsidRPr="004C37C4">
        <w:rPr>
          <w:sz w:val="23"/>
          <w:szCs w:val="23"/>
        </w:rPr>
        <w:t>A</w:t>
      </w:r>
      <w:r w:rsidRPr="004C37C4">
        <w:rPr>
          <w:sz w:val="23"/>
          <w:szCs w:val="23"/>
        </w:rPr>
        <w:t xml:space="preserve">yuntamientos del Estado; velar por la autenticidad y efectividad del voto; llevar a cabo la promoción del voto y coadyuvar en la difusión de la educación cívica y de la cultura democrática; </w:t>
      </w:r>
      <w:r w:rsidRPr="004C37C4">
        <w:rPr>
          <w:sz w:val="23"/>
          <w:szCs w:val="23"/>
        </w:rPr>
        <w:lastRenderedPageBreak/>
        <w:t>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4499F2B9" w:rsidR="00740B50" w:rsidRPr="004C37C4" w:rsidRDefault="00740B50" w:rsidP="00AD3519">
      <w:pPr>
        <w:pStyle w:val="Ttulo2"/>
        <w:rPr>
          <w:sz w:val="23"/>
          <w:szCs w:val="23"/>
        </w:rPr>
      </w:pPr>
      <w:r w:rsidRPr="004C37C4">
        <w:rPr>
          <w:sz w:val="23"/>
          <w:szCs w:val="23"/>
        </w:rPr>
        <w:t xml:space="preserve">Órganos Centrales del Instituto </w:t>
      </w:r>
    </w:p>
    <w:p w14:paraId="1CE6FE70" w14:textId="610189C8" w:rsidR="00740B50" w:rsidRPr="004C37C4" w:rsidRDefault="00740B50" w:rsidP="00164F4D">
      <w:pPr>
        <w:rPr>
          <w:sz w:val="23"/>
          <w:szCs w:val="23"/>
        </w:rPr>
      </w:pPr>
      <w:r w:rsidRPr="004C37C4">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64BBCDB3" w14:textId="130FB10D" w:rsidR="00740B50" w:rsidRPr="004C37C4" w:rsidRDefault="00740B50" w:rsidP="00AD3519">
      <w:pPr>
        <w:pStyle w:val="Ttulo2"/>
        <w:rPr>
          <w:sz w:val="23"/>
          <w:szCs w:val="23"/>
        </w:rPr>
      </w:pPr>
      <w:r w:rsidRPr="004C37C4">
        <w:rPr>
          <w:sz w:val="23"/>
          <w:szCs w:val="23"/>
        </w:rPr>
        <w:t xml:space="preserve">Órgano Superior de Dirección del Instituto </w:t>
      </w:r>
    </w:p>
    <w:p w14:paraId="13CF4304" w14:textId="5C07E8B5" w:rsidR="00740B50" w:rsidRPr="004C37C4" w:rsidRDefault="00740B50" w:rsidP="00164F4D">
      <w:pPr>
        <w:rPr>
          <w:sz w:val="23"/>
          <w:szCs w:val="23"/>
        </w:rPr>
      </w:pPr>
      <w:r w:rsidRPr="004C37C4">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B202170" w14:textId="77777777" w:rsidR="00740B50" w:rsidRPr="004C37C4" w:rsidRDefault="00740B50" w:rsidP="00AD3519">
      <w:pPr>
        <w:pStyle w:val="Ttulo2"/>
        <w:rPr>
          <w:sz w:val="23"/>
          <w:szCs w:val="23"/>
        </w:rPr>
      </w:pPr>
      <w:r w:rsidRPr="004C37C4">
        <w:rPr>
          <w:sz w:val="23"/>
          <w:szCs w:val="23"/>
        </w:rPr>
        <w:t>Integración del Órgano de Dirección Superior</w:t>
      </w:r>
    </w:p>
    <w:p w14:paraId="3AAF98EF" w14:textId="77777777" w:rsidR="00740B50" w:rsidRPr="004C37C4" w:rsidRDefault="00740B50" w:rsidP="00164F4D">
      <w:pPr>
        <w:rPr>
          <w:sz w:val="23"/>
          <w:szCs w:val="23"/>
        </w:rPr>
      </w:pPr>
      <w:r w:rsidRPr="004C37C4">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D8ADB18" w14:textId="77777777" w:rsidR="00740B50" w:rsidRPr="004C37C4" w:rsidRDefault="00740B50" w:rsidP="00AD3519">
      <w:pPr>
        <w:pStyle w:val="Ttulo2"/>
        <w:rPr>
          <w:sz w:val="23"/>
          <w:szCs w:val="23"/>
        </w:rPr>
      </w:pPr>
      <w:r w:rsidRPr="004C37C4">
        <w:rPr>
          <w:sz w:val="23"/>
          <w:szCs w:val="23"/>
        </w:rPr>
        <w:t xml:space="preserve">Competencia del Consejo Estatal </w:t>
      </w:r>
    </w:p>
    <w:p w14:paraId="2F921C49" w14:textId="5AF579D7" w:rsidR="00270BC2" w:rsidRPr="004C37C4" w:rsidRDefault="00740B50" w:rsidP="00164F4D">
      <w:pPr>
        <w:rPr>
          <w:sz w:val="23"/>
          <w:szCs w:val="23"/>
        </w:rPr>
      </w:pPr>
      <w:r w:rsidRPr="004C37C4">
        <w:rPr>
          <w:sz w:val="23"/>
          <w:szCs w:val="23"/>
        </w:rPr>
        <w:t xml:space="preserve">Que, de conformidad con </w:t>
      </w:r>
      <w:r w:rsidR="00C01498" w:rsidRPr="004C37C4">
        <w:rPr>
          <w:sz w:val="23"/>
          <w:szCs w:val="23"/>
        </w:rPr>
        <w:t>el artículo 115, numeral 1, fracciones I, II</w:t>
      </w:r>
      <w:r w:rsidR="00270BC2" w:rsidRPr="004C37C4">
        <w:rPr>
          <w:sz w:val="23"/>
          <w:szCs w:val="23"/>
        </w:rPr>
        <w:t xml:space="preserve">, </w:t>
      </w:r>
      <w:r w:rsidR="00C01498" w:rsidRPr="004C37C4">
        <w:rPr>
          <w:sz w:val="23"/>
          <w:szCs w:val="23"/>
        </w:rPr>
        <w:t>XV</w:t>
      </w:r>
      <w:r w:rsidR="008F0665" w:rsidRPr="004C37C4">
        <w:rPr>
          <w:sz w:val="23"/>
          <w:szCs w:val="23"/>
        </w:rPr>
        <w:t xml:space="preserve"> </w:t>
      </w:r>
      <w:r w:rsidR="00270BC2" w:rsidRPr="004C37C4">
        <w:rPr>
          <w:sz w:val="23"/>
          <w:szCs w:val="23"/>
        </w:rPr>
        <w:t xml:space="preserve">y XVII </w:t>
      </w:r>
      <w:r w:rsidR="008F0665" w:rsidRPr="004C37C4">
        <w:rPr>
          <w:sz w:val="23"/>
          <w:szCs w:val="23"/>
        </w:rPr>
        <w:t>de la Ley Electoral, el Consejo Estatal es competente para aplicar las disposiciones generales, reglas, lineamientos, criterios y formatos que, en ejercicio de las facultades que le confieren la Constitución Federal y la Ley General, establezca el INE; asimismo para vigilar y supervisar la oportuna integración, instalación y adecuado funcionamiento de los órganos distritales del Instituto</w:t>
      </w:r>
      <w:r w:rsidR="00270BC2" w:rsidRPr="004C37C4">
        <w:rPr>
          <w:sz w:val="23"/>
          <w:szCs w:val="23"/>
        </w:rPr>
        <w:t>;</w:t>
      </w:r>
      <w:r w:rsidR="008F0665" w:rsidRPr="004C37C4">
        <w:rPr>
          <w:sz w:val="23"/>
          <w:szCs w:val="23"/>
        </w:rPr>
        <w:t xml:space="preserve"> llevar a cabo las actividades necesarias para la </w:t>
      </w:r>
      <w:r w:rsidR="008F0665" w:rsidRPr="004C37C4">
        <w:rPr>
          <w:sz w:val="23"/>
          <w:szCs w:val="23"/>
        </w:rPr>
        <w:lastRenderedPageBreak/>
        <w:t>preparación de la jornada electoral</w:t>
      </w:r>
      <w:r w:rsidR="00270BC2" w:rsidRPr="004C37C4">
        <w:rPr>
          <w:sz w:val="23"/>
          <w:szCs w:val="23"/>
        </w:rPr>
        <w:t xml:space="preserve"> y aprobar los convenios y los documentos técnicos respectivos en materia de Registro Federal de Electores y los productos derivados, que se formulen con el INE para el desarrollo de los procesos electorales y de participación ciudadana locales; así como en lo relativo al acceso de los partidos políticos, las candidatas y candidatos y las autoridades electorales locales a los tiempos en radio y televisión conforme a lo indicado en la Constitución Federal, las leyes generales y demás ordenamientos jurídicos aplicables</w:t>
      </w:r>
    </w:p>
    <w:p w14:paraId="5E463F78" w14:textId="2063C03A" w:rsidR="00740B50" w:rsidRPr="004C37C4" w:rsidRDefault="00740B50" w:rsidP="00164F4D">
      <w:pPr>
        <w:rPr>
          <w:sz w:val="23"/>
          <w:szCs w:val="23"/>
        </w:rPr>
      </w:pPr>
      <w:r w:rsidRPr="004C37C4">
        <w:rPr>
          <w:sz w:val="23"/>
          <w:szCs w:val="23"/>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FB61BEE" w14:textId="77777777" w:rsidR="00C058F7" w:rsidRPr="004C37C4" w:rsidRDefault="00C058F7" w:rsidP="00AD3519">
      <w:pPr>
        <w:pStyle w:val="Ttulo2"/>
        <w:rPr>
          <w:sz w:val="23"/>
          <w:szCs w:val="23"/>
        </w:rPr>
      </w:pPr>
      <w:r w:rsidRPr="004C37C4">
        <w:rPr>
          <w:sz w:val="23"/>
          <w:szCs w:val="23"/>
        </w:rPr>
        <w:t>Proceso Electoral</w:t>
      </w:r>
    </w:p>
    <w:p w14:paraId="185A59E5" w14:textId="7367846A" w:rsidR="00C058F7" w:rsidRPr="004C37C4" w:rsidRDefault="00C058F7" w:rsidP="00C058F7">
      <w:pPr>
        <w:rPr>
          <w:sz w:val="23"/>
          <w:szCs w:val="23"/>
        </w:rPr>
      </w:pPr>
      <w:r w:rsidRPr="004C37C4">
        <w:rPr>
          <w:sz w:val="23"/>
          <w:szCs w:val="23"/>
        </w:rPr>
        <w:t xml:space="preserve">Que, el artículo 164 numeral </w:t>
      </w:r>
      <w:r w:rsidR="00134B1E" w:rsidRPr="004C37C4">
        <w:rPr>
          <w:sz w:val="23"/>
          <w:szCs w:val="23"/>
        </w:rPr>
        <w:t xml:space="preserve">1 </w:t>
      </w:r>
      <w:r w:rsidRPr="004C37C4">
        <w:rPr>
          <w:sz w:val="23"/>
          <w:szCs w:val="23"/>
        </w:rPr>
        <w:t>de la Ley Electoral señala que, el proceso electoral es el conjunto de actos previstos por la Constitución Local, la Ley General y la Ley mencionada, ejecutados por las autoridades electorales nacionales y estatales, los partidos políticos, las y los candidatos, y la ciudadanía, que tiene por objeto la renovación periódica de los integrantes de los Poderes Legislativo y Ejecutivo del Estado, así como de los Ayuntamientos.</w:t>
      </w:r>
    </w:p>
    <w:p w14:paraId="716C9EF5" w14:textId="1B68CCDA" w:rsidR="00362688" w:rsidRPr="004C37C4" w:rsidRDefault="006D3ECD" w:rsidP="00AD3519">
      <w:pPr>
        <w:pStyle w:val="Ttulo2"/>
        <w:rPr>
          <w:sz w:val="23"/>
          <w:szCs w:val="23"/>
        </w:rPr>
      </w:pPr>
      <w:bookmarkStart w:id="0" w:name="_Hlk138620673"/>
      <w:r w:rsidRPr="004C37C4">
        <w:rPr>
          <w:sz w:val="23"/>
          <w:szCs w:val="23"/>
        </w:rPr>
        <w:t>Inicio y etapas</w:t>
      </w:r>
      <w:r w:rsidR="00362688" w:rsidRPr="004C37C4">
        <w:rPr>
          <w:sz w:val="23"/>
          <w:szCs w:val="23"/>
        </w:rPr>
        <w:t xml:space="preserve"> del Proceso Electoral</w:t>
      </w:r>
    </w:p>
    <w:p w14:paraId="1AEBEB97" w14:textId="7D852A99" w:rsidR="006D3ECD" w:rsidRPr="004C37C4" w:rsidRDefault="00362688" w:rsidP="00362688">
      <w:pPr>
        <w:rPr>
          <w:sz w:val="23"/>
          <w:szCs w:val="23"/>
        </w:rPr>
      </w:pPr>
      <w:r w:rsidRPr="004C37C4">
        <w:rPr>
          <w:sz w:val="23"/>
          <w:szCs w:val="23"/>
        </w:rPr>
        <w:t>Que</w:t>
      </w:r>
      <w:r w:rsidR="00456D3F" w:rsidRPr="004C37C4">
        <w:rPr>
          <w:sz w:val="23"/>
          <w:szCs w:val="23"/>
        </w:rPr>
        <w:t>,</w:t>
      </w:r>
      <w:r w:rsidRPr="004C37C4">
        <w:rPr>
          <w:sz w:val="23"/>
          <w:szCs w:val="23"/>
        </w:rPr>
        <w:t xml:space="preserve"> el artículo 165 numeral </w:t>
      </w:r>
      <w:r w:rsidR="006D3ECD" w:rsidRPr="004C37C4">
        <w:rPr>
          <w:sz w:val="23"/>
          <w:szCs w:val="23"/>
        </w:rPr>
        <w:t>1</w:t>
      </w:r>
      <w:r w:rsidRPr="004C37C4">
        <w:rPr>
          <w:sz w:val="23"/>
          <w:szCs w:val="23"/>
        </w:rPr>
        <w:t xml:space="preserve"> de la Ley Electoral </w:t>
      </w:r>
      <w:r w:rsidR="006D3ECD" w:rsidRPr="004C37C4">
        <w:rPr>
          <w:sz w:val="23"/>
          <w:szCs w:val="23"/>
        </w:rPr>
        <w:t>establece que, el proceso electoral ordinario de las elecciones para Gobernadora o Gobernador del Estado, Diputadas o Diputados, Presidentas o Presidentes Municipales y Regidoras o Regidores por ambos Principios, se inicia en la primera semana del mes de octubre del año previo al de la elección ordinaria y concluye con la declaratoria de la validez de las elecciones por los órganos electorales respectivos o las resoluciones que, en su caso, pronuncien en última instancia los órganos jurisdiccionales correspondientes.</w:t>
      </w:r>
    </w:p>
    <w:p w14:paraId="77F5F74F" w14:textId="339F217F" w:rsidR="006D3ECD" w:rsidRPr="004C37C4" w:rsidRDefault="006D3ECD" w:rsidP="006D3ECD">
      <w:pPr>
        <w:rPr>
          <w:sz w:val="23"/>
          <w:szCs w:val="23"/>
        </w:rPr>
      </w:pPr>
      <w:r w:rsidRPr="004C37C4">
        <w:rPr>
          <w:sz w:val="23"/>
          <w:szCs w:val="23"/>
        </w:rPr>
        <w:lastRenderedPageBreak/>
        <w:t xml:space="preserve">Para tal efecto, el numeral 2 del artículo en cita, </w:t>
      </w:r>
      <w:r w:rsidR="00362688" w:rsidRPr="004C37C4">
        <w:rPr>
          <w:sz w:val="23"/>
          <w:szCs w:val="23"/>
        </w:rPr>
        <w:t xml:space="preserve">prevé </w:t>
      </w:r>
      <w:r w:rsidRPr="004C37C4">
        <w:rPr>
          <w:sz w:val="23"/>
          <w:szCs w:val="23"/>
        </w:rPr>
        <w:t>que el proceso electoral ordinario comprende las etapas siguientes: I. Preparación de la elección; II. Jornada electoral, y III. Resultados y declaración de validez de las elecciones.</w:t>
      </w:r>
    </w:p>
    <w:p w14:paraId="0071AC0B" w14:textId="5735E907" w:rsidR="00362688" w:rsidRPr="004C37C4" w:rsidRDefault="00362688" w:rsidP="00AD3519">
      <w:pPr>
        <w:pStyle w:val="Ttulo2"/>
        <w:rPr>
          <w:sz w:val="23"/>
          <w:szCs w:val="23"/>
        </w:rPr>
      </w:pPr>
      <w:r w:rsidRPr="004C37C4">
        <w:rPr>
          <w:sz w:val="23"/>
          <w:szCs w:val="23"/>
        </w:rPr>
        <w:t xml:space="preserve">Plazo </w:t>
      </w:r>
      <w:r w:rsidR="00492948" w:rsidRPr="004C37C4">
        <w:rPr>
          <w:sz w:val="23"/>
          <w:szCs w:val="23"/>
        </w:rPr>
        <w:t>para</w:t>
      </w:r>
      <w:r w:rsidRPr="004C37C4">
        <w:rPr>
          <w:sz w:val="23"/>
          <w:szCs w:val="23"/>
        </w:rPr>
        <w:t xml:space="preserve"> las etapas del Proceso Electoral</w:t>
      </w:r>
    </w:p>
    <w:p w14:paraId="1DF6FA08" w14:textId="51907877" w:rsidR="004A3446" w:rsidRPr="004C37C4" w:rsidRDefault="00362688" w:rsidP="004A3446">
      <w:pPr>
        <w:rPr>
          <w:sz w:val="23"/>
          <w:szCs w:val="23"/>
        </w:rPr>
      </w:pPr>
      <w:r w:rsidRPr="004C37C4">
        <w:rPr>
          <w:sz w:val="23"/>
          <w:szCs w:val="23"/>
        </w:rPr>
        <w:t>Que</w:t>
      </w:r>
      <w:r w:rsidR="004A3446" w:rsidRPr="004C37C4">
        <w:rPr>
          <w:sz w:val="23"/>
          <w:szCs w:val="23"/>
        </w:rPr>
        <w:t>,</w:t>
      </w:r>
      <w:r w:rsidRPr="004C37C4">
        <w:rPr>
          <w:sz w:val="23"/>
          <w:szCs w:val="23"/>
        </w:rPr>
        <w:t xml:space="preserve"> de conformidad con lo previsto por el artículo 165 numerales 3, 4 y 5 de la Ley Electoral, </w:t>
      </w:r>
      <w:r w:rsidR="004A3446" w:rsidRPr="004C37C4">
        <w:rPr>
          <w:sz w:val="23"/>
          <w:szCs w:val="23"/>
        </w:rPr>
        <w:t xml:space="preserve">la etapa de preparación de la elección inicia con la primera sesión que el Consejo Estatal celebre para el proceso electoral respectivo y concluye al iniciarse la jornada electoral; </w:t>
      </w:r>
      <w:r w:rsidRPr="004C37C4">
        <w:rPr>
          <w:sz w:val="23"/>
          <w:szCs w:val="23"/>
        </w:rPr>
        <w:t xml:space="preserve">la etapa de la jornada electoral inicia a las 8:00 horas del primer </w:t>
      </w:r>
      <w:r w:rsidR="004A3446" w:rsidRPr="004C37C4">
        <w:rPr>
          <w:sz w:val="23"/>
          <w:szCs w:val="23"/>
        </w:rPr>
        <w:t xml:space="preserve">domingo del mes de junio y concluye con la clausura de casillas; y la </w:t>
      </w:r>
      <w:r w:rsidRPr="004C37C4">
        <w:rPr>
          <w:sz w:val="23"/>
          <w:szCs w:val="23"/>
        </w:rPr>
        <w:t xml:space="preserve">etapa de resultados y declaración de validez de las elecciones inicia con </w:t>
      </w:r>
      <w:r w:rsidR="004A3446" w:rsidRPr="004C37C4">
        <w:rPr>
          <w:sz w:val="23"/>
          <w:szCs w:val="23"/>
        </w:rPr>
        <w:t>la remisión de la documentación y expedientes electorales a los Consejos Electorales Distritales, concluyendo con los cómputos y las declaraciones que realicen los mismos o las resoluciones que, en su caso, pronuncien en última instancia los órganos jurisdiccionales correspondientes.</w:t>
      </w:r>
    </w:p>
    <w:bookmarkEnd w:id="0"/>
    <w:p w14:paraId="0EDD5322" w14:textId="47708C16" w:rsidR="00954EDF" w:rsidRPr="004C37C4" w:rsidRDefault="00B5019A" w:rsidP="00AD3519">
      <w:pPr>
        <w:pStyle w:val="Ttulo2"/>
        <w:rPr>
          <w:sz w:val="23"/>
          <w:szCs w:val="23"/>
        </w:rPr>
      </w:pPr>
      <w:r w:rsidRPr="004C37C4">
        <w:rPr>
          <w:sz w:val="23"/>
          <w:szCs w:val="23"/>
        </w:rPr>
        <w:t xml:space="preserve">Formulación del </w:t>
      </w:r>
      <w:r w:rsidR="00591127" w:rsidRPr="004C37C4">
        <w:rPr>
          <w:sz w:val="23"/>
          <w:szCs w:val="23"/>
        </w:rPr>
        <w:t>p</w:t>
      </w:r>
      <w:r w:rsidRPr="004C37C4">
        <w:rPr>
          <w:sz w:val="23"/>
          <w:szCs w:val="23"/>
        </w:rPr>
        <w:t xml:space="preserve">royecto de </w:t>
      </w:r>
      <w:r w:rsidR="00954EDF" w:rsidRPr="004C37C4">
        <w:rPr>
          <w:sz w:val="23"/>
          <w:szCs w:val="23"/>
        </w:rPr>
        <w:t>Calendario Electoral</w:t>
      </w:r>
    </w:p>
    <w:p w14:paraId="1A234A10" w14:textId="3822866D" w:rsidR="00954EDF" w:rsidRPr="004C37C4" w:rsidRDefault="00954EDF" w:rsidP="004A3446">
      <w:pPr>
        <w:rPr>
          <w:sz w:val="23"/>
          <w:szCs w:val="23"/>
        </w:rPr>
      </w:pPr>
      <w:r w:rsidRPr="004C37C4">
        <w:rPr>
          <w:sz w:val="23"/>
          <w:szCs w:val="23"/>
        </w:rPr>
        <w:t>Que, conforme a las atribuciones que confiere el artículo 117, numeral 2 de la Ley Electoral a la persona titular de la Secretaría Ejecutiva corresponde planear y preparar para la aprobación del Consejo Estatal, el proyecto de calendario para elecciones extraordinarias de acuerdo a las convocatorias respectivas; en ese sentido, de la interpretación funcional a dicho artículo, se desprende que dicha atribución es también efectiva para la formulación del proyecto de calendario para las elecciones ordinarias.</w:t>
      </w:r>
    </w:p>
    <w:p w14:paraId="47C61F67" w14:textId="7F365092" w:rsidR="00F90F68" w:rsidRPr="004C37C4" w:rsidRDefault="00E32FDB" w:rsidP="00F90F68">
      <w:pPr>
        <w:rPr>
          <w:sz w:val="23"/>
          <w:szCs w:val="23"/>
        </w:rPr>
      </w:pPr>
      <w:r w:rsidRPr="004C37C4">
        <w:rPr>
          <w:sz w:val="23"/>
          <w:szCs w:val="23"/>
        </w:rPr>
        <w:t xml:space="preserve">Además, como lo refiere </w:t>
      </w:r>
      <w:r w:rsidR="00F90F68" w:rsidRPr="004C37C4">
        <w:rPr>
          <w:sz w:val="23"/>
          <w:szCs w:val="23"/>
        </w:rPr>
        <w:t>el artículo 69 del Reglamento de Elecciones todo proceso electoral deberá sustentarse en un calendario el cual constituirá la herramienta de planeación, coordinación, ejecución, seguimiento y control, por medio de la cual se guiarán las actividades a desarrollar en el proceso electoral que corresponda.</w:t>
      </w:r>
    </w:p>
    <w:p w14:paraId="59A765CB" w14:textId="50D435A7" w:rsidR="00954EDF" w:rsidRPr="004C37C4" w:rsidRDefault="00B5019A" w:rsidP="00AD3519">
      <w:pPr>
        <w:pStyle w:val="Ttulo2"/>
        <w:rPr>
          <w:sz w:val="23"/>
          <w:szCs w:val="23"/>
        </w:rPr>
      </w:pPr>
      <w:r w:rsidRPr="004C37C4">
        <w:rPr>
          <w:sz w:val="23"/>
          <w:szCs w:val="23"/>
        </w:rPr>
        <w:t xml:space="preserve">Calendario Electoral 2023 – 2024 </w:t>
      </w:r>
    </w:p>
    <w:p w14:paraId="5EF68DAC" w14:textId="77777777" w:rsidR="00A0493D" w:rsidRPr="004C37C4" w:rsidRDefault="00A0493D" w:rsidP="00D776D3">
      <w:pPr>
        <w:rPr>
          <w:sz w:val="23"/>
          <w:szCs w:val="23"/>
        </w:rPr>
      </w:pPr>
      <w:r w:rsidRPr="004C37C4">
        <w:rPr>
          <w:sz w:val="23"/>
          <w:szCs w:val="23"/>
        </w:rPr>
        <w:t xml:space="preserve">Que, con base en las disposiciones señaladas y acorde al modelo establecido en el artículo 69 numeral 1 y 74  del Reglamento de Elecciones, este Consejo Estatal considera pertinente la aprobación de un Calendario Electoral Local que se constituya </w:t>
      </w:r>
      <w:r w:rsidRPr="004C37C4">
        <w:rPr>
          <w:sz w:val="23"/>
          <w:szCs w:val="23"/>
        </w:rPr>
        <w:lastRenderedPageBreak/>
        <w:t>como una herramienta de planeación, coordinación, ejecución, seguimiento y control, armonizado a los plazos y actividades determinadas por el INE, por medio del cual se guiarán las actividades a desarrollar en el Proceso Electoral Local Ordinario 2023 – 2024.</w:t>
      </w:r>
    </w:p>
    <w:p w14:paraId="14AB5353" w14:textId="0E8D54B0" w:rsidR="00D776D3" w:rsidRPr="004C37C4" w:rsidRDefault="00D776D3" w:rsidP="00D776D3">
      <w:pPr>
        <w:rPr>
          <w:sz w:val="23"/>
          <w:szCs w:val="23"/>
        </w:rPr>
      </w:pPr>
      <w:r w:rsidRPr="004C37C4">
        <w:rPr>
          <w:sz w:val="23"/>
          <w:szCs w:val="23"/>
        </w:rPr>
        <w:t>A partir de esta premisa, la Secretaría Ejecutiva en coordinación con la Dirección de Organización Electoral y Educación Cívica, construyó un documento que prevé las diversas actividades encaminadas al desarrollo del Proceso Electoral, la vinculación de éstas con las diversas áreas del Instituto y los plazos en los que se deberá ejecutar cada una de ellas.</w:t>
      </w:r>
    </w:p>
    <w:p w14:paraId="6B5E80E9" w14:textId="1A2A3E3A" w:rsidR="00760499" w:rsidRPr="004C37C4" w:rsidRDefault="001264AB" w:rsidP="00D776D3">
      <w:pPr>
        <w:rPr>
          <w:sz w:val="23"/>
          <w:szCs w:val="23"/>
        </w:rPr>
      </w:pPr>
      <w:r w:rsidRPr="004C37C4">
        <w:rPr>
          <w:sz w:val="23"/>
          <w:szCs w:val="23"/>
        </w:rPr>
        <w:t>En ese contexto, e</w:t>
      </w:r>
      <w:r w:rsidR="00FE0624" w:rsidRPr="004C37C4">
        <w:rPr>
          <w:sz w:val="23"/>
          <w:szCs w:val="23"/>
        </w:rPr>
        <w:t>l calendario electoral propuesto</w:t>
      </w:r>
      <w:r w:rsidRPr="004C37C4">
        <w:rPr>
          <w:sz w:val="23"/>
          <w:szCs w:val="23"/>
        </w:rPr>
        <w:t xml:space="preserve"> </w:t>
      </w:r>
      <w:r w:rsidR="00FE0624" w:rsidRPr="004C37C4">
        <w:rPr>
          <w:sz w:val="23"/>
          <w:szCs w:val="23"/>
        </w:rPr>
        <w:t xml:space="preserve">se ajusta al principio de certeza que </w:t>
      </w:r>
      <w:r w:rsidRPr="004C37C4">
        <w:rPr>
          <w:sz w:val="23"/>
          <w:szCs w:val="23"/>
        </w:rPr>
        <w:t xml:space="preserve">rige </w:t>
      </w:r>
      <w:r w:rsidR="00FE0624" w:rsidRPr="004C37C4">
        <w:rPr>
          <w:sz w:val="23"/>
          <w:szCs w:val="23"/>
        </w:rPr>
        <w:t xml:space="preserve">las actuaciones </w:t>
      </w:r>
      <w:r w:rsidRPr="004C37C4">
        <w:rPr>
          <w:sz w:val="23"/>
          <w:szCs w:val="23"/>
        </w:rPr>
        <w:t>y actividades del Instituto,</w:t>
      </w:r>
      <w:r w:rsidR="00FE0624" w:rsidRPr="004C37C4">
        <w:rPr>
          <w:sz w:val="23"/>
          <w:szCs w:val="23"/>
        </w:rPr>
        <w:t xml:space="preserve"> pues con ello </w:t>
      </w:r>
      <w:r w:rsidRPr="004C37C4">
        <w:rPr>
          <w:sz w:val="23"/>
          <w:szCs w:val="23"/>
        </w:rPr>
        <w:t xml:space="preserve">se da a conocer de forma oportuna a los actores políticos y particularmente a la ciudadanía </w:t>
      </w:r>
      <w:r w:rsidR="00FE0624" w:rsidRPr="004C37C4">
        <w:rPr>
          <w:sz w:val="23"/>
          <w:szCs w:val="23"/>
        </w:rPr>
        <w:t xml:space="preserve">el desarrollo de </w:t>
      </w:r>
      <w:r w:rsidRPr="004C37C4">
        <w:rPr>
          <w:sz w:val="23"/>
          <w:szCs w:val="23"/>
        </w:rPr>
        <w:t xml:space="preserve">cada </w:t>
      </w:r>
      <w:r w:rsidR="00FE0624" w:rsidRPr="004C37C4">
        <w:rPr>
          <w:sz w:val="23"/>
          <w:szCs w:val="23"/>
        </w:rPr>
        <w:t xml:space="preserve">una </w:t>
      </w:r>
      <w:r w:rsidRPr="004C37C4">
        <w:rPr>
          <w:sz w:val="23"/>
          <w:szCs w:val="23"/>
        </w:rPr>
        <w:t xml:space="preserve">de las </w:t>
      </w:r>
      <w:r w:rsidR="00FE0624" w:rsidRPr="004C37C4">
        <w:rPr>
          <w:sz w:val="23"/>
          <w:szCs w:val="23"/>
        </w:rPr>
        <w:t>actividad</w:t>
      </w:r>
      <w:r w:rsidRPr="004C37C4">
        <w:rPr>
          <w:sz w:val="23"/>
          <w:szCs w:val="23"/>
        </w:rPr>
        <w:t>es que realiza el Instituto vinculadas con la organización y desarrollo del Proceso Electoral, lo cual, además, contribuye al ejercicio transparente de las funciones que corresponden al órgano electoral.</w:t>
      </w:r>
    </w:p>
    <w:p w14:paraId="37F88939" w14:textId="652CDAF8" w:rsidR="003F3B56" w:rsidRPr="004C37C4" w:rsidRDefault="003F3B56" w:rsidP="003F3B56">
      <w:pPr>
        <w:rPr>
          <w:sz w:val="23"/>
          <w:szCs w:val="23"/>
        </w:rPr>
      </w:pPr>
      <w:r w:rsidRPr="004C37C4">
        <w:rPr>
          <w:sz w:val="23"/>
          <w:szCs w:val="23"/>
        </w:rPr>
        <w:t xml:space="preserve">Cabe mencionar que, el Calendario Electoral comprende las actividades a desarrollar en cada una de las etapas del Proceso Electoral </w:t>
      </w:r>
      <w:r w:rsidR="00CD72C6" w:rsidRPr="004C37C4">
        <w:rPr>
          <w:sz w:val="23"/>
          <w:szCs w:val="23"/>
        </w:rPr>
        <w:t xml:space="preserve">e incluso se prevén </w:t>
      </w:r>
      <w:r w:rsidRPr="004C37C4">
        <w:rPr>
          <w:sz w:val="23"/>
          <w:szCs w:val="23"/>
        </w:rPr>
        <w:t xml:space="preserve">aquellas posteriores relacionadas con el proceso impugnativo que en su caso </w:t>
      </w:r>
      <w:r w:rsidR="00CD72C6" w:rsidRPr="004C37C4">
        <w:rPr>
          <w:sz w:val="23"/>
          <w:szCs w:val="23"/>
        </w:rPr>
        <w:t xml:space="preserve">se den </w:t>
      </w:r>
      <w:r w:rsidRPr="004C37C4">
        <w:rPr>
          <w:sz w:val="23"/>
          <w:szCs w:val="23"/>
        </w:rPr>
        <w:t>en contra de los resultados electorales.</w:t>
      </w:r>
    </w:p>
    <w:p w14:paraId="3DB2F6D0" w14:textId="64BFF4BC" w:rsidR="00740B50" w:rsidRPr="004C37C4" w:rsidRDefault="00740B50" w:rsidP="00164F4D">
      <w:pPr>
        <w:rPr>
          <w:sz w:val="23"/>
          <w:szCs w:val="23"/>
        </w:rPr>
      </w:pPr>
      <w:r w:rsidRPr="004C37C4">
        <w:rPr>
          <w:sz w:val="23"/>
          <w:szCs w:val="23"/>
        </w:rPr>
        <w:t>Sobre la base de las consideraciones señaladas, este Consejo Estatal emite el siguiente:</w:t>
      </w:r>
    </w:p>
    <w:p w14:paraId="1AE87B66" w14:textId="77777777" w:rsidR="00740B50" w:rsidRPr="004C37C4" w:rsidRDefault="00740B50" w:rsidP="00AD3519">
      <w:pPr>
        <w:pStyle w:val="Ttulo1"/>
        <w:rPr>
          <w:sz w:val="24"/>
          <w:szCs w:val="24"/>
        </w:rPr>
      </w:pPr>
      <w:r w:rsidRPr="004C37C4">
        <w:rPr>
          <w:sz w:val="24"/>
          <w:szCs w:val="24"/>
        </w:rPr>
        <w:t>Acuerdo</w:t>
      </w:r>
    </w:p>
    <w:p w14:paraId="582AC29B" w14:textId="0674C221" w:rsidR="00306BF5" w:rsidRPr="00AD3519" w:rsidRDefault="00306BF5" w:rsidP="00836F9A">
      <w:pPr>
        <w:pStyle w:val="Puntos"/>
        <w:spacing w:line="300" w:lineRule="auto"/>
        <w:ind w:left="0"/>
        <w:rPr>
          <w:bCs/>
          <w:sz w:val="23"/>
          <w:szCs w:val="23"/>
        </w:rPr>
      </w:pPr>
      <w:r w:rsidRPr="00AD3519">
        <w:rPr>
          <w:b/>
          <w:sz w:val="23"/>
          <w:szCs w:val="23"/>
        </w:rPr>
        <w:t xml:space="preserve">Primero. </w:t>
      </w:r>
      <w:r w:rsidRPr="00AD3519">
        <w:rPr>
          <w:bCs/>
          <w:sz w:val="23"/>
          <w:szCs w:val="23"/>
        </w:rPr>
        <w:t>Se aprueba</w:t>
      </w:r>
      <w:r w:rsidR="00836F9A" w:rsidRPr="00AD3519">
        <w:rPr>
          <w:bCs/>
          <w:sz w:val="23"/>
          <w:szCs w:val="23"/>
        </w:rPr>
        <w:t xml:space="preserve"> el Calendario para el Proceso Electoral Local Ordinario 2023 – 2024 que se anexa </w:t>
      </w:r>
      <w:r w:rsidRPr="00AD3519">
        <w:rPr>
          <w:bCs/>
          <w:sz w:val="23"/>
          <w:szCs w:val="23"/>
        </w:rPr>
        <w:t>al presente acuerdo.</w:t>
      </w:r>
    </w:p>
    <w:p w14:paraId="3C51A77F" w14:textId="20EDB884" w:rsidR="00740B50" w:rsidRPr="00AD3519" w:rsidRDefault="005526F5" w:rsidP="00164F4D">
      <w:pPr>
        <w:pStyle w:val="Puntos"/>
        <w:spacing w:line="300" w:lineRule="auto"/>
        <w:ind w:left="0"/>
        <w:rPr>
          <w:sz w:val="23"/>
          <w:szCs w:val="23"/>
        </w:rPr>
      </w:pPr>
      <w:r w:rsidRPr="00AD3519">
        <w:rPr>
          <w:b/>
          <w:sz w:val="23"/>
          <w:szCs w:val="23"/>
        </w:rPr>
        <w:t>Segundo</w:t>
      </w:r>
      <w:r w:rsidR="00740B50" w:rsidRPr="00AD3519">
        <w:rPr>
          <w:b/>
          <w:sz w:val="23"/>
          <w:szCs w:val="23"/>
        </w:rPr>
        <w:t xml:space="preserve">. </w:t>
      </w:r>
      <w:r w:rsidR="00740B50" w:rsidRPr="00AD3519">
        <w:rPr>
          <w:sz w:val="23"/>
          <w:szCs w:val="23"/>
        </w:rPr>
        <w:t xml:space="preserve">Se instruye a la Secretaría Ejecutiva de este Instituto para que, </w:t>
      </w:r>
      <w:r w:rsidR="00134B1E">
        <w:rPr>
          <w:sz w:val="23"/>
          <w:szCs w:val="23"/>
        </w:rPr>
        <w:t xml:space="preserve">por conducto de </w:t>
      </w:r>
      <w:r w:rsidR="00740B50" w:rsidRPr="00AD3519">
        <w:rPr>
          <w:sz w:val="23"/>
          <w:szCs w:val="23"/>
        </w:rPr>
        <w:t>la Coordinación de Vinculación con el Instituto Nacional Electoral, notifique el presente acuerdo al citado organismo nacional, a través de su Unidad Técnica de Vinculación con los Organismos Públicos Locales, para los efectos correspondientes.</w:t>
      </w:r>
    </w:p>
    <w:p w14:paraId="2393966B" w14:textId="7BCB0AC6" w:rsidR="00740B50" w:rsidRPr="00AD3519" w:rsidRDefault="005526F5" w:rsidP="00164F4D">
      <w:pPr>
        <w:pStyle w:val="Puntos"/>
        <w:spacing w:line="300" w:lineRule="auto"/>
        <w:ind w:left="0"/>
        <w:rPr>
          <w:sz w:val="23"/>
          <w:szCs w:val="23"/>
        </w:rPr>
      </w:pPr>
      <w:r w:rsidRPr="00AD3519">
        <w:rPr>
          <w:b/>
          <w:bCs/>
          <w:sz w:val="23"/>
          <w:szCs w:val="23"/>
        </w:rPr>
        <w:lastRenderedPageBreak/>
        <w:t>Tercero</w:t>
      </w:r>
      <w:r w:rsidR="00740B50" w:rsidRPr="00AD3519">
        <w:rPr>
          <w:b/>
          <w:bCs/>
          <w:sz w:val="23"/>
          <w:szCs w:val="23"/>
        </w:rPr>
        <w:t>.</w:t>
      </w:r>
      <w:r w:rsidR="00740B50" w:rsidRPr="00AD3519">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4873C134" w:rsidR="00740B50" w:rsidRPr="00AD3519" w:rsidRDefault="00740B50" w:rsidP="00164F4D">
      <w:pPr>
        <w:pStyle w:val="Puntos"/>
        <w:spacing w:line="300" w:lineRule="auto"/>
        <w:ind w:left="0"/>
        <w:rPr>
          <w:sz w:val="23"/>
          <w:szCs w:val="23"/>
        </w:rPr>
      </w:pPr>
      <w:r w:rsidRPr="00AD3519">
        <w:rPr>
          <w:sz w:val="23"/>
          <w:szCs w:val="23"/>
        </w:rPr>
        <w:t xml:space="preserve">El presente acuerdo fue </w:t>
      </w:r>
      <w:r w:rsidR="004C37C4">
        <w:rPr>
          <w:sz w:val="23"/>
          <w:szCs w:val="23"/>
        </w:rPr>
        <w:t xml:space="preserve">aprobado </w:t>
      </w:r>
      <w:r w:rsidRPr="00AD3519">
        <w:rPr>
          <w:sz w:val="23"/>
          <w:szCs w:val="23"/>
        </w:rPr>
        <w:t>en sesión</w:t>
      </w:r>
      <w:r w:rsidR="004C37C4">
        <w:rPr>
          <w:sz w:val="23"/>
          <w:szCs w:val="23"/>
        </w:rPr>
        <w:t xml:space="preserve"> ordinaria</w:t>
      </w:r>
      <w:r w:rsidRPr="00AD3519">
        <w:rPr>
          <w:sz w:val="23"/>
          <w:szCs w:val="23"/>
        </w:rPr>
        <w:t xml:space="preserve"> efectuada el </w:t>
      </w:r>
      <w:r w:rsidR="004C37C4">
        <w:rPr>
          <w:sz w:val="23"/>
          <w:szCs w:val="23"/>
        </w:rPr>
        <w:t>veintinueve</w:t>
      </w:r>
      <w:r w:rsidRPr="00AD3519">
        <w:rPr>
          <w:sz w:val="23"/>
          <w:szCs w:val="23"/>
        </w:rPr>
        <w:t xml:space="preserve"> de </w:t>
      </w:r>
      <w:r w:rsidR="004C37C4">
        <w:rPr>
          <w:sz w:val="23"/>
          <w:szCs w:val="23"/>
        </w:rPr>
        <w:t>septiembre</w:t>
      </w:r>
      <w:r w:rsidRPr="00AD3519">
        <w:rPr>
          <w:sz w:val="23"/>
          <w:szCs w:val="23"/>
        </w:rPr>
        <w:t xml:space="preserve"> del año dos mil veintitrés, por votación </w:t>
      </w:r>
      <w:r w:rsidR="004C37C4">
        <w:rPr>
          <w:sz w:val="23"/>
          <w:szCs w:val="23"/>
        </w:rPr>
        <w:t>unánime</w:t>
      </w:r>
      <w:r w:rsidRPr="00AD3519">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7EB4324A" w14:textId="77777777" w:rsidR="00C92A82" w:rsidRPr="00EF6A1E" w:rsidRDefault="00C92A82" w:rsidP="00740B50">
      <w:pPr>
        <w:pStyle w:val="Puntos"/>
        <w:spacing w:line="288" w:lineRule="auto"/>
        <w:ind w:left="0"/>
        <w:rPr>
          <w:sz w:val="23"/>
          <w:szCs w:val="23"/>
        </w:rPr>
      </w:pPr>
    </w:p>
    <w:p w14:paraId="5946733D" w14:textId="634BB073" w:rsidR="00C92A82" w:rsidRDefault="00C92A82" w:rsidP="00740B50">
      <w:pPr>
        <w:pStyle w:val="Puntos"/>
        <w:spacing w:line="288" w:lineRule="auto"/>
        <w:ind w:left="0"/>
        <w:rPr>
          <w:sz w:val="23"/>
          <w:szCs w:val="23"/>
        </w:rPr>
      </w:pPr>
    </w:p>
    <w:p w14:paraId="69BD27B5" w14:textId="77777777" w:rsidR="004C37C4" w:rsidRPr="00EF6A1E" w:rsidRDefault="004C37C4" w:rsidP="00740B50">
      <w:pPr>
        <w:pStyle w:val="Puntos"/>
        <w:spacing w:line="288" w:lineRule="auto"/>
        <w:ind w:left="0"/>
        <w:rPr>
          <w:sz w:val="23"/>
          <w:szCs w:val="23"/>
        </w:rPr>
      </w:pPr>
      <w:bookmarkStart w:id="1" w:name="_GoBack"/>
      <w:bookmarkEnd w:id="1"/>
    </w:p>
    <w:p w14:paraId="13003BE9" w14:textId="77777777" w:rsidR="00740B50" w:rsidRPr="00EF6A1E" w:rsidRDefault="00740B50" w:rsidP="00740B5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EF6A1E" w14:paraId="2300726E" w14:textId="77777777" w:rsidTr="007E2B43">
        <w:tc>
          <w:tcPr>
            <w:tcW w:w="4395" w:type="dxa"/>
          </w:tcPr>
          <w:p w14:paraId="52563203" w14:textId="77777777" w:rsidR="00740B50" w:rsidRPr="00EF6A1E" w:rsidRDefault="00740B50" w:rsidP="00740B50">
            <w:pPr>
              <w:widowControl w:val="0"/>
              <w:spacing w:before="0" w:after="0" w:line="288" w:lineRule="auto"/>
              <w:jc w:val="center"/>
              <w:rPr>
                <w:b/>
                <w:spacing w:val="-10"/>
                <w:sz w:val="23"/>
                <w:szCs w:val="23"/>
              </w:rPr>
            </w:pPr>
            <w:r w:rsidRPr="00EF6A1E">
              <w:rPr>
                <w:b/>
                <w:spacing w:val="-10"/>
                <w:sz w:val="23"/>
                <w:szCs w:val="23"/>
              </w:rPr>
              <w:t>MTRA. ELIZABETH NAVA GUTIÉRREZ</w:t>
            </w:r>
          </w:p>
          <w:p w14:paraId="4FC98756" w14:textId="77777777" w:rsidR="00740B50" w:rsidRPr="00EF6A1E" w:rsidRDefault="00740B50" w:rsidP="00740B50">
            <w:pPr>
              <w:widowControl w:val="0"/>
              <w:spacing w:before="0" w:after="0" w:line="288" w:lineRule="auto"/>
              <w:jc w:val="center"/>
              <w:rPr>
                <w:b/>
                <w:sz w:val="23"/>
                <w:szCs w:val="23"/>
              </w:rPr>
            </w:pPr>
            <w:r w:rsidRPr="00EF6A1E">
              <w:rPr>
                <w:b/>
                <w:spacing w:val="-10"/>
                <w:sz w:val="23"/>
                <w:szCs w:val="23"/>
              </w:rPr>
              <w:t>CONSEJERA PRESIDENTA</w:t>
            </w:r>
          </w:p>
        </w:tc>
        <w:tc>
          <w:tcPr>
            <w:tcW w:w="278" w:type="dxa"/>
          </w:tcPr>
          <w:p w14:paraId="0159DDD1" w14:textId="77777777" w:rsidR="00740B50" w:rsidRPr="00EF6A1E" w:rsidRDefault="00740B50" w:rsidP="00740B50">
            <w:pPr>
              <w:widowControl w:val="0"/>
              <w:spacing w:before="0" w:after="0" w:line="288" w:lineRule="auto"/>
              <w:rPr>
                <w:b/>
                <w:sz w:val="23"/>
                <w:szCs w:val="23"/>
              </w:rPr>
            </w:pPr>
          </w:p>
        </w:tc>
        <w:tc>
          <w:tcPr>
            <w:tcW w:w="4400" w:type="dxa"/>
          </w:tcPr>
          <w:p w14:paraId="6F9F39CB" w14:textId="77777777" w:rsidR="00740B50" w:rsidRPr="00EF6A1E" w:rsidRDefault="00740B50" w:rsidP="00740B50">
            <w:pPr>
              <w:widowControl w:val="0"/>
              <w:spacing w:before="0" w:after="0" w:line="288" w:lineRule="auto"/>
              <w:jc w:val="center"/>
              <w:rPr>
                <w:b/>
                <w:spacing w:val="-10"/>
                <w:sz w:val="23"/>
                <w:szCs w:val="23"/>
              </w:rPr>
            </w:pPr>
            <w:r w:rsidRPr="00EF6A1E">
              <w:rPr>
                <w:b/>
                <w:spacing w:val="-10"/>
                <w:sz w:val="23"/>
                <w:szCs w:val="23"/>
              </w:rPr>
              <w:t>LIC. JORGE ALBERTO ZAVALA FRÍAS</w:t>
            </w:r>
          </w:p>
          <w:p w14:paraId="4A791AA8" w14:textId="77777777" w:rsidR="00740B50" w:rsidRPr="00EF6A1E" w:rsidRDefault="00740B50" w:rsidP="00740B50">
            <w:pPr>
              <w:widowControl w:val="0"/>
              <w:spacing w:before="0" w:after="0" w:line="288" w:lineRule="auto"/>
              <w:jc w:val="center"/>
              <w:rPr>
                <w:b/>
                <w:sz w:val="23"/>
                <w:szCs w:val="23"/>
              </w:rPr>
            </w:pPr>
            <w:r w:rsidRPr="00EF6A1E">
              <w:rPr>
                <w:b/>
                <w:spacing w:val="-10"/>
                <w:sz w:val="23"/>
                <w:szCs w:val="23"/>
              </w:rPr>
              <w:t>SECRETARIO DEL CONSEJO</w:t>
            </w:r>
          </w:p>
        </w:tc>
      </w:tr>
    </w:tbl>
    <w:p w14:paraId="15D39B25" w14:textId="77777777" w:rsidR="0004782D" w:rsidRPr="00EF6A1E" w:rsidRDefault="0004782D" w:rsidP="0004782D"/>
    <w:sectPr w:rsidR="0004782D" w:rsidRPr="00EF6A1E" w:rsidSect="006B141E">
      <w:headerReference w:type="default" r:id="rId8"/>
      <w:footerReference w:type="default" r:id="rId9"/>
      <w:pgSz w:w="12240" w:h="15840" w:code="1"/>
      <w:pgMar w:top="2835"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DD7F" w14:textId="77777777" w:rsidR="000C3581" w:rsidRDefault="000C3581" w:rsidP="00681E3C">
      <w:pPr>
        <w:spacing w:before="0" w:after="0" w:line="240" w:lineRule="auto"/>
      </w:pPr>
      <w:r>
        <w:separator/>
      </w:r>
    </w:p>
  </w:endnote>
  <w:endnote w:type="continuationSeparator" w:id="0">
    <w:p w14:paraId="1BA777C2" w14:textId="77777777" w:rsidR="000C3581" w:rsidRDefault="000C3581"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202769409"/>
      <w:docPartObj>
        <w:docPartGallery w:val="Page Numbers (Bottom of Page)"/>
        <w:docPartUnique/>
      </w:docPartObj>
    </w:sdtPr>
    <w:sdtEndPr/>
    <w:sdtContent>
      <w:sdt>
        <w:sdtPr>
          <w:rPr>
            <w:color w:val="993366"/>
            <w:sz w:val="20"/>
            <w:szCs w:val="20"/>
          </w:rPr>
          <w:id w:val="-1769616900"/>
          <w:docPartObj>
            <w:docPartGallery w:val="Page Numbers (Top of Page)"/>
            <w:docPartUnique/>
          </w:docPartObj>
        </w:sdtPr>
        <w:sdtEndPr/>
        <w:sdtContent>
          <w:p w14:paraId="6BC7EC49" w14:textId="44A9788D"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4C37C4">
              <w:rPr>
                <w:b/>
                <w:bCs/>
                <w:noProof/>
                <w:color w:val="993366"/>
              </w:rPr>
              <w:t>8</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4C37C4">
              <w:rPr>
                <w:b/>
                <w:bCs/>
                <w:noProof/>
                <w:color w:val="993366"/>
              </w:rPr>
              <w:t>8</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84F61" w14:textId="77777777" w:rsidR="000C3581" w:rsidRDefault="000C3581" w:rsidP="00681E3C">
      <w:pPr>
        <w:spacing w:before="0" w:after="0" w:line="240" w:lineRule="auto"/>
      </w:pPr>
      <w:r>
        <w:separator/>
      </w:r>
    </w:p>
  </w:footnote>
  <w:footnote w:type="continuationSeparator" w:id="0">
    <w:p w14:paraId="0387EE18" w14:textId="77777777" w:rsidR="000C3581" w:rsidRDefault="000C3581" w:rsidP="00681E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4" name="Imagen 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07A0A94B" w:rsidR="007D607B" w:rsidRDefault="004C37C4" w:rsidP="004C37C4">
    <w:pPr>
      <w:pStyle w:val="Encabezado"/>
      <w:jc w:val="right"/>
      <w:rPr>
        <w:b/>
        <w:sz w:val="24"/>
        <w:szCs w:val="24"/>
      </w:rPr>
    </w:pPr>
    <w:r w:rsidRPr="004C37C4">
      <w:rPr>
        <w:b/>
        <w:sz w:val="24"/>
        <w:szCs w:val="24"/>
      </w:rPr>
      <w:t>CE/2023/0021</w:t>
    </w:r>
  </w:p>
  <w:p w14:paraId="398B4A55" w14:textId="019AEC5A" w:rsidR="004C37C4" w:rsidRDefault="004C37C4" w:rsidP="004C37C4">
    <w:pPr>
      <w:pStyle w:val="Encabezado"/>
      <w:jc w:val="right"/>
      <w:rPr>
        <w:b/>
        <w:sz w:val="24"/>
        <w:szCs w:val="24"/>
      </w:rPr>
    </w:pPr>
  </w:p>
  <w:p w14:paraId="2F69E534" w14:textId="77777777" w:rsidR="004C37C4" w:rsidRPr="004C37C4" w:rsidRDefault="004C37C4" w:rsidP="004C37C4">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6B94741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4782D"/>
    <w:rsid w:val="0005177B"/>
    <w:rsid w:val="000602F5"/>
    <w:rsid w:val="000A0507"/>
    <w:rsid w:val="000A18F6"/>
    <w:rsid w:val="000C3581"/>
    <w:rsid w:val="001264AB"/>
    <w:rsid w:val="00134B1E"/>
    <w:rsid w:val="00164F4D"/>
    <w:rsid w:val="0017781F"/>
    <w:rsid w:val="00182427"/>
    <w:rsid w:val="001B2468"/>
    <w:rsid w:val="001C4DC1"/>
    <w:rsid w:val="001D7A74"/>
    <w:rsid w:val="002013C1"/>
    <w:rsid w:val="00211D0D"/>
    <w:rsid w:val="00214AEF"/>
    <w:rsid w:val="002243F1"/>
    <w:rsid w:val="00270BC2"/>
    <w:rsid w:val="002919A2"/>
    <w:rsid w:val="00293CAB"/>
    <w:rsid w:val="00293FB8"/>
    <w:rsid w:val="002A535D"/>
    <w:rsid w:val="002E7982"/>
    <w:rsid w:val="002F302C"/>
    <w:rsid w:val="00306BF5"/>
    <w:rsid w:val="0031142D"/>
    <w:rsid w:val="003265AE"/>
    <w:rsid w:val="00337486"/>
    <w:rsid w:val="003473CD"/>
    <w:rsid w:val="00352396"/>
    <w:rsid w:val="003569A1"/>
    <w:rsid w:val="00362688"/>
    <w:rsid w:val="00385C98"/>
    <w:rsid w:val="003B3E4B"/>
    <w:rsid w:val="003B43C0"/>
    <w:rsid w:val="003B4764"/>
    <w:rsid w:val="003E73B9"/>
    <w:rsid w:val="003F0318"/>
    <w:rsid w:val="003F3B56"/>
    <w:rsid w:val="00405092"/>
    <w:rsid w:val="00424169"/>
    <w:rsid w:val="00430055"/>
    <w:rsid w:val="00456D3F"/>
    <w:rsid w:val="00480FEA"/>
    <w:rsid w:val="00492948"/>
    <w:rsid w:val="004A0B95"/>
    <w:rsid w:val="004A3446"/>
    <w:rsid w:val="004B5583"/>
    <w:rsid w:val="004C37C4"/>
    <w:rsid w:val="004E338C"/>
    <w:rsid w:val="004E77A9"/>
    <w:rsid w:val="004F3882"/>
    <w:rsid w:val="005526F5"/>
    <w:rsid w:val="00555E47"/>
    <w:rsid w:val="00591127"/>
    <w:rsid w:val="005A75DF"/>
    <w:rsid w:val="005B5704"/>
    <w:rsid w:val="00605CA8"/>
    <w:rsid w:val="006367C7"/>
    <w:rsid w:val="00675723"/>
    <w:rsid w:val="00681E3C"/>
    <w:rsid w:val="006B141E"/>
    <w:rsid w:val="006D3ECD"/>
    <w:rsid w:val="006E7BD2"/>
    <w:rsid w:val="0070363B"/>
    <w:rsid w:val="007113D2"/>
    <w:rsid w:val="007127D1"/>
    <w:rsid w:val="00712AD7"/>
    <w:rsid w:val="0073465C"/>
    <w:rsid w:val="00740B50"/>
    <w:rsid w:val="00751B62"/>
    <w:rsid w:val="00760499"/>
    <w:rsid w:val="00761920"/>
    <w:rsid w:val="00767EF1"/>
    <w:rsid w:val="00776E3E"/>
    <w:rsid w:val="007930C7"/>
    <w:rsid w:val="0079650B"/>
    <w:rsid w:val="007B125F"/>
    <w:rsid w:val="007C26B9"/>
    <w:rsid w:val="007D1413"/>
    <w:rsid w:val="007D607B"/>
    <w:rsid w:val="007E7B89"/>
    <w:rsid w:val="00836F9A"/>
    <w:rsid w:val="0084107C"/>
    <w:rsid w:val="008836C7"/>
    <w:rsid w:val="0089198A"/>
    <w:rsid w:val="008B7A59"/>
    <w:rsid w:val="008E1FFB"/>
    <w:rsid w:val="008F0665"/>
    <w:rsid w:val="009137FA"/>
    <w:rsid w:val="009400E9"/>
    <w:rsid w:val="00946EC3"/>
    <w:rsid w:val="00954EDF"/>
    <w:rsid w:val="00962430"/>
    <w:rsid w:val="00975DEA"/>
    <w:rsid w:val="00977672"/>
    <w:rsid w:val="00A0493D"/>
    <w:rsid w:val="00A25D5A"/>
    <w:rsid w:val="00A355B3"/>
    <w:rsid w:val="00A46B15"/>
    <w:rsid w:val="00A545FA"/>
    <w:rsid w:val="00A77024"/>
    <w:rsid w:val="00AA7CD2"/>
    <w:rsid w:val="00AB2F50"/>
    <w:rsid w:val="00AB7C96"/>
    <w:rsid w:val="00AD3519"/>
    <w:rsid w:val="00AD698A"/>
    <w:rsid w:val="00AE2D54"/>
    <w:rsid w:val="00B005BB"/>
    <w:rsid w:val="00B066E3"/>
    <w:rsid w:val="00B106A6"/>
    <w:rsid w:val="00B16196"/>
    <w:rsid w:val="00B5019A"/>
    <w:rsid w:val="00B51FD9"/>
    <w:rsid w:val="00B60D43"/>
    <w:rsid w:val="00B61801"/>
    <w:rsid w:val="00B80174"/>
    <w:rsid w:val="00B80364"/>
    <w:rsid w:val="00BB300E"/>
    <w:rsid w:val="00BB7BBA"/>
    <w:rsid w:val="00BD196E"/>
    <w:rsid w:val="00BE212A"/>
    <w:rsid w:val="00C00229"/>
    <w:rsid w:val="00C01498"/>
    <w:rsid w:val="00C058F7"/>
    <w:rsid w:val="00C0735C"/>
    <w:rsid w:val="00C209F5"/>
    <w:rsid w:val="00C40D1E"/>
    <w:rsid w:val="00C4775F"/>
    <w:rsid w:val="00C92A82"/>
    <w:rsid w:val="00CD50E3"/>
    <w:rsid w:val="00CD72C6"/>
    <w:rsid w:val="00D471E1"/>
    <w:rsid w:val="00D55DB1"/>
    <w:rsid w:val="00D6618C"/>
    <w:rsid w:val="00D7628E"/>
    <w:rsid w:val="00D776D3"/>
    <w:rsid w:val="00D819B9"/>
    <w:rsid w:val="00DC1612"/>
    <w:rsid w:val="00DC1726"/>
    <w:rsid w:val="00E024B4"/>
    <w:rsid w:val="00E12968"/>
    <w:rsid w:val="00E1616B"/>
    <w:rsid w:val="00E32FDB"/>
    <w:rsid w:val="00E67BE9"/>
    <w:rsid w:val="00EC3A62"/>
    <w:rsid w:val="00EE0CDE"/>
    <w:rsid w:val="00EF6A1E"/>
    <w:rsid w:val="00F66CE4"/>
    <w:rsid w:val="00F90F68"/>
    <w:rsid w:val="00F95F41"/>
    <w:rsid w:val="00FA0FCA"/>
    <w:rsid w:val="00FB39DC"/>
    <w:rsid w:val="00FE0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AD3519"/>
    <w:pPr>
      <w:numPr>
        <w:numId w:val="1"/>
      </w:numPr>
      <w:spacing w:before="480" w:after="360" w:line="295" w:lineRule="auto"/>
      <w:jc w:val="center"/>
      <w:outlineLvl w:val="0"/>
    </w:pPr>
    <w:rPr>
      <w:b/>
      <w:bCs/>
      <w:kern w:val="0"/>
      <w:sz w:val="28"/>
      <w:szCs w:val="23"/>
      <w14:ligatures w14:val="none"/>
    </w:rPr>
  </w:style>
  <w:style w:type="paragraph" w:styleId="Ttulo2">
    <w:name w:val="heading 2"/>
    <w:basedOn w:val="Normal"/>
    <w:next w:val="Normal"/>
    <w:link w:val="Ttulo2Car"/>
    <w:uiPriority w:val="9"/>
    <w:unhideWhenUsed/>
    <w:qFormat/>
    <w:rsid w:val="00AD3519"/>
    <w:pPr>
      <w:keepNext/>
      <w:keepLines/>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3519"/>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AD3519"/>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A1B65-156D-4CA2-8677-569AC0B3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2125</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55</cp:revision>
  <dcterms:created xsi:type="dcterms:W3CDTF">2023-06-26T00:36:00Z</dcterms:created>
  <dcterms:modified xsi:type="dcterms:W3CDTF">2023-09-29T20:02:00Z</dcterms:modified>
</cp:coreProperties>
</file>