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EB99D" w14:textId="1F5B408E" w:rsidR="00BB1763" w:rsidRDefault="00D367B3" w:rsidP="006715B5">
      <w:pPr>
        <w:pStyle w:val="Ttulo"/>
        <w:spacing w:before="0"/>
        <w:rPr>
          <w:sz w:val="24"/>
          <w:szCs w:val="24"/>
        </w:rPr>
      </w:pPr>
      <w:r w:rsidRPr="004E338C">
        <w:rPr>
          <w:sz w:val="24"/>
          <w:szCs w:val="24"/>
        </w:rPr>
        <w:t xml:space="preserve">ACUERDO QUE EMITE EL CONSEJO ESTATAL DEL INSTITUTO ELECTORAL Y DE PARTICIPACIÓN CIUDADANA DE TABASCO, MEDIANTE EL CUAL SE </w:t>
      </w:r>
      <w:r>
        <w:rPr>
          <w:sz w:val="24"/>
          <w:szCs w:val="24"/>
        </w:rPr>
        <w:t xml:space="preserve">DETERMINAN LOS MONTOS DE FINANCIAMIENTO PÚBLICO PARA EL SOSTENIMIENTO DE ACTIVIDADES ORDINARIAS PERMANENTES Y ESPECÍFICAS DE LOS PARTIDOS POLÍTICOS PARA EL EJERCICIO 2024 Y PARA GASTOS DE CAMPAÑA DE LOS PARTIDOS POLÍTICOS Y CANDIDATURAS INDEPENDIENTES PARA EL PROCESO ELECTORAL LOCAL ORDINARIO 2023 – 2024 </w:t>
      </w:r>
    </w:p>
    <w:p w14:paraId="5BAC7FAE" w14:textId="77777777" w:rsidR="00B106A6" w:rsidRPr="00220C00" w:rsidRDefault="00B106A6" w:rsidP="00B106A6">
      <w:pPr>
        <w:spacing w:line="288" w:lineRule="auto"/>
        <w:rPr>
          <w:sz w:val="23"/>
          <w:szCs w:val="23"/>
        </w:rPr>
      </w:pPr>
      <w:r w:rsidRPr="00220C00">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337703" w:rsidRPr="00220C00" w14:paraId="42CF1A60" w14:textId="77777777" w:rsidTr="00E81481">
        <w:trPr>
          <w:trHeight w:val="624"/>
          <w:jc w:val="center"/>
        </w:trPr>
        <w:tc>
          <w:tcPr>
            <w:tcW w:w="2042" w:type="pct"/>
            <w:shd w:val="clear" w:color="auto" w:fill="auto"/>
            <w:vAlign w:val="center"/>
          </w:tcPr>
          <w:p w14:paraId="32503E29" w14:textId="77777777" w:rsidR="00337703" w:rsidRPr="00D367B3" w:rsidRDefault="00337703" w:rsidP="000A0507">
            <w:pPr>
              <w:spacing w:before="60" w:after="60" w:line="288" w:lineRule="auto"/>
              <w:ind w:left="57"/>
              <w:jc w:val="right"/>
              <w:rPr>
                <w:b/>
                <w:sz w:val="20"/>
                <w:szCs w:val="20"/>
              </w:rPr>
            </w:pPr>
            <w:r w:rsidRPr="00D367B3">
              <w:rPr>
                <w:b/>
                <w:sz w:val="20"/>
                <w:szCs w:val="20"/>
              </w:rPr>
              <w:t>Consejo Estatal:</w:t>
            </w:r>
          </w:p>
        </w:tc>
        <w:tc>
          <w:tcPr>
            <w:tcW w:w="2958" w:type="pct"/>
            <w:shd w:val="clear" w:color="auto" w:fill="auto"/>
            <w:vAlign w:val="center"/>
          </w:tcPr>
          <w:p w14:paraId="4B6D7FDD" w14:textId="77777777" w:rsidR="00337703" w:rsidRPr="00D367B3" w:rsidRDefault="00337703" w:rsidP="000A0507">
            <w:pPr>
              <w:spacing w:before="60" w:after="60" w:line="288" w:lineRule="auto"/>
              <w:ind w:left="57"/>
              <w:rPr>
                <w:sz w:val="20"/>
                <w:szCs w:val="20"/>
              </w:rPr>
            </w:pPr>
            <w:r w:rsidRPr="00D367B3">
              <w:rPr>
                <w:sz w:val="20"/>
                <w:szCs w:val="20"/>
              </w:rPr>
              <w:t>Consejo Estatal del Instituto Electoral y de Participación Ciudadana de Tabasco.</w:t>
            </w:r>
          </w:p>
        </w:tc>
      </w:tr>
      <w:tr w:rsidR="00337703" w:rsidRPr="00220C00" w14:paraId="2BCEA133" w14:textId="77777777" w:rsidTr="00E81481">
        <w:trPr>
          <w:trHeight w:val="624"/>
          <w:jc w:val="center"/>
        </w:trPr>
        <w:tc>
          <w:tcPr>
            <w:tcW w:w="2042" w:type="pct"/>
            <w:shd w:val="clear" w:color="auto" w:fill="auto"/>
            <w:vAlign w:val="center"/>
          </w:tcPr>
          <w:p w14:paraId="1E33AD98" w14:textId="77777777" w:rsidR="00337703" w:rsidRPr="00D367B3" w:rsidRDefault="00337703" w:rsidP="000A0507">
            <w:pPr>
              <w:spacing w:before="60" w:after="60" w:line="288" w:lineRule="auto"/>
              <w:ind w:left="57"/>
              <w:jc w:val="right"/>
              <w:rPr>
                <w:b/>
                <w:sz w:val="20"/>
                <w:szCs w:val="20"/>
              </w:rPr>
            </w:pPr>
            <w:r w:rsidRPr="00D367B3">
              <w:rPr>
                <w:b/>
                <w:sz w:val="20"/>
                <w:szCs w:val="20"/>
              </w:rPr>
              <w:t>Constitución Federal:</w:t>
            </w:r>
          </w:p>
        </w:tc>
        <w:tc>
          <w:tcPr>
            <w:tcW w:w="2958" w:type="pct"/>
            <w:shd w:val="clear" w:color="auto" w:fill="auto"/>
            <w:vAlign w:val="center"/>
          </w:tcPr>
          <w:p w14:paraId="3F975618" w14:textId="77777777" w:rsidR="00337703" w:rsidRPr="00D367B3" w:rsidRDefault="00337703" w:rsidP="000A0507">
            <w:pPr>
              <w:spacing w:before="60" w:after="60" w:line="288" w:lineRule="auto"/>
              <w:ind w:left="57"/>
              <w:rPr>
                <w:sz w:val="20"/>
                <w:szCs w:val="20"/>
              </w:rPr>
            </w:pPr>
            <w:r w:rsidRPr="00D367B3">
              <w:rPr>
                <w:sz w:val="20"/>
                <w:szCs w:val="20"/>
              </w:rPr>
              <w:t>Constitución Política de los Estados Unidos Mexicanos.</w:t>
            </w:r>
          </w:p>
        </w:tc>
      </w:tr>
      <w:tr w:rsidR="00337703" w:rsidRPr="00220C00" w14:paraId="40E72CD4" w14:textId="77777777" w:rsidTr="00E81481">
        <w:trPr>
          <w:trHeight w:val="624"/>
          <w:jc w:val="center"/>
        </w:trPr>
        <w:tc>
          <w:tcPr>
            <w:tcW w:w="2042" w:type="pct"/>
            <w:shd w:val="clear" w:color="auto" w:fill="auto"/>
            <w:vAlign w:val="center"/>
          </w:tcPr>
          <w:p w14:paraId="310AEA22" w14:textId="77777777" w:rsidR="00337703" w:rsidRPr="00D367B3" w:rsidRDefault="00337703" w:rsidP="000A0507">
            <w:pPr>
              <w:spacing w:before="60" w:after="60" w:line="288" w:lineRule="auto"/>
              <w:ind w:left="57"/>
              <w:jc w:val="right"/>
              <w:rPr>
                <w:b/>
                <w:sz w:val="20"/>
                <w:szCs w:val="20"/>
              </w:rPr>
            </w:pPr>
            <w:r w:rsidRPr="00D367B3">
              <w:rPr>
                <w:b/>
                <w:sz w:val="20"/>
                <w:szCs w:val="20"/>
              </w:rPr>
              <w:t>Constitución Local:</w:t>
            </w:r>
          </w:p>
        </w:tc>
        <w:tc>
          <w:tcPr>
            <w:tcW w:w="2958" w:type="pct"/>
            <w:shd w:val="clear" w:color="auto" w:fill="auto"/>
            <w:vAlign w:val="center"/>
          </w:tcPr>
          <w:p w14:paraId="0AC4F492" w14:textId="77777777" w:rsidR="00337703" w:rsidRPr="00D367B3" w:rsidRDefault="00337703" w:rsidP="000A0507">
            <w:pPr>
              <w:spacing w:before="60" w:after="60" w:line="288" w:lineRule="auto"/>
              <w:ind w:left="57"/>
              <w:rPr>
                <w:sz w:val="20"/>
                <w:szCs w:val="20"/>
              </w:rPr>
            </w:pPr>
            <w:r w:rsidRPr="00D367B3">
              <w:rPr>
                <w:sz w:val="20"/>
                <w:szCs w:val="20"/>
              </w:rPr>
              <w:t>Constitución Política del Estado Libre y Soberano de Tabasco.</w:t>
            </w:r>
          </w:p>
        </w:tc>
      </w:tr>
      <w:tr w:rsidR="00337703" w:rsidRPr="00220C00" w14:paraId="012396A0" w14:textId="77777777" w:rsidTr="00E81481">
        <w:trPr>
          <w:trHeight w:val="624"/>
          <w:jc w:val="center"/>
        </w:trPr>
        <w:tc>
          <w:tcPr>
            <w:tcW w:w="2042" w:type="pct"/>
            <w:shd w:val="clear" w:color="auto" w:fill="auto"/>
            <w:vAlign w:val="center"/>
          </w:tcPr>
          <w:p w14:paraId="7FAF85CC" w14:textId="77777777" w:rsidR="00337703" w:rsidRPr="00D367B3" w:rsidRDefault="00337703" w:rsidP="000A0507">
            <w:pPr>
              <w:spacing w:before="60" w:after="60" w:line="288" w:lineRule="auto"/>
              <w:ind w:left="57"/>
              <w:jc w:val="right"/>
              <w:rPr>
                <w:b/>
                <w:sz w:val="20"/>
                <w:szCs w:val="20"/>
              </w:rPr>
            </w:pPr>
            <w:r w:rsidRPr="00D367B3">
              <w:rPr>
                <w:b/>
                <w:sz w:val="20"/>
                <w:szCs w:val="20"/>
              </w:rPr>
              <w:t>INE:</w:t>
            </w:r>
          </w:p>
        </w:tc>
        <w:tc>
          <w:tcPr>
            <w:tcW w:w="2958" w:type="pct"/>
            <w:shd w:val="clear" w:color="auto" w:fill="auto"/>
            <w:vAlign w:val="center"/>
          </w:tcPr>
          <w:p w14:paraId="0BACD993" w14:textId="77777777" w:rsidR="00337703" w:rsidRPr="00D367B3" w:rsidRDefault="00337703" w:rsidP="000A0507">
            <w:pPr>
              <w:spacing w:before="60" w:after="60" w:line="288" w:lineRule="auto"/>
              <w:ind w:left="57"/>
              <w:rPr>
                <w:sz w:val="20"/>
                <w:szCs w:val="20"/>
              </w:rPr>
            </w:pPr>
            <w:r w:rsidRPr="00D367B3">
              <w:rPr>
                <w:sz w:val="20"/>
                <w:szCs w:val="20"/>
              </w:rPr>
              <w:t>Instituto Nacional Electoral.</w:t>
            </w:r>
          </w:p>
        </w:tc>
      </w:tr>
      <w:tr w:rsidR="00337703" w:rsidRPr="00220C00" w14:paraId="6F8E10B5" w14:textId="77777777" w:rsidTr="00E81481">
        <w:trPr>
          <w:trHeight w:val="624"/>
          <w:jc w:val="center"/>
        </w:trPr>
        <w:tc>
          <w:tcPr>
            <w:tcW w:w="2042" w:type="pct"/>
            <w:shd w:val="clear" w:color="auto" w:fill="auto"/>
            <w:vAlign w:val="center"/>
          </w:tcPr>
          <w:p w14:paraId="4D5630C5" w14:textId="77777777" w:rsidR="00337703" w:rsidRPr="00D367B3" w:rsidRDefault="00337703" w:rsidP="000A0507">
            <w:pPr>
              <w:spacing w:before="60" w:after="60" w:line="288" w:lineRule="auto"/>
              <w:ind w:left="57"/>
              <w:jc w:val="right"/>
              <w:rPr>
                <w:b/>
                <w:sz w:val="20"/>
                <w:szCs w:val="20"/>
              </w:rPr>
            </w:pPr>
            <w:r w:rsidRPr="00D367B3">
              <w:rPr>
                <w:b/>
                <w:sz w:val="20"/>
                <w:szCs w:val="20"/>
              </w:rPr>
              <w:t>Instituto:</w:t>
            </w:r>
          </w:p>
        </w:tc>
        <w:tc>
          <w:tcPr>
            <w:tcW w:w="2958" w:type="pct"/>
            <w:shd w:val="clear" w:color="auto" w:fill="auto"/>
          </w:tcPr>
          <w:p w14:paraId="7E99DBB1" w14:textId="77777777" w:rsidR="00337703" w:rsidRPr="00D367B3" w:rsidRDefault="00337703" w:rsidP="000A0507">
            <w:pPr>
              <w:spacing w:before="60" w:after="60" w:line="288" w:lineRule="auto"/>
              <w:ind w:left="57"/>
              <w:rPr>
                <w:sz w:val="20"/>
                <w:szCs w:val="20"/>
              </w:rPr>
            </w:pPr>
            <w:r w:rsidRPr="00D367B3">
              <w:rPr>
                <w:sz w:val="20"/>
                <w:szCs w:val="20"/>
              </w:rPr>
              <w:t>Instituto Electoral y de Participación Ciudadana de Tabasco.</w:t>
            </w:r>
          </w:p>
        </w:tc>
      </w:tr>
      <w:tr w:rsidR="00337703" w:rsidRPr="00220C00" w14:paraId="6548ABE7" w14:textId="77777777" w:rsidTr="00E81481">
        <w:trPr>
          <w:trHeight w:val="624"/>
          <w:jc w:val="center"/>
        </w:trPr>
        <w:tc>
          <w:tcPr>
            <w:tcW w:w="2042" w:type="pct"/>
            <w:shd w:val="clear" w:color="auto" w:fill="auto"/>
            <w:vAlign w:val="center"/>
          </w:tcPr>
          <w:p w14:paraId="3823CFE3" w14:textId="77777777" w:rsidR="00337703" w:rsidRPr="00D367B3" w:rsidRDefault="00337703" w:rsidP="000A0507">
            <w:pPr>
              <w:spacing w:before="60" w:after="60" w:line="288" w:lineRule="auto"/>
              <w:ind w:left="57"/>
              <w:jc w:val="right"/>
              <w:rPr>
                <w:b/>
                <w:sz w:val="20"/>
                <w:szCs w:val="20"/>
              </w:rPr>
            </w:pPr>
            <w:r w:rsidRPr="00D367B3">
              <w:rPr>
                <w:b/>
                <w:sz w:val="20"/>
                <w:szCs w:val="20"/>
              </w:rPr>
              <w:t>Ley de Partidos:</w:t>
            </w:r>
          </w:p>
        </w:tc>
        <w:tc>
          <w:tcPr>
            <w:tcW w:w="2958" w:type="pct"/>
            <w:shd w:val="clear" w:color="auto" w:fill="auto"/>
            <w:vAlign w:val="center"/>
          </w:tcPr>
          <w:p w14:paraId="50EB131A" w14:textId="77777777" w:rsidR="00337703" w:rsidRPr="00D367B3" w:rsidRDefault="00337703" w:rsidP="000A0507">
            <w:pPr>
              <w:spacing w:before="60" w:after="60" w:line="288" w:lineRule="auto"/>
              <w:ind w:left="57"/>
              <w:rPr>
                <w:sz w:val="20"/>
                <w:szCs w:val="20"/>
              </w:rPr>
            </w:pPr>
            <w:r w:rsidRPr="00D367B3">
              <w:rPr>
                <w:sz w:val="20"/>
                <w:szCs w:val="20"/>
              </w:rPr>
              <w:t>Ley General de Partidos Políticos.</w:t>
            </w:r>
          </w:p>
        </w:tc>
      </w:tr>
      <w:tr w:rsidR="00337703" w:rsidRPr="00220C00" w14:paraId="0408023D" w14:textId="77777777" w:rsidTr="00E81481">
        <w:trPr>
          <w:trHeight w:val="624"/>
          <w:jc w:val="center"/>
        </w:trPr>
        <w:tc>
          <w:tcPr>
            <w:tcW w:w="2042" w:type="pct"/>
            <w:shd w:val="clear" w:color="auto" w:fill="auto"/>
            <w:vAlign w:val="center"/>
          </w:tcPr>
          <w:p w14:paraId="2FF7A67E" w14:textId="77777777" w:rsidR="00337703" w:rsidRPr="00D367B3" w:rsidRDefault="00337703" w:rsidP="000A0507">
            <w:pPr>
              <w:spacing w:before="60" w:after="60" w:line="288" w:lineRule="auto"/>
              <w:ind w:left="57"/>
              <w:jc w:val="right"/>
              <w:rPr>
                <w:b/>
                <w:sz w:val="20"/>
                <w:szCs w:val="20"/>
              </w:rPr>
            </w:pPr>
            <w:r w:rsidRPr="00D367B3">
              <w:rPr>
                <w:b/>
                <w:sz w:val="20"/>
                <w:szCs w:val="20"/>
              </w:rPr>
              <w:t>Ley Electoral:</w:t>
            </w:r>
          </w:p>
        </w:tc>
        <w:tc>
          <w:tcPr>
            <w:tcW w:w="2958" w:type="pct"/>
            <w:shd w:val="clear" w:color="auto" w:fill="auto"/>
            <w:vAlign w:val="center"/>
          </w:tcPr>
          <w:p w14:paraId="4ABB06FD" w14:textId="77777777" w:rsidR="00337703" w:rsidRPr="00D367B3" w:rsidRDefault="00337703" w:rsidP="000A0507">
            <w:pPr>
              <w:spacing w:before="60" w:after="60" w:line="288" w:lineRule="auto"/>
              <w:ind w:left="57"/>
              <w:rPr>
                <w:sz w:val="20"/>
                <w:szCs w:val="20"/>
              </w:rPr>
            </w:pPr>
            <w:r w:rsidRPr="00D367B3">
              <w:rPr>
                <w:sz w:val="20"/>
                <w:szCs w:val="20"/>
              </w:rPr>
              <w:t>Ley Electoral y de Partidos Políticos del Estado de Tabasco.</w:t>
            </w:r>
          </w:p>
        </w:tc>
      </w:tr>
      <w:tr w:rsidR="00337703" w:rsidRPr="00220C00" w14:paraId="3607E0F6" w14:textId="77777777" w:rsidTr="00E81481">
        <w:trPr>
          <w:trHeight w:val="624"/>
          <w:jc w:val="center"/>
        </w:trPr>
        <w:tc>
          <w:tcPr>
            <w:tcW w:w="2042" w:type="pct"/>
            <w:shd w:val="clear" w:color="auto" w:fill="auto"/>
            <w:vAlign w:val="center"/>
          </w:tcPr>
          <w:p w14:paraId="424A87F8" w14:textId="77777777" w:rsidR="00337703" w:rsidRPr="00D367B3" w:rsidRDefault="00337703" w:rsidP="000A0507">
            <w:pPr>
              <w:spacing w:before="60" w:after="60" w:line="288" w:lineRule="auto"/>
              <w:ind w:left="57"/>
              <w:jc w:val="right"/>
              <w:rPr>
                <w:b/>
                <w:sz w:val="20"/>
                <w:szCs w:val="20"/>
              </w:rPr>
            </w:pPr>
            <w:r w:rsidRPr="00D367B3">
              <w:rPr>
                <w:b/>
                <w:sz w:val="20"/>
                <w:szCs w:val="20"/>
              </w:rPr>
              <w:t>Ley General:</w:t>
            </w:r>
          </w:p>
        </w:tc>
        <w:tc>
          <w:tcPr>
            <w:tcW w:w="2958" w:type="pct"/>
            <w:shd w:val="clear" w:color="auto" w:fill="auto"/>
            <w:vAlign w:val="center"/>
          </w:tcPr>
          <w:p w14:paraId="404F1C92" w14:textId="77777777" w:rsidR="00337703" w:rsidRPr="00D367B3" w:rsidRDefault="00337703" w:rsidP="000A0507">
            <w:pPr>
              <w:spacing w:before="60" w:after="60" w:line="288" w:lineRule="auto"/>
              <w:ind w:left="57"/>
              <w:rPr>
                <w:sz w:val="20"/>
                <w:szCs w:val="20"/>
              </w:rPr>
            </w:pPr>
            <w:r w:rsidRPr="00D367B3">
              <w:rPr>
                <w:sz w:val="20"/>
                <w:szCs w:val="20"/>
              </w:rPr>
              <w:t>Ley General de Instituciones y Procedimientos Electorales.</w:t>
            </w:r>
          </w:p>
        </w:tc>
      </w:tr>
      <w:tr w:rsidR="00337703" w:rsidRPr="00220C00" w14:paraId="639AC5F9" w14:textId="77777777" w:rsidTr="00E81481">
        <w:trPr>
          <w:trHeight w:val="624"/>
          <w:jc w:val="center"/>
        </w:trPr>
        <w:tc>
          <w:tcPr>
            <w:tcW w:w="2042" w:type="pct"/>
            <w:shd w:val="clear" w:color="auto" w:fill="auto"/>
            <w:vAlign w:val="center"/>
          </w:tcPr>
          <w:p w14:paraId="674E01A0" w14:textId="77777777" w:rsidR="00337703" w:rsidRPr="00D367B3" w:rsidRDefault="00337703" w:rsidP="000A0507">
            <w:pPr>
              <w:spacing w:before="60" w:after="60" w:line="288" w:lineRule="auto"/>
              <w:ind w:left="57"/>
              <w:jc w:val="right"/>
              <w:rPr>
                <w:b/>
                <w:sz w:val="20"/>
                <w:szCs w:val="20"/>
              </w:rPr>
            </w:pPr>
            <w:r w:rsidRPr="00D367B3">
              <w:rPr>
                <w:b/>
                <w:sz w:val="20"/>
                <w:szCs w:val="20"/>
              </w:rPr>
              <w:t>Organismo electoral:</w:t>
            </w:r>
          </w:p>
        </w:tc>
        <w:tc>
          <w:tcPr>
            <w:tcW w:w="2958" w:type="pct"/>
            <w:shd w:val="clear" w:color="auto" w:fill="auto"/>
            <w:vAlign w:val="center"/>
          </w:tcPr>
          <w:p w14:paraId="36A1432C" w14:textId="77777777" w:rsidR="00337703" w:rsidRPr="00D367B3" w:rsidRDefault="00337703" w:rsidP="000A0507">
            <w:pPr>
              <w:spacing w:before="60" w:after="60" w:line="288" w:lineRule="auto"/>
              <w:ind w:left="57"/>
              <w:rPr>
                <w:sz w:val="20"/>
                <w:szCs w:val="20"/>
              </w:rPr>
            </w:pPr>
            <w:r w:rsidRPr="00D367B3">
              <w:rPr>
                <w:sz w:val="20"/>
                <w:szCs w:val="20"/>
              </w:rPr>
              <w:t xml:space="preserve">Organismo(s) público(s) local(es) electoral(es). </w:t>
            </w:r>
          </w:p>
        </w:tc>
      </w:tr>
      <w:tr w:rsidR="00337703" w:rsidRPr="00220C00" w14:paraId="21AD1805" w14:textId="77777777" w:rsidTr="00E81481">
        <w:trPr>
          <w:trHeight w:val="624"/>
          <w:jc w:val="center"/>
        </w:trPr>
        <w:tc>
          <w:tcPr>
            <w:tcW w:w="2042" w:type="pct"/>
            <w:shd w:val="clear" w:color="auto" w:fill="auto"/>
            <w:vAlign w:val="center"/>
          </w:tcPr>
          <w:p w14:paraId="43A9DD3D" w14:textId="77777777" w:rsidR="00337703" w:rsidRPr="00D367B3" w:rsidRDefault="00337703" w:rsidP="000A0507">
            <w:pPr>
              <w:spacing w:before="60" w:after="60" w:line="288" w:lineRule="auto"/>
              <w:ind w:left="57"/>
              <w:jc w:val="right"/>
              <w:rPr>
                <w:b/>
                <w:sz w:val="20"/>
                <w:szCs w:val="20"/>
              </w:rPr>
            </w:pPr>
            <w:r w:rsidRPr="00D367B3">
              <w:rPr>
                <w:b/>
                <w:sz w:val="20"/>
                <w:szCs w:val="20"/>
              </w:rPr>
              <w:t>Reglamento de Elecciones:</w:t>
            </w:r>
          </w:p>
        </w:tc>
        <w:tc>
          <w:tcPr>
            <w:tcW w:w="2958" w:type="pct"/>
            <w:shd w:val="clear" w:color="auto" w:fill="auto"/>
            <w:vAlign w:val="center"/>
          </w:tcPr>
          <w:p w14:paraId="669949B2" w14:textId="77777777" w:rsidR="00337703" w:rsidRPr="00D367B3" w:rsidRDefault="00337703" w:rsidP="000A0507">
            <w:pPr>
              <w:spacing w:before="60" w:after="60" w:line="288" w:lineRule="auto"/>
              <w:ind w:left="57"/>
              <w:rPr>
                <w:sz w:val="20"/>
                <w:szCs w:val="20"/>
              </w:rPr>
            </w:pPr>
            <w:r w:rsidRPr="00D367B3">
              <w:rPr>
                <w:sz w:val="20"/>
                <w:szCs w:val="20"/>
              </w:rPr>
              <w:t>Reglamento de Elecciones del Instituto Nacional Electoral.</w:t>
            </w:r>
          </w:p>
        </w:tc>
      </w:tr>
      <w:tr w:rsidR="00337703" w:rsidRPr="00220C00" w14:paraId="5DA68EFB" w14:textId="77777777" w:rsidTr="00E81481">
        <w:trPr>
          <w:trHeight w:val="624"/>
          <w:jc w:val="center"/>
        </w:trPr>
        <w:tc>
          <w:tcPr>
            <w:tcW w:w="2042" w:type="pct"/>
            <w:shd w:val="clear" w:color="auto" w:fill="auto"/>
            <w:vAlign w:val="center"/>
          </w:tcPr>
          <w:p w14:paraId="087F2FF1" w14:textId="77777777" w:rsidR="00337703" w:rsidRPr="00D367B3" w:rsidRDefault="00337703" w:rsidP="000A0507">
            <w:pPr>
              <w:spacing w:before="60" w:after="60" w:line="288" w:lineRule="auto"/>
              <w:ind w:left="57"/>
              <w:jc w:val="right"/>
              <w:rPr>
                <w:b/>
                <w:sz w:val="20"/>
                <w:szCs w:val="20"/>
              </w:rPr>
            </w:pPr>
            <w:r w:rsidRPr="00D367B3">
              <w:rPr>
                <w:b/>
                <w:sz w:val="20"/>
                <w:szCs w:val="20"/>
              </w:rPr>
              <w:t>Secretaría Ejecutiva:</w:t>
            </w:r>
          </w:p>
        </w:tc>
        <w:tc>
          <w:tcPr>
            <w:tcW w:w="2958" w:type="pct"/>
            <w:shd w:val="clear" w:color="auto" w:fill="auto"/>
            <w:vAlign w:val="center"/>
          </w:tcPr>
          <w:p w14:paraId="125EE5E7" w14:textId="77777777" w:rsidR="00337703" w:rsidRPr="00D367B3" w:rsidRDefault="00337703" w:rsidP="000A0507">
            <w:pPr>
              <w:spacing w:before="60" w:after="60" w:line="288" w:lineRule="auto"/>
              <w:ind w:left="57"/>
              <w:rPr>
                <w:sz w:val="20"/>
                <w:szCs w:val="20"/>
              </w:rPr>
            </w:pPr>
            <w:r w:rsidRPr="00D367B3">
              <w:rPr>
                <w:sz w:val="20"/>
                <w:szCs w:val="20"/>
              </w:rPr>
              <w:t>Secretaría Ejecutiva del Instituto Electoral y de Participación Ciudadana de Tabasco.</w:t>
            </w:r>
          </w:p>
        </w:tc>
      </w:tr>
    </w:tbl>
    <w:p w14:paraId="295D96A8" w14:textId="5FA9F028" w:rsidR="0004782D" w:rsidRPr="00D367B3" w:rsidRDefault="0004782D" w:rsidP="00CF2001">
      <w:pPr>
        <w:pStyle w:val="Ttulo1"/>
        <w:rPr>
          <w:sz w:val="24"/>
          <w:szCs w:val="24"/>
        </w:rPr>
      </w:pPr>
      <w:r w:rsidRPr="00D367B3">
        <w:rPr>
          <w:sz w:val="24"/>
          <w:szCs w:val="24"/>
        </w:rPr>
        <w:lastRenderedPageBreak/>
        <w:t>Antecedentes</w:t>
      </w:r>
    </w:p>
    <w:p w14:paraId="315158D3" w14:textId="41B609F0" w:rsidR="00B51FD9" w:rsidRPr="00D367B3" w:rsidRDefault="00B51FD9" w:rsidP="00AE733B">
      <w:pPr>
        <w:pStyle w:val="Ttulo2"/>
        <w:rPr>
          <w:sz w:val="23"/>
          <w:szCs w:val="23"/>
        </w:rPr>
      </w:pPr>
      <w:r w:rsidRPr="00D367B3">
        <w:rPr>
          <w:sz w:val="23"/>
          <w:szCs w:val="23"/>
        </w:rPr>
        <w:t>Inicio del Proceso Electoral</w:t>
      </w:r>
    </w:p>
    <w:p w14:paraId="18C9651B" w14:textId="77777777" w:rsidR="00B51FD9" w:rsidRPr="00D367B3" w:rsidRDefault="00B51FD9" w:rsidP="00164F4D">
      <w:pPr>
        <w:rPr>
          <w:sz w:val="23"/>
          <w:szCs w:val="23"/>
        </w:rPr>
      </w:pPr>
      <w:r w:rsidRPr="00D367B3">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770FD943" w14:textId="77777777" w:rsidR="006F044C" w:rsidRPr="00D367B3" w:rsidRDefault="006F044C" w:rsidP="00AE733B">
      <w:pPr>
        <w:pStyle w:val="Ttulo2"/>
        <w:rPr>
          <w:sz w:val="23"/>
          <w:szCs w:val="23"/>
        </w:rPr>
      </w:pPr>
      <w:r w:rsidRPr="00D367B3">
        <w:rPr>
          <w:sz w:val="23"/>
          <w:szCs w:val="23"/>
        </w:rPr>
        <w:t>Período de Campaña</w:t>
      </w:r>
    </w:p>
    <w:p w14:paraId="360EDB59" w14:textId="77777777" w:rsidR="006F044C" w:rsidRPr="00D367B3" w:rsidRDefault="006F044C" w:rsidP="006F044C">
      <w:pPr>
        <w:rPr>
          <w:sz w:val="23"/>
          <w:szCs w:val="23"/>
        </w:rPr>
      </w:pPr>
      <w:r w:rsidRPr="00D367B3">
        <w:rPr>
          <w:sz w:val="23"/>
          <w:szCs w:val="23"/>
        </w:rPr>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w:t>
      </w:r>
    </w:p>
    <w:p w14:paraId="55B1198D" w14:textId="325339C3" w:rsidR="00CA77FE" w:rsidRPr="00D367B3" w:rsidRDefault="00CA77FE" w:rsidP="00AE733B">
      <w:pPr>
        <w:pStyle w:val="Ttulo2"/>
        <w:rPr>
          <w:sz w:val="23"/>
          <w:szCs w:val="23"/>
        </w:rPr>
      </w:pPr>
      <w:r w:rsidRPr="00D367B3">
        <w:rPr>
          <w:sz w:val="23"/>
          <w:szCs w:val="23"/>
        </w:rPr>
        <w:t>Valor de la UMA</w:t>
      </w:r>
      <w:r w:rsidR="00826C7D" w:rsidRPr="00D367B3">
        <w:rPr>
          <w:sz w:val="23"/>
          <w:szCs w:val="23"/>
        </w:rPr>
        <w:t xml:space="preserve"> 2023</w:t>
      </w:r>
    </w:p>
    <w:p w14:paraId="3D49AC55" w14:textId="4B6D764C" w:rsidR="00CA77FE" w:rsidRPr="00D367B3" w:rsidRDefault="00CA77FE" w:rsidP="006F044C">
      <w:pPr>
        <w:rPr>
          <w:sz w:val="23"/>
          <w:szCs w:val="23"/>
        </w:rPr>
      </w:pPr>
      <w:r w:rsidRPr="00D367B3">
        <w:rPr>
          <w:sz w:val="23"/>
          <w:szCs w:val="23"/>
        </w:rPr>
        <w:t>El 10 de enero de 2023, el Instituto Nacional de Estadística y Geografía conforme al procedimiento establecido en el artículo 4 de la Ley para determinar el valor de la Unidad de Medida y Actualización, publicó en el Diario Oficial de la Federación el valor diario de la Unidad de Medida y Actualización por la cantidad de $103.74 pesos mexicanos, el cual está vigente a partir del 1º de febrero de 2023.</w:t>
      </w:r>
    </w:p>
    <w:p w14:paraId="74A1D549" w14:textId="77777777" w:rsidR="00740B50" w:rsidRPr="00D367B3" w:rsidRDefault="00740B50" w:rsidP="00CF2001">
      <w:pPr>
        <w:pStyle w:val="Ttulo1"/>
        <w:rPr>
          <w:sz w:val="24"/>
          <w:szCs w:val="24"/>
        </w:rPr>
      </w:pPr>
      <w:r w:rsidRPr="00D367B3">
        <w:rPr>
          <w:sz w:val="24"/>
          <w:szCs w:val="24"/>
        </w:rPr>
        <w:t>Considerando</w:t>
      </w:r>
    </w:p>
    <w:p w14:paraId="7F8052D8" w14:textId="37F08DD9" w:rsidR="00740B50" w:rsidRPr="00D367B3" w:rsidRDefault="00740B50" w:rsidP="00AE733B">
      <w:pPr>
        <w:pStyle w:val="Ttulo2"/>
        <w:rPr>
          <w:sz w:val="23"/>
          <w:szCs w:val="23"/>
        </w:rPr>
      </w:pPr>
      <w:r w:rsidRPr="00D367B3">
        <w:rPr>
          <w:sz w:val="23"/>
          <w:szCs w:val="23"/>
        </w:rPr>
        <w:t xml:space="preserve">Fines del Instituto </w:t>
      </w:r>
    </w:p>
    <w:p w14:paraId="78F71616" w14:textId="227E816B" w:rsidR="00740B50" w:rsidRPr="00D367B3" w:rsidRDefault="00740B50" w:rsidP="00164F4D">
      <w:pPr>
        <w:rPr>
          <w:sz w:val="23"/>
          <w:szCs w:val="23"/>
        </w:rPr>
      </w:pPr>
      <w:r w:rsidRPr="00D367B3">
        <w:rPr>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D367B3">
        <w:rPr>
          <w:sz w:val="23"/>
          <w:szCs w:val="23"/>
        </w:rPr>
        <w:lastRenderedPageBreak/>
        <w:t>cuentas, objetividad, paridad, interculturalidad y las realizarán con perspectiva de género y enfoque de derechos humanos.</w:t>
      </w:r>
    </w:p>
    <w:p w14:paraId="3A17404E" w14:textId="776C0E65" w:rsidR="00740B50" w:rsidRPr="00D367B3" w:rsidRDefault="00740B50" w:rsidP="00164F4D">
      <w:pPr>
        <w:rPr>
          <w:sz w:val="23"/>
          <w:szCs w:val="23"/>
        </w:rPr>
      </w:pPr>
      <w:r w:rsidRPr="00D367B3">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33792E" w:rsidRPr="00D367B3">
        <w:rPr>
          <w:sz w:val="23"/>
          <w:szCs w:val="23"/>
        </w:rPr>
        <w:t>A</w:t>
      </w:r>
      <w:r w:rsidRPr="00D367B3">
        <w:rPr>
          <w:sz w:val="23"/>
          <w:szCs w:val="23"/>
        </w:rPr>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76D6C564" w:rsidR="00740B50" w:rsidRPr="00D367B3" w:rsidRDefault="00740B50" w:rsidP="00AE733B">
      <w:pPr>
        <w:pStyle w:val="Ttulo2"/>
        <w:rPr>
          <w:sz w:val="23"/>
          <w:szCs w:val="23"/>
        </w:rPr>
      </w:pPr>
      <w:r w:rsidRPr="00D367B3">
        <w:rPr>
          <w:sz w:val="23"/>
          <w:szCs w:val="23"/>
        </w:rPr>
        <w:t xml:space="preserve">Órganos Centrales del Instituto </w:t>
      </w:r>
    </w:p>
    <w:p w14:paraId="1CE6FE70" w14:textId="285F85BD" w:rsidR="00740B50" w:rsidRPr="00D367B3" w:rsidRDefault="00740B50" w:rsidP="00164F4D">
      <w:pPr>
        <w:rPr>
          <w:sz w:val="23"/>
          <w:szCs w:val="23"/>
        </w:rPr>
      </w:pPr>
      <w:r w:rsidRPr="00D367B3">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4BBCDB3" w14:textId="49A20EEC" w:rsidR="00740B50" w:rsidRPr="00D367B3" w:rsidRDefault="00740B50" w:rsidP="00AE733B">
      <w:pPr>
        <w:pStyle w:val="Ttulo2"/>
        <w:rPr>
          <w:sz w:val="23"/>
          <w:szCs w:val="23"/>
        </w:rPr>
      </w:pPr>
      <w:r w:rsidRPr="00D367B3">
        <w:rPr>
          <w:sz w:val="23"/>
          <w:szCs w:val="23"/>
        </w:rPr>
        <w:t xml:space="preserve">Órgano Superior de Dirección del Instituto </w:t>
      </w:r>
    </w:p>
    <w:p w14:paraId="13CF4304" w14:textId="739A799A" w:rsidR="00740B50" w:rsidRPr="00D367B3" w:rsidRDefault="00740B50" w:rsidP="00164F4D">
      <w:pPr>
        <w:rPr>
          <w:sz w:val="23"/>
          <w:szCs w:val="23"/>
        </w:rPr>
      </w:pPr>
      <w:r w:rsidRPr="00D367B3">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D367B3" w:rsidRDefault="00740B50" w:rsidP="00AE733B">
      <w:pPr>
        <w:pStyle w:val="Ttulo2"/>
        <w:rPr>
          <w:sz w:val="23"/>
          <w:szCs w:val="23"/>
        </w:rPr>
      </w:pPr>
      <w:r w:rsidRPr="00D367B3">
        <w:rPr>
          <w:sz w:val="23"/>
          <w:szCs w:val="23"/>
        </w:rPr>
        <w:t>Integración del Órgano de Dirección Superior</w:t>
      </w:r>
    </w:p>
    <w:p w14:paraId="3AAF98EF" w14:textId="77777777" w:rsidR="00740B50" w:rsidRPr="00D367B3" w:rsidRDefault="00740B50" w:rsidP="00164F4D">
      <w:pPr>
        <w:rPr>
          <w:sz w:val="23"/>
          <w:szCs w:val="23"/>
        </w:rPr>
      </w:pPr>
      <w:r w:rsidRPr="00D367B3">
        <w:rPr>
          <w:sz w:val="23"/>
          <w:szCs w:val="23"/>
        </w:rPr>
        <w:t xml:space="preserve">Que, los artículos 99 de la Ley General y 107, numeral 1 de la Ley Electoral, disponen que el Consejo Estatal se integrará por una Consejera o un Consejero Presidente y seis consejeras y consejeros electorales, con voz y voto; la Secretaria o el Secretario </w:t>
      </w:r>
      <w:r w:rsidRPr="00D367B3">
        <w:rPr>
          <w:sz w:val="23"/>
          <w:szCs w:val="23"/>
        </w:rPr>
        <w:lastRenderedPageBreak/>
        <w:t>Ejecutivo y una o un representante por cada partido político con registro nacional o estatal, quienes concurrirán a las sesiones sólo con derecho a voz.</w:t>
      </w:r>
    </w:p>
    <w:p w14:paraId="7D8ADB18" w14:textId="77777777" w:rsidR="00740B50" w:rsidRPr="00D367B3" w:rsidRDefault="00740B50" w:rsidP="00AE733B">
      <w:pPr>
        <w:pStyle w:val="Ttulo2"/>
        <w:rPr>
          <w:sz w:val="23"/>
          <w:szCs w:val="23"/>
        </w:rPr>
      </w:pPr>
      <w:r w:rsidRPr="00D367B3">
        <w:rPr>
          <w:sz w:val="23"/>
          <w:szCs w:val="23"/>
        </w:rPr>
        <w:t xml:space="preserve">Competencia del Consejo Estatal </w:t>
      </w:r>
    </w:p>
    <w:p w14:paraId="2ED5797E" w14:textId="77777777" w:rsidR="00505CFD" w:rsidRPr="00D367B3" w:rsidRDefault="00740B50" w:rsidP="006F044C">
      <w:pPr>
        <w:rPr>
          <w:sz w:val="23"/>
          <w:szCs w:val="23"/>
        </w:rPr>
      </w:pPr>
      <w:r w:rsidRPr="00D367B3">
        <w:rPr>
          <w:sz w:val="23"/>
          <w:szCs w:val="23"/>
        </w:rPr>
        <w:t xml:space="preserve">Que, de conformidad con </w:t>
      </w:r>
      <w:r w:rsidR="00C01498" w:rsidRPr="00D367B3">
        <w:rPr>
          <w:sz w:val="23"/>
          <w:szCs w:val="23"/>
        </w:rPr>
        <w:t xml:space="preserve">el artículo 115, numeral 1, fracciones </w:t>
      </w:r>
      <w:r w:rsidR="006F044C" w:rsidRPr="00D367B3">
        <w:rPr>
          <w:sz w:val="23"/>
          <w:szCs w:val="23"/>
        </w:rPr>
        <w:t xml:space="preserve">X y </w:t>
      </w:r>
      <w:r w:rsidR="00C01498" w:rsidRPr="00D367B3">
        <w:rPr>
          <w:sz w:val="23"/>
          <w:szCs w:val="23"/>
        </w:rPr>
        <w:t>XV</w:t>
      </w:r>
      <w:r w:rsidR="008F0665" w:rsidRPr="00D367B3">
        <w:rPr>
          <w:sz w:val="23"/>
          <w:szCs w:val="23"/>
        </w:rPr>
        <w:t xml:space="preserve"> de la Ley Electoral, el Consejo Estatal es competente para</w:t>
      </w:r>
      <w:r w:rsidR="006F044C" w:rsidRPr="00D367B3">
        <w:rPr>
          <w:sz w:val="23"/>
          <w:szCs w:val="23"/>
        </w:rPr>
        <w:t xml:space="preserve"> garantizar la ministración oportuna del financiamiento público a que tienen derechos los partidos políticos nacionales y locales y, en su caso, las candidatas o candidatos independientes, en la entidad; y garantizar los derechos y el acceso a las prerrogativas de los partidos políticos, de las agrupaciones políticas y de las y los candidatos y, en estricto apego a la Ley;</w:t>
      </w:r>
      <w:r w:rsidR="00505CFD" w:rsidRPr="00D367B3">
        <w:rPr>
          <w:sz w:val="23"/>
          <w:szCs w:val="23"/>
        </w:rPr>
        <w:t xml:space="preserve"> </w:t>
      </w:r>
      <w:r w:rsidR="008F0665" w:rsidRPr="00D367B3">
        <w:rPr>
          <w:sz w:val="23"/>
          <w:szCs w:val="23"/>
        </w:rPr>
        <w:t>asimismo para llevar a cabo las actividades necesarias para la preparación de la jornada electoral</w:t>
      </w:r>
      <w:r w:rsidR="00505CFD" w:rsidRPr="00D367B3">
        <w:rPr>
          <w:sz w:val="23"/>
          <w:szCs w:val="23"/>
        </w:rPr>
        <w:t>.</w:t>
      </w:r>
    </w:p>
    <w:p w14:paraId="5E463F78" w14:textId="77777777" w:rsidR="00740B50" w:rsidRPr="00D367B3" w:rsidRDefault="00740B50" w:rsidP="00164F4D">
      <w:pPr>
        <w:rPr>
          <w:sz w:val="23"/>
          <w:szCs w:val="23"/>
        </w:rPr>
      </w:pPr>
      <w:r w:rsidRPr="00D367B3">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DE54955" w14:textId="637230BC" w:rsidR="00390D86" w:rsidRPr="00D367B3" w:rsidRDefault="008A286B" w:rsidP="00AE733B">
      <w:pPr>
        <w:pStyle w:val="Ttulo2"/>
        <w:rPr>
          <w:sz w:val="23"/>
          <w:szCs w:val="23"/>
        </w:rPr>
      </w:pPr>
      <w:r w:rsidRPr="00D367B3">
        <w:rPr>
          <w:sz w:val="23"/>
          <w:szCs w:val="23"/>
        </w:rPr>
        <w:t>Fines de los p</w:t>
      </w:r>
      <w:r w:rsidR="00390D86" w:rsidRPr="00D367B3">
        <w:rPr>
          <w:sz w:val="23"/>
          <w:szCs w:val="23"/>
        </w:rPr>
        <w:t>artidos políticos</w:t>
      </w:r>
    </w:p>
    <w:p w14:paraId="273AC6D1" w14:textId="53DD1F77" w:rsidR="00B7643C" w:rsidRPr="00D367B3" w:rsidRDefault="00B7643C" w:rsidP="00164F4D">
      <w:pPr>
        <w:rPr>
          <w:sz w:val="23"/>
          <w:szCs w:val="23"/>
        </w:rPr>
      </w:pPr>
      <w:r w:rsidRPr="00D367B3">
        <w:rPr>
          <w:sz w:val="23"/>
          <w:szCs w:val="23"/>
        </w:rPr>
        <w:t xml:space="preserve">Que, de conformidad con los artículos 41, </w:t>
      </w:r>
      <w:r w:rsidR="00AE1822" w:rsidRPr="00D367B3">
        <w:rPr>
          <w:sz w:val="23"/>
          <w:szCs w:val="23"/>
        </w:rPr>
        <w:t>B</w:t>
      </w:r>
      <w:r w:rsidRPr="00D367B3">
        <w:rPr>
          <w:sz w:val="23"/>
          <w:szCs w:val="23"/>
        </w:rPr>
        <w:t>ase I de la Constitución Federal, 9 apartado “A”, fracción I, párrafo segundo de la Constitución Local, 3, numeral 1 de la Ley de Partidos y 33 numeral 4, de la Ley Electoral, los partidos políticos son entidades de interés público que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p>
    <w:p w14:paraId="45842564" w14:textId="1A2FD799" w:rsidR="008A286B" w:rsidRPr="00D367B3" w:rsidRDefault="008A286B" w:rsidP="00167801">
      <w:pPr>
        <w:rPr>
          <w:sz w:val="23"/>
          <w:szCs w:val="23"/>
        </w:rPr>
      </w:pPr>
      <w:r w:rsidRPr="00D367B3">
        <w:rPr>
          <w:sz w:val="23"/>
          <w:szCs w:val="23"/>
        </w:rPr>
        <w:lastRenderedPageBreak/>
        <w:t>Además,</w:t>
      </w:r>
      <w:r w:rsidR="00167801" w:rsidRPr="00D367B3">
        <w:rPr>
          <w:sz w:val="23"/>
          <w:szCs w:val="23"/>
        </w:rPr>
        <w:t xml:space="preserve"> conforme a lo dispuesto en la Base I del artículo 41 de la Constitución Federal y 23 numeral 1, inciso b) de la Ley </w:t>
      </w:r>
      <w:r w:rsidR="009038DB" w:rsidRPr="00D367B3">
        <w:rPr>
          <w:sz w:val="23"/>
          <w:szCs w:val="23"/>
        </w:rPr>
        <w:t>de Partidos</w:t>
      </w:r>
      <w:r w:rsidR="00167801" w:rsidRPr="00D367B3">
        <w:rPr>
          <w:sz w:val="23"/>
          <w:szCs w:val="23"/>
        </w:rPr>
        <w:t xml:space="preserve">, </w:t>
      </w:r>
      <w:r w:rsidRPr="00D367B3">
        <w:rPr>
          <w:sz w:val="23"/>
          <w:szCs w:val="23"/>
        </w:rPr>
        <w:t>los partidos políticos nacionales tendrán derecho a participar en las elecciones de las entidades federativas y municipales.</w:t>
      </w:r>
    </w:p>
    <w:p w14:paraId="7293CCF4" w14:textId="2B702737" w:rsidR="00A318E3" w:rsidRPr="00D367B3" w:rsidRDefault="00A318E3" w:rsidP="00AE733B">
      <w:pPr>
        <w:pStyle w:val="Ttulo2"/>
        <w:rPr>
          <w:sz w:val="23"/>
          <w:szCs w:val="23"/>
        </w:rPr>
      </w:pPr>
      <w:r w:rsidRPr="00D367B3">
        <w:rPr>
          <w:sz w:val="23"/>
          <w:szCs w:val="23"/>
        </w:rPr>
        <w:t>Financiamiento a partidos políticos</w:t>
      </w:r>
    </w:p>
    <w:p w14:paraId="228B6571" w14:textId="5355DEB6" w:rsidR="0032118E" w:rsidRPr="00D367B3" w:rsidRDefault="00A318E3" w:rsidP="00A318E3">
      <w:pPr>
        <w:rPr>
          <w:sz w:val="23"/>
          <w:szCs w:val="23"/>
        </w:rPr>
      </w:pPr>
      <w:r w:rsidRPr="00D367B3">
        <w:rPr>
          <w:sz w:val="23"/>
          <w:szCs w:val="23"/>
        </w:rPr>
        <w:t xml:space="preserve">Que, los artículos 41 Base II, párrafo primero de la Constitución Federal y 9 apartado “A”, fracciones VII y VIII de la Constitución Local, establecen que </w:t>
      </w:r>
      <w:r w:rsidR="0032118E" w:rsidRPr="00D367B3">
        <w:rPr>
          <w:sz w:val="23"/>
          <w:szCs w:val="23"/>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182074E1" w14:textId="2A7E42E8" w:rsidR="0032118E" w:rsidRPr="00D367B3" w:rsidRDefault="0032118E" w:rsidP="00A318E3">
      <w:pPr>
        <w:rPr>
          <w:sz w:val="23"/>
          <w:szCs w:val="23"/>
        </w:rPr>
      </w:pPr>
      <w:r w:rsidRPr="00D367B3">
        <w:rPr>
          <w:sz w:val="23"/>
          <w:szCs w:val="23"/>
        </w:rPr>
        <w:t xml:space="preserve">En ese tenor, el financiamiento público </w:t>
      </w:r>
      <w:r w:rsidR="00D42A3B" w:rsidRPr="00D367B3">
        <w:rPr>
          <w:sz w:val="23"/>
          <w:szCs w:val="23"/>
        </w:rPr>
        <w:t xml:space="preserve">para los partidos políticos </w:t>
      </w:r>
      <w:r w:rsidRPr="00D367B3">
        <w:rPr>
          <w:sz w:val="23"/>
          <w:szCs w:val="23"/>
        </w:rPr>
        <w:t>se compondrá de las ministraciones destinadas al sostenimiento de sus actividades ordinarias permanentes, las tendientes a la obtención del voto durante los procesos electorales y las de carácter específico.</w:t>
      </w:r>
    </w:p>
    <w:p w14:paraId="4B240058" w14:textId="0FE79CC1" w:rsidR="00A318E3" w:rsidRPr="00D367B3" w:rsidRDefault="00A318E3" w:rsidP="00A318E3">
      <w:pPr>
        <w:rPr>
          <w:sz w:val="23"/>
          <w:szCs w:val="23"/>
        </w:rPr>
      </w:pPr>
      <w:r w:rsidRPr="00D367B3">
        <w:rPr>
          <w:sz w:val="23"/>
          <w:szCs w:val="23"/>
        </w:rPr>
        <w:t xml:space="preserve">Acorde a </w:t>
      </w:r>
      <w:r w:rsidR="00BD6368" w:rsidRPr="00D367B3">
        <w:rPr>
          <w:sz w:val="23"/>
          <w:szCs w:val="23"/>
        </w:rPr>
        <w:t xml:space="preserve">las disposiciones señaladas, </w:t>
      </w:r>
      <w:r w:rsidRPr="00D367B3">
        <w:rPr>
          <w:sz w:val="23"/>
          <w:szCs w:val="23"/>
        </w:rPr>
        <w:t>los artículos 50, 51 y 5</w:t>
      </w:r>
      <w:r w:rsidR="00193EAA" w:rsidRPr="00D367B3">
        <w:rPr>
          <w:sz w:val="23"/>
          <w:szCs w:val="23"/>
        </w:rPr>
        <w:t>3</w:t>
      </w:r>
      <w:r w:rsidRPr="00D367B3">
        <w:rPr>
          <w:sz w:val="23"/>
          <w:szCs w:val="23"/>
        </w:rPr>
        <w:t xml:space="preserve"> de la Ley de Partidos y 70 numeral 1 de la Ley Electoral, establecen que, el régimen de financiamiento de los partidos políticos tendrá las modalidades de financiamiento público y financiamiento privado. </w:t>
      </w:r>
    </w:p>
    <w:p w14:paraId="069FF19D" w14:textId="77777777" w:rsidR="005C4086" w:rsidRPr="00D367B3" w:rsidRDefault="005C4086" w:rsidP="00AE733B">
      <w:pPr>
        <w:pStyle w:val="Ttulo2"/>
        <w:rPr>
          <w:sz w:val="23"/>
          <w:szCs w:val="23"/>
        </w:rPr>
      </w:pPr>
      <w:r w:rsidRPr="00D367B3">
        <w:rPr>
          <w:sz w:val="23"/>
          <w:szCs w:val="23"/>
        </w:rPr>
        <w:t>Candidaturas independientes</w:t>
      </w:r>
    </w:p>
    <w:p w14:paraId="79F5ED6A" w14:textId="5B8DA0F7" w:rsidR="00823B19" w:rsidRPr="00D367B3" w:rsidRDefault="00823B19" w:rsidP="00823B19">
      <w:pPr>
        <w:rPr>
          <w:sz w:val="23"/>
          <w:szCs w:val="23"/>
        </w:rPr>
      </w:pPr>
      <w:r w:rsidRPr="00D367B3">
        <w:rPr>
          <w:sz w:val="23"/>
          <w:szCs w:val="23"/>
        </w:rPr>
        <w:t xml:space="preserve">Que, el artículo 35, fracción II de la Constitución Federal señala que es derecho de la ciudadanía poder ser votada para todos los cargos de elección popular, teniendo las calidades que establezca la ley; asimismo, el derecho de solicitar el registro ante la autoridad electoral corresponde, entre otros, a la ciudadanía que solicite su registro de manera independiente y cumpla con los requisitos, condiciones y términos que determine la legislación. </w:t>
      </w:r>
    </w:p>
    <w:p w14:paraId="2C225F98" w14:textId="245C09EF" w:rsidR="00823B19" w:rsidRPr="00D367B3" w:rsidRDefault="00823B19" w:rsidP="00823B19">
      <w:pPr>
        <w:rPr>
          <w:sz w:val="23"/>
          <w:szCs w:val="23"/>
        </w:rPr>
      </w:pPr>
      <w:r w:rsidRPr="00D367B3">
        <w:rPr>
          <w:sz w:val="23"/>
          <w:szCs w:val="23"/>
        </w:rPr>
        <w:t xml:space="preserve">En el mismo sentido, el artículo 7, fracción I de la Constitución Local consagra el derecho de la ciudadanía de ser electa para los cargos públicos, así como de solicitar el registro </w:t>
      </w:r>
      <w:r w:rsidRPr="00D367B3">
        <w:rPr>
          <w:sz w:val="23"/>
          <w:szCs w:val="23"/>
        </w:rPr>
        <w:lastRenderedPageBreak/>
        <w:t>de su candidatura cuando de manera independiente deseen participar, siempre que cumplan con los requisitos, condiciones y términos que establezca la ley.</w:t>
      </w:r>
    </w:p>
    <w:p w14:paraId="21BD263C" w14:textId="05EE24BC" w:rsidR="00823B19" w:rsidRPr="00D367B3" w:rsidRDefault="00823B19" w:rsidP="00823B19">
      <w:pPr>
        <w:rPr>
          <w:sz w:val="23"/>
          <w:szCs w:val="23"/>
        </w:rPr>
      </w:pPr>
      <w:r w:rsidRPr="00D367B3">
        <w:rPr>
          <w:sz w:val="23"/>
          <w:szCs w:val="23"/>
        </w:rPr>
        <w:t>Al respecto, el artículo 2, fracción III de la Ley Electoral señala que, se entenderá por candidatura independiente quien obtenga por parte de la autoridad electoral el acuerdo de registro, habiendo cumplido los requisitos que para tal efecto establece la propia Ley.</w:t>
      </w:r>
    </w:p>
    <w:p w14:paraId="715B523F" w14:textId="34EC87BC" w:rsidR="005473BF" w:rsidRPr="00D367B3" w:rsidRDefault="005473BF" w:rsidP="00AE733B">
      <w:pPr>
        <w:pStyle w:val="Ttulo2"/>
        <w:rPr>
          <w:sz w:val="23"/>
          <w:szCs w:val="23"/>
        </w:rPr>
      </w:pPr>
      <w:r w:rsidRPr="00D367B3">
        <w:rPr>
          <w:sz w:val="23"/>
          <w:szCs w:val="23"/>
        </w:rPr>
        <w:t>Regulación constitucional del financiamiento público local</w:t>
      </w:r>
    </w:p>
    <w:p w14:paraId="3F2E33BA" w14:textId="494FD954" w:rsidR="00120B24" w:rsidRPr="00D367B3" w:rsidRDefault="00120B24" w:rsidP="00A318E3">
      <w:pPr>
        <w:rPr>
          <w:sz w:val="23"/>
          <w:szCs w:val="23"/>
        </w:rPr>
      </w:pPr>
      <w:r w:rsidRPr="00D367B3">
        <w:rPr>
          <w:sz w:val="23"/>
          <w:szCs w:val="23"/>
        </w:rPr>
        <w:t xml:space="preserve">Que, el artículo 9 apartado “A”, fracción VIII, inciso a) de la Constitución </w:t>
      </w:r>
      <w:r w:rsidR="00A86A14" w:rsidRPr="00D367B3">
        <w:rPr>
          <w:sz w:val="23"/>
          <w:szCs w:val="23"/>
        </w:rPr>
        <w:t>L</w:t>
      </w:r>
      <w:r w:rsidRPr="00D367B3">
        <w:rPr>
          <w:sz w:val="23"/>
          <w:szCs w:val="23"/>
        </w:rPr>
        <w:t xml:space="preserve">ocal, establece que, el financiamiento público para el sostenimiento de las actividades ordinarias permanentes de los partidos políticos locales se fijará anualmente en los términos establecidos por la Ley de Partidos. Asimismo, en lo que corresponde a los partidos políticos nacionales el financiamiento público para el sostenimiento de las actividades ordinarias permanentes se fijará anualmente, multiplicando el número total de ciudadanos inscritos en el padrón electoral del Estado por el </w:t>
      </w:r>
      <w:r w:rsidR="00A86A14" w:rsidRPr="00D367B3">
        <w:rPr>
          <w:b/>
          <w:bCs/>
          <w:sz w:val="23"/>
          <w:szCs w:val="23"/>
        </w:rPr>
        <w:t>32.5%</w:t>
      </w:r>
      <w:r w:rsidR="00514022" w:rsidRPr="00D367B3">
        <w:rPr>
          <w:b/>
          <w:bCs/>
          <w:sz w:val="23"/>
          <w:szCs w:val="23"/>
        </w:rPr>
        <w:t xml:space="preserve"> </w:t>
      </w:r>
      <w:r w:rsidR="00A86A14" w:rsidRPr="00D367B3">
        <w:rPr>
          <w:b/>
          <w:bCs/>
          <w:sz w:val="23"/>
          <w:szCs w:val="23"/>
        </w:rPr>
        <w:t>(</w:t>
      </w:r>
      <w:r w:rsidRPr="00D367B3">
        <w:rPr>
          <w:b/>
          <w:bCs/>
          <w:sz w:val="23"/>
          <w:szCs w:val="23"/>
        </w:rPr>
        <w:t xml:space="preserve">treinta y </w:t>
      </w:r>
      <w:proofErr w:type="gramStart"/>
      <w:r w:rsidRPr="00D367B3">
        <w:rPr>
          <w:b/>
          <w:bCs/>
          <w:sz w:val="23"/>
          <w:szCs w:val="23"/>
        </w:rPr>
        <w:t>dos punto</w:t>
      </w:r>
      <w:proofErr w:type="gramEnd"/>
      <w:r w:rsidRPr="00D367B3">
        <w:rPr>
          <w:b/>
          <w:bCs/>
          <w:sz w:val="23"/>
          <w:szCs w:val="23"/>
        </w:rPr>
        <w:t xml:space="preserve"> cinco por ciento</w:t>
      </w:r>
      <w:r w:rsidR="00A86A14" w:rsidRPr="00D367B3">
        <w:rPr>
          <w:b/>
          <w:bCs/>
          <w:sz w:val="23"/>
          <w:szCs w:val="23"/>
        </w:rPr>
        <w:t xml:space="preserve">) </w:t>
      </w:r>
      <w:r w:rsidRPr="00D367B3">
        <w:rPr>
          <w:sz w:val="23"/>
          <w:szCs w:val="23"/>
        </w:rPr>
        <w:t xml:space="preserve">del valor diario de la Unidad de Medida y Actualización. El </w:t>
      </w:r>
      <w:r w:rsidR="00514022" w:rsidRPr="00D367B3">
        <w:rPr>
          <w:sz w:val="23"/>
          <w:szCs w:val="23"/>
        </w:rPr>
        <w:t>30% (</w:t>
      </w:r>
      <w:r w:rsidRPr="00D367B3">
        <w:rPr>
          <w:sz w:val="23"/>
          <w:szCs w:val="23"/>
        </w:rPr>
        <w:t>treinta por ciento) de la cantidad total que resulte de acuerdo con lo señalado anteriormente, se distribuirá entre los partidos políticos en forma igualitaria y el</w:t>
      </w:r>
      <w:r w:rsidR="00514022" w:rsidRPr="00D367B3">
        <w:rPr>
          <w:sz w:val="23"/>
          <w:szCs w:val="23"/>
        </w:rPr>
        <w:t xml:space="preserve"> 70%</w:t>
      </w:r>
      <w:r w:rsidRPr="00D367B3">
        <w:rPr>
          <w:sz w:val="23"/>
          <w:szCs w:val="23"/>
        </w:rPr>
        <w:t xml:space="preserve"> </w:t>
      </w:r>
      <w:r w:rsidR="00514022" w:rsidRPr="00D367B3">
        <w:rPr>
          <w:sz w:val="23"/>
          <w:szCs w:val="23"/>
        </w:rPr>
        <w:t>(</w:t>
      </w:r>
      <w:r w:rsidRPr="00D367B3">
        <w:rPr>
          <w:sz w:val="23"/>
          <w:szCs w:val="23"/>
        </w:rPr>
        <w:t>setenta por ciento</w:t>
      </w:r>
      <w:r w:rsidR="00514022" w:rsidRPr="00D367B3">
        <w:rPr>
          <w:sz w:val="23"/>
          <w:szCs w:val="23"/>
        </w:rPr>
        <w:t>)</w:t>
      </w:r>
      <w:r w:rsidRPr="00D367B3">
        <w:rPr>
          <w:sz w:val="23"/>
          <w:szCs w:val="23"/>
        </w:rPr>
        <w:t xml:space="preserve"> restante se distribuirá entre los mismos de acuerdo con el porcentaje de votos que hubieren obtenido en la elección de diputados inmediata anterior.</w:t>
      </w:r>
    </w:p>
    <w:p w14:paraId="5A5482A9" w14:textId="0EBCC370" w:rsidR="00621812" w:rsidRPr="00D367B3" w:rsidRDefault="00621812" w:rsidP="00621812">
      <w:pPr>
        <w:rPr>
          <w:sz w:val="23"/>
          <w:szCs w:val="23"/>
        </w:rPr>
      </w:pPr>
      <w:r w:rsidRPr="00D367B3">
        <w:rPr>
          <w:sz w:val="23"/>
          <w:szCs w:val="23"/>
        </w:rPr>
        <w:t xml:space="preserve">Respecto al financiamiento público para las actividades tendentes a la obtención del voto durante el año en que se elijan Gobernador del Estado, diputados locales, presidentes municipales y regidores, de acuerdo con el inciso b) del artículo mencionado, equivaldrá al </w:t>
      </w:r>
      <w:r w:rsidR="008C468B" w:rsidRPr="00D367B3">
        <w:rPr>
          <w:sz w:val="23"/>
          <w:szCs w:val="23"/>
        </w:rPr>
        <w:t>50% (</w:t>
      </w:r>
      <w:r w:rsidRPr="00D367B3">
        <w:rPr>
          <w:sz w:val="23"/>
          <w:szCs w:val="23"/>
        </w:rPr>
        <w:t>cincuenta por ciento</w:t>
      </w:r>
      <w:r w:rsidR="008C468B" w:rsidRPr="00D367B3">
        <w:rPr>
          <w:sz w:val="23"/>
          <w:szCs w:val="23"/>
        </w:rPr>
        <w:t>)</w:t>
      </w:r>
      <w:r w:rsidRPr="00D367B3">
        <w:rPr>
          <w:sz w:val="23"/>
          <w:szCs w:val="23"/>
        </w:rPr>
        <w:t xml:space="preserve"> del financiamiento público que le corresponda a cada partido por actividades ordinarias en ese mismo año; cuando sólo se elijan diputados locales, presidentes municipales y regidores, equivaldrá al </w:t>
      </w:r>
      <w:r w:rsidR="008C468B" w:rsidRPr="00D367B3">
        <w:rPr>
          <w:sz w:val="23"/>
          <w:szCs w:val="23"/>
        </w:rPr>
        <w:t>30% (</w:t>
      </w:r>
      <w:r w:rsidRPr="00D367B3">
        <w:rPr>
          <w:sz w:val="23"/>
          <w:szCs w:val="23"/>
        </w:rPr>
        <w:t>treinta por ciento</w:t>
      </w:r>
      <w:r w:rsidR="008C468B" w:rsidRPr="00D367B3">
        <w:rPr>
          <w:sz w:val="23"/>
          <w:szCs w:val="23"/>
        </w:rPr>
        <w:t xml:space="preserve">) </w:t>
      </w:r>
      <w:r w:rsidRPr="00D367B3">
        <w:rPr>
          <w:sz w:val="23"/>
          <w:szCs w:val="23"/>
        </w:rPr>
        <w:t>de dicho financiamiento por actividades ordinarias</w:t>
      </w:r>
      <w:r w:rsidR="000C7EC0" w:rsidRPr="00D367B3">
        <w:rPr>
          <w:sz w:val="23"/>
          <w:szCs w:val="23"/>
        </w:rPr>
        <w:t>.</w:t>
      </w:r>
    </w:p>
    <w:p w14:paraId="62D3890D" w14:textId="3A7DD98A" w:rsidR="00844695" w:rsidRPr="00D367B3" w:rsidRDefault="009603E2" w:rsidP="00844695">
      <w:pPr>
        <w:rPr>
          <w:sz w:val="23"/>
          <w:szCs w:val="23"/>
        </w:rPr>
      </w:pPr>
      <w:r w:rsidRPr="00D367B3">
        <w:rPr>
          <w:sz w:val="23"/>
          <w:szCs w:val="23"/>
        </w:rPr>
        <w:t>E</w:t>
      </w:r>
      <w:r w:rsidR="00844695" w:rsidRPr="00D367B3">
        <w:rPr>
          <w:sz w:val="23"/>
          <w:szCs w:val="23"/>
        </w:rPr>
        <w:t xml:space="preserve">n el caso del financiamiento público por actividades específicas, relativas a la educación, capacitación, investigación socioeconómica y política, así como a las tareas editoriales, el inciso c) del </w:t>
      </w:r>
      <w:r w:rsidR="008C468B" w:rsidRPr="00D367B3">
        <w:rPr>
          <w:sz w:val="23"/>
          <w:szCs w:val="23"/>
        </w:rPr>
        <w:t xml:space="preserve">citado precepto </w:t>
      </w:r>
      <w:r w:rsidR="00844695" w:rsidRPr="00D367B3">
        <w:rPr>
          <w:sz w:val="23"/>
          <w:szCs w:val="23"/>
        </w:rPr>
        <w:t>refiere que, equivaldrá al</w:t>
      </w:r>
      <w:r w:rsidR="008C468B" w:rsidRPr="00D367B3">
        <w:rPr>
          <w:sz w:val="23"/>
          <w:szCs w:val="23"/>
        </w:rPr>
        <w:t xml:space="preserve"> 3% (</w:t>
      </w:r>
      <w:r w:rsidR="00844695" w:rsidRPr="00D367B3">
        <w:rPr>
          <w:sz w:val="23"/>
          <w:szCs w:val="23"/>
        </w:rPr>
        <w:t xml:space="preserve">tres por ciento) del monto total del financiamiento público que corresponda a cada año por actividades ordinarias. El </w:t>
      </w:r>
      <w:r w:rsidR="008C468B" w:rsidRPr="00D367B3">
        <w:rPr>
          <w:sz w:val="23"/>
          <w:szCs w:val="23"/>
        </w:rPr>
        <w:t>30% (</w:t>
      </w:r>
      <w:r w:rsidR="00844695" w:rsidRPr="00D367B3">
        <w:rPr>
          <w:sz w:val="23"/>
          <w:szCs w:val="23"/>
        </w:rPr>
        <w:t>treinta por ciento</w:t>
      </w:r>
      <w:r w:rsidR="008C468B" w:rsidRPr="00D367B3">
        <w:rPr>
          <w:sz w:val="23"/>
          <w:szCs w:val="23"/>
        </w:rPr>
        <w:t>)</w:t>
      </w:r>
      <w:r w:rsidR="00844695" w:rsidRPr="00D367B3">
        <w:rPr>
          <w:sz w:val="23"/>
          <w:szCs w:val="23"/>
        </w:rPr>
        <w:t xml:space="preserve"> de la cantidad que resulte de acuerdo </w:t>
      </w:r>
      <w:r w:rsidR="00C90F2D" w:rsidRPr="00D367B3">
        <w:rPr>
          <w:sz w:val="23"/>
          <w:szCs w:val="23"/>
        </w:rPr>
        <w:t>con</w:t>
      </w:r>
      <w:r w:rsidR="00844695" w:rsidRPr="00D367B3">
        <w:rPr>
          <w:sz w:val="23"/>
          <w:szCs w:val="23"/>
        </w:rPr>
        <w:t xml:space="preserve"> lo </w:t>
      </w:r>
      <w:r w:rsidR="00844695" w:rsidRPr="00D367B3">
        <w:rPr>
          <w:sz w:val="23"/>
          <w:szCs w:val="23"/>
        </w:rPr>
        <w:lastRenderedPageBreak/>
        <w:t xml:space="preserve">señalado anteriormente, se distribuirá entre los partidos políticos de forma igualitaria y el </w:t>
      </w:r>
      <w:r w:rsidR="00C90F2D" w:rsidRPr="00D367B3">
        <w:rPr>
          <w:sz w:val="23"/>
          <w:szCs w:val="23"/>
        </w:rPr>
        <w:t>70%</w:t>
      </w:r>
      <w:r w:rsidR="008C468B" w:rsidRPr="00D367B3">
        <w:rPr>
          <w:sz w:val="23"/>
          <w:szCs w:val="23"/>
        </w:rPr>
        <w:t xml:space="preserve"> (setenta por ciento</w:t>
      </w:r>
      <w:r w:rsidR="00C90F2D" w:rsidRPr="00D367B3">
        <w:rPr>
          <w:sz w:val="23"/>
          <w:szCs w:val="23"/>
        </w:rPr>
        <w:t xml:space="preserve">) </w:t>
      </w:r>
      <w:r w:rsidR="00844695" w:rsidRPr="00D367B3">
        <w:rPr>
          <w:sz w:val="23"/>
          <w:szCs w:val="23"/>
        </w:rPr>
        <w:t xml:space="preserve">restante de acuerdo </w:t>
      </w:r>
      <w:r w:rsidR="00C90F2D" w:rsidRPr="00D367B3">
        <w:rPr>
          <w:sz w:val="23"/>
          <w:szCs w:val="23"/>
        </w:rPr>
        <w:t xml:space="preserve">con </w:t>
      </w:r>
      <w:r w:rsidR="00844695" w:rsidRPr="00D367B3">
        <w:rPr>
          <w:sz w:val="23"/>
          <w:szCs w:val="23"/>
        </w:rPr>
        <w:t>su fuerza electoral, calculada con el porcentaje de votos que hubieren obtenido en la elección de diputados inmediata anterior.</w:t>
      </w:r>
    </w:p>
    <w:p w14:paraId="0EC85292" w14:textId="5C5D4D65" w:rsidR="009603E2" w:rsidRPr="00D367B3" w:rsidRDefault="009603E2" w:rsidP="00B43918">
      <w:pPr>
        <w:rPr>
          <w:sz w:val="23"/>
          <w:szCs w:val="23"/>
        </w:rPr>
      </w:pPr>
      <w:r w:rsidRPr="00D367B3">
        <w:rPr>
          <w:sz w:val="23"/>
          <w:szCs w:val="23"/>
        </w:rPr>
        <w:t xml:space="preserve">Finalmente, el artículo 9 apartado “A”, fracción VIII-Bis de la Constitución local </w:t>
      </w:r>
      <w:r w:rsidR="00B43918" w:rsidRPr="00D367B3">
        <w:rPr>
          <w:sz w:val="23"/>
          <w:szCs w:val="23"/>
        </w:rPr>
        <w:t>señala</w:t>
      </w:r>
      <w:r w:rsidRPr="00D367B3">
        <w:rPr>
          <w:sz w:val="23"/>
          <w:szCs w:val="23"/>
        </w:rPr>
        <w:t xml:space="preserve"> que</w:t>
      </w:r>
      <w:r w:rsidR="00B43918" w:rsidRPr="00D367B3">
        <w:rPr>
          <w:sz w:val="23"/>
          <w:szCs w:val="23"/>
        </w:rPr>
        <w:t xml:space="preserve">, </w:t>
      </w:r>
      <w:r w:rsidRPr="00D367B3">
        <w:rPr>
          <w:sz w:val="23"/>
          <w:szCs w:val="23"/>
        </w:rPr>
        <w:t>las leyes, general o estatal, según corresponda, establecerán las reglas y límites a que se sujetará el financiamiento público y privado de las actividades de los ciudadanos que obtengan su registro como candidatos independientes dentro de un proceso electoral, así como los procedimientos para el control y vigilancia del origen, uso y destino de todos los recursos con los que cuenten, incluyendo aquellos que hubiesen utilizado para financiar las actividades tendentes a obtener dicho registro y dispondrán las sanciones que deban imponerse por el incumplimiento de estas disposiciones.</w:t>
      </w:r>
    </w:p>
    <w:p w14:paraId="54F38362" w14:textId="05351192" w:rsidR="007930C7" w:rsidRPr="00D367B3" w:rsidRDefault="00BC1866" w:rsidP="00AE733B">
      <w:pPr>
        <w:pStyle w:val="Ttulo2"/>
        <w:rPr>
          <w:sz w:val="23"/>
          <w:szCs w:val="23"/>
        </w:rPr>
      </w:pPr>
      <w:r w:rsidRPr="00D367B3">
        <w:rPr>
          <w:sz w:val="23"/>
          <w:szCs w:val="23"/>
        </w:rPr>
        <w:t>Regulación del financiamiento público en la Ley Electoral</w:t>
      </w:r>
    </w:p>
    <w:p w14:paraId="0947B481" w14:textId="21FD06B9" w:rsidR="00BC1866" w:rsidRPr="00D367B3" w:rsidRDefault="00886313" w:rsidP="00BC1866">
      <w:pPr>
        <w:rPr>
          <w:sz w:val="23"/>
          <w:szCs w:val="23"/>
        </w:rPr>
      </w:pPr>
      <w:r w:rsidRPr="00D367B3">
        <w:rPr>
          <w:sz w:val="23"/>
          <w:szCs w:val="23"/>
        </w:rPr>
        <w:t>Que, el artículo 72 numeral 1, fracción I, inciso a) de la Ley Electoral, refiere que, el monto total por distribuir entre los partidos políticos, se obtendrá de la multiplicación del número total de ciudadanos inscritos en el padrón electoral correspondiente al estado de Tabasco, a la fecha de corte de julio de cada año, por el 65% del valor diario de la Unidad de Medida y Actualización; no obstante, dicha disposición de acuerdo con el artículo Tercero transitorio del decreto 124 publicado el 16 de octubre de 2019, en el suplemento “D” al Periódico Oficial del Estado número 8046, quedó derogada por oposición al contenido del propio decreto, de ahí que, para la determinación del monto de financiamiento público, resulte aplicable el 32.5% del valor diario de la UMA señalado por la Constitución Local.</w:t>
      </w:r>
    </w:p>
    <w:p w14:paraId="354B95AE" w14:textId="3F2BC295" w:rsidR="005C4086" w:rsidRPr="00D367B3" w:rsidRDefault="00951AB9" w:rsidP="00AE733B">
      <w:pPr>
        <w:pStyle w:val="Ttulo2"/>
        <w:rPr>
          <w:sz w:val="23"/>
          <w:szCs w:val="23"/>
        </w:rPr>
      </w:pPr>
      <w:r w:rsidRPr="00D367B3">
        <w:rPr>
          <w:sz w:val="23"/>
          <w:szCs w:val="23"/>
        </w:rPr>
        <w:t>Financiamiento público para</w:t>
      </w:r>
      <w:r w:rsidR="005C4086" w:rsidRPr="00D367B3">
        <w:rPr>
          <w:sz w:val="23"/>
          <w:szCs w:val="23"/>
        </w:rPr>
        <w:t xml:space="preserve"> </w:t>
      </w:r>
      <w:r w:rsidRPr="00D367B3">
        <w:rPr>
          <w:sz w:val="23"/>
          <w:szCs w:val="23"/>
        </w:rPr>
        <w:t xml:space="preserve">candidaturas </w:t>
      </w:r>
      <w:r w:rsidR="005C4086" w:rsidRPr="00D367B3">
        <w:rPr>
          <w:sz w:val="23"/>
          <w:szCs w:val="23"/>
        </w:rPr>
        <w:t>independientes</w:t>
      </w:r>
    </w:p>
    <w:p w14:paraId="7E13FDA0" w14:textId="4BEB1C8B" w:rsidR="00C067C2" w:rsidRPr="00D367B3" w:rsidRDefault="00C067C2" w:rsidP="00C067C2">
      <w:pPr>
        <w:rPr>
          <w:sz w:val="23"/>
          <w:szCs w:val="23"/>
        </w:rPr>
      </w:pPr>
      <w:r w:rsidRPr="00D367B3">
        <w:rPr>
          <w:sz w:val="23"/>
          <w:szCs w:val="23"/>
        </w:rPr>
        <w:t xml:space="preserve">Que, el artículo </w:t>
      </w:r>
      <w:r w:rsidR="001709BC" w:rsidRPr="00D367B3">
        <w:rPr>
          <w:sz w:val="23"/>
          <w:szCs w:val="23"/>
        </w:rPr>
        <w:t xml:space="preserve">9, apartado “A” de la Constitución Local, establece que, de conformidad con lo señalado por el artículo 116 fracción IV, inciso k) de la Constitución Federal, la Ley Electoral regulará el régimen aplicable a la postulación, registro, derechos y obligaciones de las candidaturas independientes, garantizando su derecho al financiamiento público y al acceso a la radio y la televisión en los términos establecidos en la </w:t>
      </w:r>
      <w:r w:rsidRPr="00D367B3">
        <w:rPr>
          <w:sz w:val="23"/>
          <w:szCs w:val="23"/>
        </w:rPr>
        <w:t>propia Constitución y en las leyes correspondientes.</w:t>
      </w:r>
    </w:p>
    <w:p w14:paraId="0A77E9C9" w14:textId="4BE7C682" w:rsidR="005C4086" w:rsidRPr="00D367B3" w:rsidRDefault="00C067C2" w:rsidP="00C067C2">
      <w:pPr>
        <w:rPr>
          <w:sz w:val="23"/>
          <w:szCs w:val="23"/>
        </w:rPr>
      </w:pPr>
      <w:r w:rsidRPr="00D367B3">
        <w:rPr>
          <w:sz w:val="23"/>
          <w:szCs w:val="23"/>
        </w:rPr>
        <w:lastRenderedPageBreak/>
        <w:t xml:space="preserve">Acorde a la disposición constitucional, </w:t>
      </w:r>
      <w:r w:rsidR="003F0F26" w:rsidRPr="00D367B3">
        <w:rPr>
          <w:sz w:val="23"/>
          <w:szCs w:val="23"/>
        </w:rPr>
        <w:t>los artículos 407 de la Ley General</w:t>
      </w:r>
      <w:r w:rsidR="006E167C" w:rsidRPr="00D367B3">
        <w:rPr>
          <w:sz w:val="23"/>
          <w:szCs w:val="23"/>
        </w:rPr>
        <w:t>,</w:t>
      </w:r>
      <w:r w:rsidR="00C138AF" w:rsidRPr="00D367B3">
        <w:rPr>
          <w:sz w:val="23"/>
          <w:szCs w:val="23"/>
        </w:rPr>
        <w:t xml:space="preserve"> </w:t>
      </w:r>
      <w:r w:rsidR="003F0F26" w:rsidRPr="00D367B3">
        <w:rPr>
          <w:sz w:val="23"/>
          <w:szCs w:val="23"/>
        </w:rPr>
        <w:t xml:space="preserve">319 </w:t>
      </w:r>
      <w:r w:rsidR="00C138AF" w:rsidRPr="00D367B3">
        <w:rPr>
          <w:sz w:val="23"/>
          <w:szCs w:val="23"/>
        </w:rPr>
        <w:t xml:space="preserve">y 320 </w:t>
      </w:r>
      <w:r w:rsidR="003F0F26" w:rsidRPr="00D367B3">
        <w:rPr>
          <w:sz w:val="23"/>
          <w:szCs w:val="23"/>
        </w:rPr>
        <w:t xml:space="preserve">de la Ley </w:t>
      </w:r>
      <w:r w:rsidR="006E167C" w:rsidRPr="00D367B3">
        <w:rPr>
          <w:sz w:val="23"/>
          <w:szCs w:val="23"/>
        </w:rPr>
        <w:t>Electoral</w:t>
      </w:r>
      <w:r w:rsidR="003F0F26" w:rsidRPr="00D367B3">
        <w:rPr>
          <w:sz w:val="23"/>
          <w:szCs w:val="23"/>
        </w:rPr>
        <w:t>, establecen que las</w:t>
      </w:r>
      <w:r w:rsidR="00FB53C6" w:rsidRPr="00D367B3">
        <w:rPr>
          <w:sz w:val="23"/>
          <w:szCs w:val="23"/>
        </w:rPr>
        <w:t xml:space="preserve"> o los</w:t>
      </w:r>
      <w:r w:rsidR="003F0F26" w:rsidRPr="00D367B3">
        <w:rPr>
          <w:sz w:val="23"/>
          <w:szCs w:val="23"/>
        </w:rPr>
        <w:t xml:space="preserve"> </w:t>
      </w:r>
      <w:r w:rsidR="00FB53C6" w:rsidRPr="00D367B3">
        <w:rPr>
          <w:sz w:val="23"/>
          <w:szCs w:val="23"/>
        </w:rPr>
        <w:t xml:space="preserve">candidatos </w:t>
      </w:r>
      <w:r w:rsidR="003F0F26" w:rsidRPr="00D367B3">
        <w:rPr>
          <w:sz w:val="23"/>
          <w:szCs w:val="23"/>
        </w:rPr>
        <w:t>independientes tendrán derecho a recibir financiamiento público para sus gastos de campaña, por lo que, para efectos de distribución de dicho financiamiento y de las prerrogativas a que tienen derecho, en su conjunto, serán considerados como un partido político de nuevo registro</w:t>
      </w:r>
      <w:r w:rsidR="00C138AF" w:rsidRPr="00D367B3">
        <w:rPr>
          <w:sz w:val="23"/>
          <w:szCs w:val="23"/>
        </w:rPr>
        <w:t xml:space="preserve"> en el Estado de Tabasco, cuyo monto se distribuirá a razón de un 33.3% para cada una de las elecciones a la Gubernatura, diputaciones y presidencias municipales y conforme lo dispone el último de los artículos señalados.</w:t>
      </w:r>
    </w:p>
    <w:p w14:paraId="63942781" w14:textId="09D75E04" w:rsidR="00BB2764" w:rsidRPr="00D367B3" w:rsidRDefault="004A5CDB" w:rsidP="00C067C2">
      <w:pPr>
        <w:rPr>
          <w:sz w:val="23"/>
          <w:szCs w:val="23"/>
        </w:rPr>
      </w:pPr>
      <w:r w:rsidRPr="00D367B3">
        <w:rPr>
          <w:sz w:val="23"/>
          <w:szCs w:val="23"/>
        </w:rPr>
        <w:t xml:space="preserve">En </w:t>
      </w:r>
      <w:r w:rsidR="00BB2764" w:rsidRPr="00D367B3">
        <w:rPr>
          <w:sz w:val="23"/>
          <w:szCs w:val="23"/>
        </w:rPr>
        <w:t xml:space="preserve">ese </w:t>
      </w:r>
      <w:r w:rsidRPr="00D367B3">
        <w:rPr>
          <w:sz w:val="23"/>
          <w:szCs w:val="23"/>
        </w:rPr>
        <w:t xml:space="preserve">sentido, </w:t>
      </w:r>
      <w:r w:rsidR="008C468B" w:rsidRPr="00D367B3">
        <w:rPr>
          <w:sz w:val="23"/>
          <w:szCs w:val="23"/>
        </w:rPr>
        <w:t xml:space="preserve">como se mencionó previamente, </w:t>
      </w:r>
      <w:r w:rsidR="009800E5" w:rsidRPr="00D367B3">
        <w:rPr>
          <w:sz w:val="23"/>
          <w:szCs w:val="23"/>
        </w:rPr>
        <w:t xml:space="preserve">el artículo 9, apartado “A”, fracción VII, inciso a) de la Constitución Local dispone que el financiamiento público para el sostenimiento de las actividades ordinarias permanentes de los partidos políticos locales se fijará anualmente en los términos establecidos por la Ley </w:t>
      </w:r>
      <w:r w:rsidR="00BB2764" w:rsidRPr="00D367B3">
        <w:rPr>
          <w:sz w:val="23"/>
          <w:szCs w:val="23"/>
        </w:rPr>
        <w:t>de Partidos</w:t>
      </w:r>
      <w:r w:rsidR="000C163B" w:rsidRPr="00D367B3">
        <w:rPr>
          <w:sz w:val="23"/>
          <w:szCs w:val="23"/>
        </w:rPr>
        <w:t>;</w:t>
      </w:r>
      <w:r w:rsidR="00BB2764" w:rsidRPr="00D367B3">
        <w:rPr>
          <w:sz w:val="23"/>
          <w:szCs w:val="23"/>
        </w:rPr>
        <w:t xml:space="preserve"> la cual, de conformidad con su artículo 51 numeral 2 </w:t>
      </w:r>
      <w:r w:rsidR="000C163B" w:rsidRPr="00D367B3">
        <w:rPr>
          <w:sz w:val="23"/>
          <w:szCs w:val="23"/>
        </w:rPr>
        <w:t xml:space="preserve">refiere </w:t>
      </w:r>
      <w:r w:rsidR="00BB2764" w:rsidRPr="00D367B3">
        <w:rPr>
          <w:sz w:val="23"/>
          <w:szCs w:val="23"/>
        </w:rPr>
        <w:t xml:space="preserve">que, a los partidos políticos que hubieren obtenido su registro con fecha posterior a la última elección se les otorgará el </w:t>
      </w:r>
      <w:r w:rsidR="00054C37" w:rsidRPr="00D367B3">
        <w:rPr>
          <w:sz w:val="23"/>
          <w:szCs w:val="23"/>
        </w:rPr>
        <w:t>2% (</w:t>
      </w:r>
      <w:r w:rsidR="00BB2764" w:rsidRPr="00D367B3">
        <w:rPr>
          <w:sz w:val="23"/>
          <w:szCs w:val="23"/>
        </w:rPr>
        <w:t>dos por ciento</w:t>
      </w:r>
      <w:r w:rsidR="00C43635" w:rsidRPr="00D367B3">
        <w:rPr>
          <w:sz w:val="23"/>
          <w:szCs w:val="23"/>
        </w:rPr>
        <w:t xml:space="preserve">) </w:t>
      </w:r>
      <w:r w:rsidR="00BB2764" w:rsidRPr="00D367B3">
        <w:rPr>
          <w:sz w:val="23"/>
          <w:szCs w:val="23"/>
        </w:rPr>
        <w:t>del monto que por financiamiento total les corresponda a los partidos políticos para el sostenimiento de sus actividades ordinarias permanentes a que se refiere dicho artículo, así como, en el año de la elección de que se trate, el financiamiento para gastos de campaña que corresponda con base en lo dispuesto por el inciso b) del párrafo 1 del citado artículo.</w:t>
      </w:r>
    </w:p>
    <w:p w14:paraId="3471F724" w14:textId="66BAB381" w:rsidR="00EA52F1" w:rsidRPr="00D367B3" w:rsidRDefault="00411F54" w:rsidP="00C067C2">
      <w:pPr>
        <w:rPr>
          <w:sz w:val="23"/>
          <w:szCs w:val="23"/>
        </w:rPr>
      </w:pPr>
      <w:r w:rsidRPr="00D367B3">
        <w:rPr>
          <w:sz w:val="23"/>
          <w:szCs w:val="23"/>
        </w:rPr>
        <w:t xml:space="preserve">Asimismo, de conformidad con lo que dispone el artículo 320 numeral </w:t>
      </w:r>
      <w:r w:rsidR="00EA52F1" w:rsidRPr="00D367B3">
        <w:rPr>
          <w:sz w:val="23"/>
          <w:szCs w:val="23"/>
        </w:rPr>
        <w:t>3</w:t>
      </w:r>
      <w:r w:rsidRPr="00D367B3">
        <w:rPr>
          <w:sz w:val="23"/>
          <w:szCs w:val="23"/>
        </w:rPr>
        <w:t xml:space="preserve"> de la Ley Electoral,</w:t>
      </w:r>
      <w:r w:rsidR="00EA52F1" w:rsidRPr="00D367B3">
        <w:rPr>
          <w:sz w:val="23"/>
          <w:szCs w:val="23"/>
        </w:rPr>
        <w:t xml:space="preserve"> el monto a distribuir entre el total de candidatas o candidatos independientes será igual a la suma que deba recibir un partido político de nuevo registro, para lo cual se presupuestará, para tales efectos, la cantidad que sea necesaria, en forma separada del financiamiento que corresponde a los partidos políticos.</w:t>
      </w:r>
    </w:p>
    <w:p w14:paraId="4B505809" w14:textId="4330CD10" w:rsidR="009965EA" w:rsidRPr="00D367B3" w:rsidRDefault="00496FC1" w:rsidP="00AE733B">
      <w:pPr>
        <w:pStyle w:val="Ttulo2"/>
        <w:rPr>
          <w:sz w:val="23"/>
          <w:szCs w:val="23"/>
        </w:rPr>
      </w:pPr>
      <w:r w:rsidRPr="00D367B3">
        <w:rPr>
          <w:sz w:val="23"/>
          <w:szCs w:val="23"/>
        </w:rPr>
        <w:t>Determinación del monto de financiamiento público</w:t>
      </w:r>
      <w:r w:rsidR="00EB56B0" w:rsidRPr="00D367B3">
        <w:rPr>
          <w:sz w:val="23"/>
          <w:szCs w:val="23"/>
        </w:rPr>
        <w:t xml:space="preserve"> para partidos políticos nacionales </w:t>
      </w:r>
    </w:p>
    <w:p w14:paraId="1D09506C" w14:textId="6DA99C29" w:rsidR="00496FC1" w:rsidRPr="00D367B3" w:rsidRDefault="00496FC1" w:rsidP="00496FC1">
      <w:pPr>
        <w:rPr>
          <w:sz w:val="23"/>
          <w:szCs w:val="23"/>
        </w:rPr>
      </w:pPr>
      <w:r w:rsidRPr="00D367B3">
        <w:rPr>
          <w:sz w:val="23"/>
          <w:szCs w:val="23"/>
        </w:rPr>
        <w:t xml:space="preserve">Que, </w:t>
      </w:r>
      <w:r w:rsidR="00E074A9" w:rsidRPr="00D367B3">
        <w:rPr>
          <w:sz w:val="23"/>
          <w:szCs w:val="23"/>
        </w:rPr>
        <w:t>conforme</w:t>
      </w:r>
      <w:r w:rsidRPr="00D367B3">
        <w:rPr>
          <w:sz w:val="23"/>
          <w:szCs w:val="23"/>
        </w:rPr>
        <w:t xml:space="preserve"> </w:t>
      </w:r>
      <w:r w:rsidR="00E074A9" w:rsidRPr="00D367B3">
        <w:rPr>
          <w:sz w:val="23"/>
          <w:szCs w:val="23"/>
        </w:rPr>
        <w:t xml:space="preserve">a </w:t>
      </w:r>
      <w:r w:rsidRPr="00D367B3">
        <w:rPr>
          <w:sz w:val="23"/>
          <w:szCs w:val="23"/>
        </w:rPr>
        <w:t>las disposiciones señaladas, el monto por concepto de financiamiento público local se obtiene de multiplicar el número total de la ciudadanía inscrita en el padrón electoral que corresponde a esta entidad, con fecha de corte al mes de julio de cada año, por el 32.5% del valor diario de la Unidad de Medida y Actualización.</w:t>
      </w:r>
    </w:p>
    <w:p w14:paraId="095EF9FB" w14:textId="25334E59" w:rsidR="00496FC1" w:rsidRPr="00D367B3" w:rsidRDefault="00665F61" w:rsidP="0067617F">
      <w:pPr>
        <w:rPr>
          <w:sz w:val="23"/>
          <w:szCs w:val="23"/>
        </w:rPr>
      </w:pPr>
      <w:r w:rsidRPr="00D367B3">
        <w:rPr>
          <w:sz w:val="23"/>
          <w:szCs w:val="23"/>
        </w:rPr>
        <w:lastRenderedPageBreak/>
        <w:t>D</w:t>
      </w:r>
      <w:r w:rsidR="0067617F" w:rsidRPr="00D367B3">
        <w:rPr>
          <w:sz w:val="23"/>
          <w:szCs w:val="23"/>
        </w:rPr>
        <w:t>e acuerdo con el artículo 72 numeral 1, fracción I, inciso a) de la Ley Electoral, la determinación del financiamiento público se hará de manera anual</w:t>
      </w:r>
      <w:r w:rsidR="0059116D" w:rsidRPr="00D367B3">
        <w:rPr>
          <w:sz w:val="23"/>
          <w:szCs w:val="23"/>
        </w:rPr>
        <w:t xml:space="preserve">, de ahí que </w:t>
      </w:r>
      <w:r w:rsidR="0067617F" w:rsidRPr="00D367B3">
        <w:rPr>
          <w:sz w:val="23"/>
          <w:szCs w:val="23"/>
        </w:rPr>
        <w:t>sus efectos y distribución serán para un solo ejercicio presupuestal, lo que además es acorde al principio de anualidad que prevalece para la integración del presupuesto de egresos y sa</w:t>
      </w:r>
      <w:r w:rsidR="00496FC1" w:rsidRPr="00D367B3">
        <w:rPr>
          <w:sz w:val="23"/>
          <w:szCs w:val="23"/>
        </w:rPr>
        <w:t>lvaguarda el principio de certeza que rige el actuar del Instituto</w:t>
      </w:r>
      <w:r w:rsidR="0067617F" w:rsidRPr="00D367B3">
        <w:rPr>
          <w:sz w:val="23"/>
          <w:szCs w:val="23"/>
        </w:rPr>
        <w:t>.</w:t>
      </w:r>
    </w:p>
    <w:p w14:paraId="1BA8D53F" w14:textId="013BEB85" w:rsidR="00496FC1" w:rsidRPr="00D367B3" w:rsidRDefault="0067617F" w:rsidP="0067617F">
      <w:pPr>
        <w:rPr>
          <w:sz w:val="23"/>
          <w:szCs w:val="23"/>
        </w:rPr>
      </w:pPr>
      <w:r w:rsidRPr="00D367B3">
        <w:rPr>
          <w:sz w:val="23"/>
          <w:szCs w:val="23"/>
        </w:rPr>
        <w:t xml:space="preserve">Partiendo de los parámetros anteriores, esta autoridad electoral realiza </w:t>
      </w:r>
      <w:r w:rsidR="00496FC1" w:rsidRPr="00D367B3">
        <w:rPr>
          <w:sz w:val="23"/>
          <w:szCs w:val="23"/>
        </w:rPr>
        <w:t xml:space="preserve">el cálculo del financiamiento público anual para el ejercicio </w:t>
      </w:r>
      <w:r w:rsidRPr="00D367B3">
        <w:rPr>
          <w:sz w:val="23"/>
          <w:szCs w:val="23"/>
        </w:rPr>
        <w:t>2024</w:t>
      </w:r>
      <w:r w:rsidR="00496FC1" w:rsidRPr="00D367B3">
        <w:rPr>
          <w:sz w:val="23"/>
          <w:szCs w:val="23"/>
        </w:rPr>
        <w:t>, considerando para ello, el valor diario de la Unidad de Medida y Actualización vigente</w:t>
      </w:r>
      <w:r w:rsidRPr="00D367B3">
        <w:rPr>
          <w:sz w:val="23"/>
          <w:szCs w:val="23"/>
        </w:rPr>
        <w:t>,</w:t>
      </w:r>
      <w:r w:rsidR="00496FC1" w:rsidRPr="00D367B3">
        <w:rPr>
          <w:sz w:val="23"/>
          <w:szCs w:val="23"/>
        </w:rPr>
        <w:t xml:space="preserve"> es decir, </w:t>
      </w:r>
      <w:r w:rsidRPr="00D367B3">
        <w:rPr>
          <w:sz w:val="23"/>
          <w:szCs w:val="23"/>
        </w:rPr>
        <w:t xml:space="preserve">la cantidad </w:t>
      </w:r>
      <w:r w:rsidR="00496FC1" w:rsidRPr="00D367B3">
        <w:rPr>
          <w:sz w:val="23"/>
          <w:szCs w:val="23"/>
        </w:rPr>
        <w:t xml:space="preserve">que corresponde al presente año, que es de </w:t>
      </w:r>
      <w:r w:rsidR="00496FC1" w:rsidRPr="00D367B3">
        <w:rPr>
          <w:b/>
          <w:bCs/>
          <w:sz w:val="23"/>
          <w:szCs w:val="23"/>
        </w:rPr>
        <w:t>$</w:t>
      </w:r>
      <w:r w:rsidRPr="00D367B3">
        <w:rPr>
          <w:b/>
          <w:bCs/>
          <w:sz w:val="23"/>
          <w:szCs w:val="23"/>
        </w:rPr>
        <w:t xml:space="preserve">103.74 </w:t>
      </w:r>
      <w:r w:rsidR="00496FC1" w:rsidRPr="00D367B3">
        <w:rPr>
          <w:b/>
          <w:bCs/>
          <w:sz w:val="23"/>
          <w:szCs w:val="23"/>
        </w:rPr>
        <w:t>(</w:t>
      </w:r>
      <w:r w:rsidRPr="00D367B3">
        <w:rPr>
          <w:b/>
          <w:bCs/>
          <w:sz w:val="23"/>
          <w:szCs w:val="23"/>
        </w:rPr>
        <w:t xml:space="preserve">ciento tres </w:t>
      </w:r>
      <w:r w:rsidR="00496FC1" w:rsidRPr="00D367B3">
        <w:rPr>
          <w:b/>
          <w:bCs/>
          <w:sz w:val="23"/>
          <w:szCs w:val="23"/>
        </w:rPr>
        <w:t xml:space="preserve">pesos </w:t>
      </w:r>
      <w:r w:rsidRPr="00D367B3">
        <w:rPr>
          <w:b/>
          <w:bCs/>
          <w:sz w:val="23"/>
          <w:szCs w:val="23"/>
        </w:rPr>
        <w:t>74</w:t>
      </w:r>
      <w:r w:rsidR="00496FC1" w:rsidRPr="00D367B3">
        <w:rPr>
          <w:b/>
          <w:bCs/>
          <w:sz w:val="23"/>
          <w:szCs w:val="23"/>
        </w:rPr>
        <w:t>/100 m. n.).</w:t>
      </w:r>
      <w:r w:rsidR="00496FC1" w:rsidRPr="00D367B3">
        <w:rPr>
          <w:sz w:val="23"/>
          <w:szCs w:val="23"/>
        </w:rPr>
        <w:t xml:space="preserve"> </w:t>
      </w:r>
    </w:p>
    <w:p w14:paraId="37099B2B" w14:textId="64FB1435" w:rsidR="00496FC1" w:rsidRPr="00D367B3" w:rsidRDefault="00496FC1" w:rsidP="00496FC1">
      <w:pPr>
        <w:rPr>
          <w:sz w:val="23"/>
          <w:szCs w:val="23"/>
        </w:rPr>
      </w:pPr>
      <w:r w:rsidRPr="00D367B3">
        <w:rPr>
          <w:sz w:val="23"/>
          <w:szCs w:val="23"/>
        </w:rPr>
        <w:t xml:space="preserve">En lo que respecta al número de </w:t>
      </w:r>
      <w:r w:rsidR="009965EA" w:rsidRPr="00D367B3">
        <w:rPr>
          <w:sz w:val="23"/>
          <w:szCs w:val="23"/>
        </w:rPr>
        <w:t xml:space="preserve">personas ciudadanas </w:t>
      </w:r>
      <w:r w:rsidRPr="00D367B3">
        <w:rPr>
          <w:sz w:val="23"/>
          <w:szCs w:val="23"/>
        </w:rPr>
        <w:t>inscrit</w:t>
      </w:r>
      <w:r w:rsidR="009965EA" w:rsidRPr="00D367B3">
        <w:rPr>
          <w:sz w:val="23"/>
          <w:szCs w:val="23"/>
        </w:rPr>
        <w:t>a</w:t>
      </w:r>
      <w:r w:rsidRPr="00D367B3">
        <w:rPr>
          <w:sz w:val="23"/>
          <w:szCs w:val="23"/>
        </w:rPr>
        <w:t xml:space="preserve">s en el padrón electoral correspondiente al estado de Tabasco, </w:t>
      </w:r>
      <w:r w:rsidR="009667D1" w:rsidRPr="00D367B3">
        <w:rPr>
          <w:sz w:val="23"/>
          <w:szCs w:val="23"/>
        </w:rPr>
        <w:t>la</w:t>
      </w:r>
      <w:r w:rsidRPr="00D367B3">
        <w:rPr>
          <w:sz w:val="23"/>
          <w:szCs w:val="23"/>
        </w:rPr>
        <w:t xml:space="preserve"> Vocal del Registro Federal de Electores de la Junta Local Ejecutiva del INE, hizo del conocimiento del Instituto, que hasta el 31 de julio del </w:t>
      </w:r>
      <w:r w:rsidR="009965EA" w:rsidRPr="00D367B3">
        <w:rPr>
          <w:sz w:val="23"/>
          <w:szCs w:val="23"/>
        </w:rPr>
        <w:t>2023</w:t>
      </w:r>
      <w:r w:rsidR="00220C77" w:rsidRPr="00D367B3">
        <w:rPr>
          <w:sz w:val="23"/>
          <w:szCs w:val="23"/>
        </w:rPr>
        <w:t xml:space="preserve"> </w:t>
      </w:r>
      <w:r w:rsidRPr="00D367B3">
        <w:rPr>
          <w:sz w:val="23"/>
          <w:szCs w:val="23"/>
        </w:rPr>
        <w:t xml:space="preserve">existe un total de </w:t>
      </w:r>
      <w:r w:rsidR="00975795" w:rsidRPr="00D367B3">
        <w:rPr>
          <w:sz w:val="23"/>
          <w:szCs w:val="23"/>
        </w:rPr>
        <w:t>1</w:t>
      </w:r>
      <w:r w:rsidR="005E0502" w:rsidRPr="00D367B3">
        <w:rPr>
          <w:sz w:val="23"/>
          <w:szCs w:val="23"/>
        </w:rPr>
        <w:t>,</w:t>
      </w:r>
      <w:r w:rsidR="00975795" w:rsidRPr="00D367B3">
        <w:rPr>
          <w:sz w:val="23"/>
          <w:szCs w:val="23"/>
        </w:rPr>
        <w:t>800,007</w:t>
      </w:r>
      <w:r w:rsidRPr="00D367B3">
        <w:rPr>
          <w:sz w:val="23"/>
          <w:szCs w:val="23"/>
        </w:rPr>
        <w:t xml:space="preserve"> personas inscritas.</w:t>
      </w:r>
    </w:p>
    <w:p w14:paraId="06928CD4" w14:textId="38F1A8B8" w:rsidR="00496FC1" w:rsidRPr="00D367B3" w:rsidRDefault="00496FC1" w:rsidP="00496FC1">
      <w:pPr>
        <w:rPr>
          <w:sz w:val="23"/>
          <w:szCs w:val="23"/>
        </w:rPr>
      </w:pPr>
      <w:r w:rsidRPr="00D367B3">
        <w:rPr>
          <w:sz w:val="23"/>
          <w:szCs w:val="23"/>
        </w:rPr>
        <w:t xml:space="preserve">Con </w:t>
      </w:r>
      <w:r w:rsidR="007B68AD" w:rsidRPr="00D367B3">
        <w:rPr>
          <w:sz w:val="23"/>
          <w:szCs w:val="23"/>
        </w:rPr>
        <w:t>base</w:t>
      </w:r>
      <w:r w:rsidRPr="00D367B3">
        <w:rPr>
          <w:sz w:val="23"/>
          <w:szCs w:val="23"/>
        </w:rPr>
        <w:t xml:space="preserve"> </w:t>
      </w:r>
      <w:r w:rsidR="007B68AD" w:rsidRPr="00D367B3">
        <w:rPr>
          <w:sz w:val="23"/>
          <w:szCs w:val="23"/>
        </w:rPr>
        <w:t xml:space="preserve">en los </w:t>
      </w:r>
      <w:r w:rsidRPr="00D367B3">
        <w:rPr>
          <w:sz w:val="23"/>
          <w:szCs w:val="23"/>
        </w:rPr>
        <w:t xml:space="preserve">valores señalados, el financiamiento público anual por concepto de actividades ordinarias permanentes para el ejercicio fiscal </w:t>
      </w:r>
      <w:r w:rsidR="009965EA" w:rsidRPr="00D367B3">
        <w:rPr>
          <w:sz w:val="23"/>
          <w:szCs w:val="23"/>
        </w:rPr>
        <w:t>202</w:t>
      </w:r>
      <w:r w:rsidR="004D32F0" w:rsidRPr="00D367B3">
        <w:rPr>
          <w:sz w:val="23"/>
          <w:szCs w:val="23"/>
        </w:rPr>
        <w:t>4</w:t>
      </w:r>
      <w:r w:rsidRPr="00D367B3">
        <w:rPr>
          <w:sz w:val="23"/>
          <w:szCs w:val="23"/>
        </w:rPr>
        <w:t xml:space="preserve"> que deberá distribuirse entre los partidos políticos con derecho a ello, es por la cantidad de </w:t>
      </w:r>
      <w:r w:rsidR="005E0502" w:rsidRPr="00D367B3">
        <w:rPr>
          <w:b/>
          <w:sz w:val="23"/>
          <w:szCs w:val="23"/>
        </w:rPr>
        <w:t>$60’688,136.01</w:t>
      </w:r>
      <w:r w:rsidRPr="00D367B3">
        <w:rPr>
          <w:b/>
          <w:sz w:val="23"/>
          <w:szCs w:val="23"/>
        </w:rPr>
        <w:t xml:space="preserve"> (</w:t>
      </w:r>
      <w:r w:rsidR="005E0502" w:rsidRPr="00D367B3">
        <w:rPr>
          <w:b/>
          <w:sz w:val="23"/>
          <w:szCs w:val="23"/>
        </w:rPr>
        <w:t xml:space="preserve">sesenta </w:t>
      </w:r>
      <w:r w:rsidRPr="00D367B3">
        <w:rPr>
          <w:b/>
          <w:sz w:val="23"/>
          <w:szCs w:val="23"/>
        </w:rPr>
        <w:t xml:space="preserve">millones, </w:t>
      </w:r>
      <w:r w:rsidR="005E0502" w:rsidRPr="00D367B3">
        <w:rPr>
          <w:b/>
          <w:sz w:val="23"/>
          <w:szCs w:val="23"/>
        </w:rPr>
        <w:t>seiscientos ochenta y ocho mil ciento treinta y seis pesos 01</w:t>
      </w:r>
      <w:r w:rsidRPr="00D367B3">
        <w:rPr>
          <w:b/>
          <w:sz w:val="23"/>
          <w:szCs w:val="23"/>
        </w:rPr>
        <w:t xml:space="preserve">/100 m. n.) </w:t>
      </w:r>
      <w:r w:rsidRPr="00D367B3">
        <w:rPr>
          <w:sz w:val="23"/>
          <w:szCs w:val="23"/>
        </w:rPr>
        <w:t xml:space="preserve"> que se obtiene</w:t>
      </w:r>
      <w:r w:rsidR="004C4501" w:rsidRPr="00D367B3">
        <w:rPr>
          <w:sz w:val="23"/>
          <w:szCs w:val="23"/>
        </w:rPr>
        <w:t xml:space="preserve"> a partir</w:t>
      </w:r>
      <w:r w:rsidRPr="00D367B3">
        <w:rPr>
          <w:sz w:val="23"/>
          <w:szCs w:val="23"/>
        </w:rPr>
        <w:t xml:space="preserve"> de las operaciones aritméticas siguientes:</w:t>
      </w:r>
    </w:p>
    <w:tbl>
      <w:tblPr>
        <w:tblStyle w:val="Tablaconcuadrcula"/>
        <w:tblW w:w="0" w:type="auto"/>
        <w:jc w:val="center"/>
        <w:tblLook w:val="04A0" w:firstRow="1" w:lastRow="0" w:firstColumn="1" w:lastColumn="0" w:noHBand="0" w:noVBand="1"/>
      </w:tblPr>
      <w:tblGrid>
        <w:gridCol w:w="1129"/>
        <w:gridCol w:w="1418"/>
        <w:gridCol w:w="1417"/>
        <w:gridCol w:w="1418"/>
        <w:gridCol w:w="1984"/>
      </w:tblGrid>
      <w:tr w:rsidR="004C4501" w:rsidRPr="00020570" w14:paraId="178F75D4" w14:textId="77777777" w:rsidTr="00BD6517">
        <w:trPr>
          <w:trHeight w:val="269"/>
          <w:jc w:val="center"/>
        </w:trPr>
        <w:tc>
          <w:tcPr>
            <w:tcW w:w="1129" w:type="dxa"/>
            <w:shd w:val="clear" w:color="auto" w:fill="993366"/>
            <w:vAlign w:val="center"/>
          </w:tcPr>
          <w:p w14:paraId="01E91E70" w14:textId="77777777" w:rsidR="004C4501" w:rsidRPr="00020570" w:rsidRDefault="004C4501"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Valor UMA</w:t>
            </w:r>
          </w:p>
        </w:tc>
        <w:tc>
          <w:tcPr>
            <w:tcW w:w="1418" w:type="dxa"/>
            <w:shd w:val="clear" w:color="auto" w:fill="993366"/>
            <w:vAlign w:val="center"/>
          </w:tcPr>
          <w:p w14:paraId="67416037" w14:textId="77777777" w:rsidR="004C4501" w:rsidRPr="00020570" w:rsidRDefault="004C4501"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Porcentaje</w:t>
            </w:r>
          </w:p>
        </w:tc>
        <w:tc>
          <w:tcPr>
            <w:tcW w:w="1417" w:type="dxa"/>
            <w:shd w:val="clear" w:color="auto" w:fill="993366"/>
            <w:vAlign w:val="center"/>
          </w:tcPr>
          <w:p w14:paraId="5214FA4B" w14:textId="77777777" w:rsidR="004C4501" w:rsidRPr="00020570" w:rsidRDefault="004C4501"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Valor aplicable</w:t>
            </w:r>
          </w:p>
        </w:tc>
        <w:tc>
          <w:tcPr>
            <w:tcW w:w="1418" w:type="dxa"/>
            <w:shd w:val="clear" w:color="auto" w:fill="993366"/>
            <w:vAlign w:val="center"/>
          </w:tcPr>
          <w:p w14:paraId="09D2F7B3" w14:textId="77777777" w:rsidR="004C4501" w:rsidRPr="00020570" w:rsidRDefault="004C4501"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Padrón electoral</w:t>
            </w:r>
          </w:p>
        </w:tc>
        <w:tc>
          <w:tcPr>
            <w:tcW w:w="1984" w:type="dxa"/>
            <w:shd w:val="clear" w:color="auto" w:fill="993366"/>
            <w:vAlign w:val="center"/>
          </w:tcPr>
          <w:p w14:paraId="7D754971" w14:textId="77777777" w:rsidR="004C4501" w:rsidRPr="00020570" w:rsidRDefault="004C4501" w:rsidP="00BD6517">
            <w:pPr>
              <w:pStyle w:val="Prrafodelista"/>
              <w:widowControl w:val="0"/>
              <w:spacing w:before="60" w:after="0" w:line="240" w:lineRule="auto"/>
              <w:ind w:left="0"/>
              <w:contextualSpacing w:val="0"/>
              <w:jc w:val="center"/>
              <w:rPr>
                <w:rFonts w:ascii="Arial" w:hAnsi="Arial" w:cs="Arial"/>
                <w:b/>
                <w:color w:val="FFFFFF" w:themeColor="background1"/>
                <w:spacing w:val="-10"/>
                <w:sz w:val="16"/>
                <w:szCs w:val="24"/>
              </w:rPr>
            </w:pPr>
            <w:r w:rsidRPr="00020570">
              <w:rPr>
                <w:rFonts w:ascii="Arial" w:hAnsi="Arial" w:cs="Arial"/>
                <w:b/>
                <w:color w:val="FFFFFF" w:themeColor="background1"/>
                <w:spacing w:val="-10"/>
                <w:sz w:val="16"/>
                <w:szCs w:val="24"/>
              </w:rPr>
              <w:t xml:space="preserve">Monto total de financiamiento </w:t>
            </w:r>
            <w:proofErr w:type="spellStart"/>
            <w:r w:rsidRPr="00020570">
              <w:rPr>
                <w:rFonts w:ascii="Arial" w:hAnsi="Arial" w:cs="Arial"/>
                <w:b/>
                <w:color w:val="FFFFFF" w:themeColor="background1"/>
                <w:spacing w:val="-10"/>
                <w:sz w:val="16"/>
                <w:szCs w:val="24"/>
              </w:rPr>
              <w:t>Acts</w:t>
            </w:r>
            <w:proofErr w:type="spellEnd"/>
            <w:r w:rsidRPr="00020570">
              <w:rPr>
                <w:rFonts w:ascii="Arial" w:hAnsi="Arial" w:cs="Arial"/>
                <w:b/>
                <w:color w:val="FFFFFF" w:themeColor="background1"/>
                <w:spacing w:val="-10"/>
                <w:sz w:val="16"/>
                <w:szCs w:val="24"/>
              </w:rPr>
              <w:t>. Ord.</w:t>
            </w:r>
          </w:p>
        </w:tc>
      </w:tr>
      <w:tr w:rsidR="004C4501" w:rsidRPr="00020570" w14:paraId="585BA1B5" w14:textId="77777777" w:rsidTr="00BD6517">
        <w:trPr>
          <w:trHeight w:val="273"/>
          <w:jc w:val="center"/>
        </w:trPr>
        <w:tc>
          <w:tcPr>
            <w:tcW w:w="1129" w:type="dxa"/>
            <w:vAlign w:val="center"/>
          </w:tcPr>
          <w:p w14:paraId="75A81091" w14:textId="77777777" w:rsidR="004C4501" w:rsidRPr="00020570" w:rsidRDefault="004C4501"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A</w:t>
            </w:r>
          </w:p>
        </w:tc>
        <w:tc>
          <w:tcPr>
            <w:tcW w:w="1418" w:type="dxa"/>
            <w:vAlign w:val="center"/>
          </w:tcPr>
          <w:p w14:paraId="4B90809D" w14:textId="77777777" w:rsidR="004C4501" w:rsidRPr="00020570" w:rsidRDefault="004C4501"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B</w:t>
            </w:r>
          </w:p>
        </w:tc>
        <w:tc>
          <w:tcPr>
            <w:tcW w:w="1417" w:type="dxa"/>
            <w:vAlign w:val="center"/>
          </w:tcPr>
          <w:p w14:paraId="01A2DD48" w14:textId="77777777" w:rsidR="004C4501" w:rsidRPr="00020570" w:rsidRDefault="004C4501"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C = A × B</w:t>
            </w:r>
          </w:p>
        </w:tc>
        <w:tc>
          <w:tcPr>
            <w:tcW w:w="1418" w:type="dxa"/>
            <w:vAlign w:val="center"/>
          </w:tcPr>
          <w:p w14:paraId="600FC941" w14:textId="77777777" w:rsidR="004C4501" w:rsidRPr="00020570" w:rsidRDefault="004C4501"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D</w:t>
            </w:r>
          </w:p>
        </w:tc>
        <w:tc>
          <w:tcPr>
            <w:tcW w:w="1984" w:type="dxa"/>
            <w:vAlign w:val="center"/>
          </w:tcPr>
          <w:p w14:paraId="58A8A1FF" w14:textId="77777777" w:rsidR="004C4501" w:rsidRPr="00020570" w:rsidRDefault="004C4501"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E = C × D</w:t>
            </w:r>
          </w:p>
        </w:tc>
      </w:tr>
      <w:tr w:rsidR="004C4501" w:rsidRPr="00020570" w14:paraId="37FBA2DD" w14:textId="77777777" w:rsidTr="00BD6517">
        <w:trPr>
          <w:trHeight w:val="277"/>
          <w:jc w:val="center"/>
        </w:trPr>
        <w:tc>
          <w:tcPr>
            <w:tcW w:w="1129" w:type="dxa"/>
            <w:vAlign w:val="center"/>
          </w:tcPr>
          <w:p w14:paraId="4E577013" w14:textId="4BACA7E8" w:rsidR="004C4501" w:rsidRPr="00020570" w:rsidRDefault="002471A4" w:rsidP="00BD6517">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103</w:t>
            </w:r>
            <w:r w:rsidR="004C4501" w:rsidRPr="00020570">
              <w:rPr>
                <w:rFonts w:ascii="Arial" w:hAnsi="Arial" w:cs="Arial"/>
                <w:b/>
                <w:sz w:val="20"/>
                <w:szCs w:val="20"/>
              </w:rPr>
              <w:t>.</w:t>
            </w:r>
            <w:r>
              <w:rPr>
                <w:rFonts w:ascii="Arial" w:hAnsi="Arial" w:cs="Arial"/>
                <w:b/>
                <w:sz w:val="20"/>
                <w:szCs w:val="20"/>
              </w:rPr>
              <w:t>74</w:t>
            </w:r>
          </w:p>
        </w:tc>
        <w:tc>
          <w:tcPr>
            <w:tcW w:w="1418" w:type="dxa"/>
            <w:vAlign w:val="center"/>
          </w:tcPr>
          <w:p w14:paraId="0B736225" w14:textId="77777777" w:rsidR="004C4501" w:rsidRPr="00020570" w:rsidRDefault="004C4501" w:rsidP="00BD6517">
            <w:pPr>
              <w:pStyle w:val="Prrafodelista"/>
              <w:widowControl w:val="0"/>
              <w:spacing w:before="120" w:after="120" w:line="324" w:lineRule="auto"/>
              <w:ind w:left="0"/>
              <w:contextualSpacing w:val="0"/>
              <w:jc w:val="center"/>
              <w:rPr>
                <w:rFonts w:ascii="Arial" w:hAnsi="Arial" w:cs="Arial"/>
                <w:b/>
                <w:sz w:val="20"/>
                <w:szCs w:val="20"/>
              </w:rPr>
            </w:pPr>
            <w:r w:rsidRPr="00020570">
              <w:rPr>
                <w:rFonts w:ascii="Arial" w:hAnsi="Arial" w:cs="Arial"/>
                <w:b/>
                <w:sz w:val="20"/>
                <w:szCs w:val="20"/>
              </w:rPr>
              <w:t>32.5%</w:t>
            </w:r>
          </w:p>
        </w:tc>
        <w:tc>
          <w:tcPr>
            <w:tcW w:w="1417" w:type="dxa"/>
            <w:vAlign w:val="center"/>
          </w:tcPr>
          <w:p w14:paraId="6488E5BA" w14:textId="483E5067" w:rsidR="004C4501" w:rsidRPr="00020570" w:rsidRDefault="004C4501" w:rsidP="00BD6517">
            <w:pPr>
              <w:pStyle w:val="Prrafodelista"/>
              <w:widowControl w:val="0"/>
              <w:spacing w:before="120" w:after="120" w:line="324" w:lineRule="auto"/>
              <w:ind w:left="0"/>
              <w:contextualSpacing w:val="0"/>
              <w:jc w:val="center"/>
              <w:rPr>
                <w:rFonts w:ascii="Arial" w:hAnsi="Arial" w:cs="Arial"/>
                <w:b/>
                <w:sz w:val="20"/>
                <w:szCs w:val="20"/>
              </w:rPr>
            </w:pPr>
            <w:r w:rsidRPr="00020570">
              <w:rPr>
                <w:rFonts w:ascii="Arial" w:hAnsi="Arial" w:cs="Arial"/>
                <w:b/>
                <w:sz w:val="20"/>
                <w:szCs w:val="20"/>
              </w:rPr>
              <w:t>3</w:t>
            </w:r>
            <w:r w:rsidR="009C4ED7">
              <w:rPr>
                <w:rFonts w:ascii="Arial" w:hAnsi="Arial" w:cs="Arial"/>
                <w:b/>
                <w:sz w:val="20"/>
                <w:szCs w:val="20"/>
              </w:rPr>
              <w:t>3.</w:t>
            </w:r>
            <w:r w:rsidRPr="00020570">
              <w:rPr>
                <w:rFonts w:ascii="Arial" w:hAnsi="Arial" w:cs="Arial"/>
                <w:b/>
                <w:sz w:val="20"/>
                <w:szCs w:val="20"/>
              </w:rPr>
              <w:t>7</w:t>
            </w:r>
            <w:r w:rsidR="007002C5">
              <w:rPr>
                <w:rFonts w:ascii="Arial" w:hAnsi="Arial" w:cs="Arial"/>
                <w:b/>
                <w:sz w:val="20"/>
                <w:szCs w:val="20"/>
              </w:rPr>
              <w:t>2</w:t>
            </w:r>
          </w:p>
        </w:tc>
        <w:tc>
          <w:tcPr>
            <w:tcW w:w="1418" w:type="dxa"/>
            <w:vAlign w:val="center"/>
          </w:tcPr>
          <w:p w14:paraId="72E20AED" w14:textId="54DE8AD5" w:rsidR="004C4501" w:rsidRPr="00020570" w:rsidRDefault="001C2AAB" w:rsidP="00BD6517">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1,800,007</w:t>
            </w:r>
          </w:p>
        </w:tc>
        <w:tc>
          <w:tcPr>
            <w:tcW w:w="1984" w:type="dxa"/>
            <w:vAlign w:val="center"/>
          </w:tcPr>
          <w:p w14:paraId="64CA17B0" w14:textId="76970F3C" w:rsidR="004C4501" w:rsidRPr="00020570" w:rsidRDefault="001C2AAB" w:rsidP="001C2AAB">
            <w:pPr>
              <w:pStyle w:val="Prrafodelista"/>
              <w:widowControl w:val="0"/>
              <w:spacing w:before="120" w:after="120" w:line="324" w:lineRule="auto"/>
              <w:ind w:left="0"/>
              <w:contextualSpacing w:val="0"/>
              <w:jc w:val="center"/>
              <w:rPr>
                <w:rFonts w:ascii="Arial" w:hAnsi="Arial" w:cs="Arial"/>
                <w:b/>
                <w:sz w:val="20"/>
                <w:szCs w:val="20"/>
              </w:rPr>
            </w:pPr>
            <w:r w:rsidRPr="001C2AAB">
              <w:rPr>
                <w:rFonts w:ascii="Arial" w:hAnsi="Arial" w:cs="Arial"/>
                <w:b/>
                <w:sz w:val="20"/>
                <w:szCs w:val="20"/>
              </w:rPr>
              <w:t>$60</w:t>
            </w:r>
            <w:r>
              <w:rPr>
                <w:rFonts w:ascii="Arial" w:hAnsi="Arial" w:cs="Arial"/>
                <w:b/>
                <w:sz w:val="20"/>
                <w:szCs w:val="20"/>
              </w:rPr>
              <w:t>’</w:t>
            </w:r>
            <w:r w:rsidRPr="001C2AAB">
              <w:rPr>
                <w:rFonts w:ascii="Arial" w:hAnsi="Arial" w:cs="Arial"/>
                <w:b/>
                <w:sz w:val="20"/>
                <w:szCs w:val="20"/>
              </w:rPr>
              <w:t>688,136.01</w:t>
            </w:r>
          </w:p>
        </w:tc>
      </w:tr>
    </w:tbl>
    <w:p w14:paraId="5D90C5E0" w14:textId="58FFA803" w:rsidR="00496FC1" w:rsidRDefault="00496FC1" w:rsidP="00496FC1">
      <w:pPr>
        <w:rPr>
          <w:sz w:val="23"/>
          <w:szCs w:val="23"/>
        </w:rPr>
      </w:pPr>
      <w:r w:rsidRPr="00CF2001">
        <w:rPr>
          <w:sz w:val="23"/>
          <w:szCs w:val="23"/>
        </w:rPr>
        <w:t>Ahora bien, al monto determinado para el financiamiento público por actividades ordinarias permanentes de los partidos políticos nacionales, se aplica el</w:t>
      </w:r>
      <w:r w:rsidR="00C25A82">
        <w:rPr>
          <w:sz w:val="23"/>
          <w:szCs w:val="23"/>
        </w:rPr>
        <w:t xml:space="preserve"> 3%</w:t>
      </w:r>
      <w:r w:rsidRPr="00CF2001">
        <w:rPr>
          <w:sz w:val="23"/>
          <w:szCs w:val="23"/>
        </w:rPr>
        <w:t xml:space="preserve"> </w:t>
      </w:r>
      <w:r w:rsidR="00C25A82">
        <w:rPr>
          <w:sz w:val="23"/>
          <w:szCs w:val="23"/>
        </w:rPr>
        <w:t>(</w:t>
      </w:r>
      <w:r w:rsidR="00492F47">
        <w:rPr>
          <w:sz w:val="23"/>
          <w:szCs w:val="23"/>
        </w:rPr>
        <w:t>tres por ciento)</w:t>
      </w:r>
      <w:r w:rsidRPr="00CF2001">
        <w:rPr>
          <w:sz w:val="23"/>
          <w:szCs w:val="23"/>
        </w:rPr>
        <w:t xml:space="preserve">, con el propósito de determinar el financiamiento público para actividades específicas. En ese sentido, el monto por dicho concepto asciende a la cantidad de </w:t>
      </w:r>
      <w:r w:rsidR="00E32442" w:rsidRPr="00E32442">
        <w:rPr>
          <w:b/>
          <w:sz w:val="23"/>
          <w:szCs w:val="23"/>
        </w:rPr>
        <w:t>$1’820,644.08 (un millón ochocientos veinte mil seiscientos cuarenta y cuatro pesos 08</w:t>
      </w:r>
      <w:r w:rsidRPr="00E32442">
        <w:rPr>
          <w:b/>
          <w:sz w:val="23"/>
          <w:szCs w:val="23"/>
        </w:rPr>
        <w:t>/100 m. n</w:t>
      </w:r>
      <w:r w:rsidR="00E32442" w:rsidRPr="00E32442">
        <w:rPr>
          <w:b/>
          <w:sz w:val="23"/>
          <w:szCs w:val="23"/>
        </w:rPr>
        <w:t>.</w:t>
      </w:r>
      <w:r w:rsidRPr="00E32442">
        <w:rPr>
          <w:b/>
          <w:sz w:val="23"/>
          <w:szCs w:val="23"/>
        </w:rPr>
        <w:t>)</w:t>
      </w:r>
      <w:r w:rsidRPr="00CF2001">
        <w:rPr>
          <w:sz w:val="23"/>
          <w:szCs w:val="23"/>
        </w:rPr>
        <w:t xml:space="preserve"> que </w:t>
      </w:r>
      <w:r w:rsidR="00584AA9">
        <w:rPr>
          <w:sz w:val="23"/>
          <w:szCs w:val="23"/>
        </w:rPr>
        <w:t xml:space="preserve">es resultado </w:t>
      </w:r>
      <w:r w:rsidRPr="00CF2001">
        <w:rPr>
          <w:sz w:val="23"/>
          <w:szCs w:val="23"/>
        </w:rPr>
        <w:t>de la siguiente operación aritmética:</w:t>
      </w:r>
    </w:p>
    <w:tbl>
      <w:tblPr>
        <w:tblStyle w:val="Tablaconcuadrcula"/>
        <w:tblW w:w="0" w:type="auto"/>
        <w:jc w:val="center"/>
        <w:tblLook w:val="04A0" w:firstRow="1" w:lastRow="0" w:firstColumn="1" w:lastColumn="0" w:noHBand="0" w:noVBand="1"/>
      </w:tblPr>
      <w:tblGrid>
        <w:gridCol w:w="2045"/>
        <w:gridCol w:w="1440"/>
        <w:gridCol w:w="1902"/>
      </w:tblGrid>
      <w:tr w:rsidR="00584AA9" w:rsidRPr="00020570" w14:paraId="77E127D7" w14:textId="77777777" w:rsidTr="00BD6517">
        <w:trPr>
          <w:trHeight w:val="269"/>
          <w:jc w:val="center"/>
        </w:trPr>
        <w:tc>
          <w:tcPr>
            <w:tcW w:w="2045" w:type="dxa"/>
            <w:shd w:val="clear" w:color="auto" w:fill="993366"/>
            <w:vAlign w:val="center"/>
          </w:tcPr>
          <w:p w14:paraId="36863326" w14:textId="77777777" w:rsidR="00584AA9" w:rsidRPr="00020570" w:rsidRDefault="00584AA9"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pacing w:val="-10"/>
                <w:sz w:val="16"/>
                <w:szCs w:val="24"/>
              </w:rPr>
              <w:t xml:space="preserve">Monto total de financiamiento </w:t>
            </w:r>
            <w:proofErr w:type="spellStart"/>
            <w:r w:rsidRPr="00020570">
              <w:rPr>
                <w:rFonts w:ascii="Arial" w:hAnsi="Arial" w:cs="Arial"/>
                <w:b/>
                <w:color w:val="FFFFFF" w:themeColor="background1"/>
                <w:spacing w:val="-10"/>
                <w:sz w:val="16"/>
                <w:szCs w:val="24"/>
              </w:rPr>
              <w:t>Acts</w:t>
            </w:r>
            <w:proofErr w:type="spellEnd"/>
            <w:r w:rsidRPr="00020570">
              <w:rPr>
                <w:rFonts w:ascii="Arial" w:hAnsi="Arial" w:cs="Arial"/>
                <w:b/>
                <w:color w:val="FFFFFF" w:themeColor="background1"/>
                <w:spacing w:val="-10"/>
                <w:sz w:val="16"/>
                <w:szCs w:val="24"/>
              </w:rPr>
              <w:t>. Ord.</w:t>
            </w:r>
          </w:p>
        </w:tc>
        <w:tc>
          <w:tcPr>
            <w:tcW w:w="1440" w:type="dxa"/>
            <w:shd w:val="clear" w:color="auto" w:fill="993366"/>
            <w:vAlign w:val="center"/>
          </w:tcPr>
          <w:p w14:paraId="55650CE0" w14:textId="77777777" w:rsidR="00584AA9" w:rsidRPr="00020570" w:rsidRDefault="00584AA9"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Porcentaje</w:t>
            </w:r>
          </w:p>
        </w:tc>
        <w:tc>
          <w:tcPr>
            <w:tcW w:w="1902" w:type="dxa"/>
            <w:shd w:val="clear" w:color="auto" w:fill="993366"/>
            <w:vAlign w:val="center"/>
          </w:tcPr>
          <w:p w14:paraId="20ABBF93" w14:textId="209040EC" w:rsidR="00584AA9" w:rsidRPr="00020570" w:rsidRDefault="00D52081" w:rsidP="00BD6517">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Pr>
                <w:rFonts w:ascii="Arial" w:hAnsi="Arial" w:cs="Arial"/>
                <w:b/>
                <w:color w:val="FFFFFF" w:themeColor="background1"/>
                <w:sz w:val="16"/>
                <w:szCs w:val="24"/>
              </w:rPr>
              <w:t>Importe</w:t>
            </w:r>
          </w:p>
        </w:tc>
      </w:tr>
      <w:tr w:rsidR="00584AA9" w:rsidRPr="00020570" w14:paraId="3699885B" w14:textId="77777777" w:rsidTr="00BD6517">
        <w:trPr>
          <w:trHeight w:val="273"/>
          <w:jc w:val="center"/>
        </w:trPr>
        <w:tc>
          <w:tcPr>
            <w:tcW w:w="2045" w:type="dxa"/>
            <w:vAlign w:val="center"/>
          </w:tcPr>
          <w:p w14:paraId="13C26136" w14:textId="77777777" w:rsidR="00584AA9" w:rsidRPr="00020570" w:rsidRDefault="00584AA9"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E</w:t>
            </w:r>
          </w:p>
        </w:tc>
        <w:tc>
          <w:tcPr>
            <w:tcW w:w="1440" w:type="dxa"/>
            <w:vAlign w:val="center"/>
          </w:tcPr>
          <w:p w14:paraId="23182312" w14:textId="77777777" w:rsidR="00584AA9" w:rsidRPr="00020570" w:rsidRDefault="00584AA9"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F</w:t>
            </w:r>
          </w:p>
        </w:tc>
        <w:tc>
          <w:tcPr>
            <w:tcW w:w="1902" w:type="dxa"/>
            <w:vAlign w:val="center"/>
          </w:tcPr>
          <w:p w14:paraId="700623D5" w14:textId="77777777" w:rsidR="00584AA9" w:rsidRPr="00020570" w:rsidRDefault="00584AA9" w:rsidP="00BD6517">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G = E × F</w:t>
            </w:r>
          </w:p>
        </w:tc>
      </w:tr>
      <w:tr w:rsidR="00584AA9" w:rsidRPr="00020570" w14:paraId="0CB1DA66" w14:textId="77777777" w:rsidTr="00BD6517">
        <w:trPr>
          <w:trHeight w:val="277"/>
          <w:jc w:val="center"/>
        </w:trPr>
        <w:tc>
          <w:tcPr>
            <w:tcW w:w="2045" w:type="dxa"/>
            <w:vAlign w:val="center"/>
          </w:tcPr>
          <w:p w14:paraId="3B10ED24" w14:textId="793DDA43" w:rsidR="00584AA9" w:rsidRPr="00020570" w:rsidRDefault="005E0502" w:rsidP="00BD6517">
            <w:pPr>
              <w:pStyle w:val="Prrafodelista"/>
              <w:widowControl w:val="0"/>
              <w:spacing w:before="120" w:after="120" w:line="324" w:lineRule="auto"/>
              <w:ind w:left="0"/>
              <w:contextualSpacing w:val="0"/>
              <w:jc w:val="center"/>
              <w:rPr>
                <w:rFonts w:ascii="Arial" w:hAnsi="Arial" w:cs="Arial"/>
                <w:b/>
                <w:sz w:val="20"/>
                <w:szCs w:val="20"/>
              </w:rPr>
            </w:pPr>
            <w:r w:rsidRPr="001C2AAB">
              <w:rPr>
                <w:rFonts w:ascii="Arial" w:hAnsi="Arial" w:cs="Arial"/>
                <w:b/>
                <w:sz w:val="20"/>
                <w:szCs w:val="20"/>
              </w:rPr>
              <w:lastRenderedPageBreak/>
              <w:t>$60</w:t>
            </w:r>
            <w:r>
              <w:rPr>
                <w:rFonts w:ascii="Arial" w:hAnsi="Arial" w:cs="Arial"/>
                <w:b/>
                <w:sz w:val="20"/>
                <w:szCs w:val="20"/>
              </w:rPr>
              <w:t>’</w:t>
            </w:r>
            <w:r w:rsidRPr="001C2AAB">
              <w:rPr>
                <w:rFonts w:ascii="Arial" w:hAnsi="Arial" w:cs="Arial"/>
                <w:b/>
                <w:sz w:val="20"/>
                <w:szCs w:val="20"/>
              </w:rPr>
              <w:t>688,136.01</w:t>
            </w:r>
          </w:p>
        </w:tc>
        <w:tc>
          <w:tcPr>
            <w:tcW w:w="1440" w:type="dxa"/>
            <w:vAlign w:val="center"/>
          </w:tcPr>
          <w:p w14:paraId="13664F01" w14:textId="77777777" w:rsidR="00584AA9" w:rsidRPr="00020570" w:rsidRDefault="00584AA9" w:rsidP="00BD6517">
            <w:pPr>
              <w:pStyle w:val="Prrafodelista"/>
              <w:widowControl w:val="0"/>
              <w:spacing w:before="120" w:after="120" w:line="324" w:lineRule="auto"/>
              <w:ind w:left="0"/>
              <w:contextualSpacing w:val="0"/>
              <w:jc w:val="center"/>
              <w:rPr>
                <w:rFonts w:ascii="Arial" w:hAnsi="Arial" w:cs="Arial"/>
                <w:b/>
                <w:sz w:val="20"/>
                <w:szCs w:val="20"/>
              </w:rPr>
            </w:pPr>
            <w:r w:rsidRPr="00020570">
              <w:rPr>
                <w:rFonts w:ascii="Arial" w:hAnsi="Arial" w:cs="Arial"/>
                <w:b/>
                <w:sz w:val="20"/>
                <w:szCs w:val="20"/>
              </w:rPr>
              <w:t>3%</w:t>
            </w:r>
          </w:p>
        </w:tc>
        <w:tc>
          <w:tcPr>
            <w:tcW w:w="1902" w:type="dxa"/>
            <w:vAlign w:val="center"/>
          </w:tcPr>
          <w:p w14:paraId="56F1936E" w14:textId="4040A03A" w:rsidR="00584AA9" w:rsidRPr="00020570" w:rsidRDefault="005E0502" w:rsidP="005E0502">
            <w:pPr>
              <w:pStyle w:val="Prrafodelista"/>
              <w:widowControl w:val="0"/>
              <w:spacing w:before="120" w:after="120" w:line="324" w:lineRule="auto"/>
              <w:ind w:left="0"/>
              <w:contextualSpacing w:val="0"/>
              <w:jc w:val="center"/>
              <w:rPr>
                <w:rFonts w:ascii="Arial" w:hAnsi="Arial" w:cs="Arial"/>
                <w:b/>
                <w:sz w:val="20"/>
                <w:szCs w:val="20"/>
              </w:rPr>
            </w:pPr>
            <w:r w:rsidRPr="005E0502">
              <w:rPr>
                <w:rFonts w:ascii="Arial" w:hAnsi="Arial" w:cs="Arial"/>
                <w:b/>
                <w:sz w:val="20"/>
                <w:szCs w:val="20"/>
              </w:rPr>
              <w:t>$1</w:t>
            </w:r>
            <w:r>
              <w:rPr>
                <w:rFonts w:ascii="Arial" w:hAnsi="Arial" w:cs="Arial"/>
                <w:b/>
                <w:sz w:val="20"/>
                <w:szCs w:val="20"/>
              </w:rPr>
              <w:t>’</w:t>
            </w:r>
            <w:r w:rsidRPr="005E0502">
              <w:rPr>
                <w:rFonts w:ascii="Arial" w:hAnsi="Arial" w:cs="Arial"/>
                <w:b/>
                <w:sz w:val="20"/>
                <w:szCs w:val="20"/>
              </w:rPr>
              <w:t>820,644.08</w:t>
            </w:r>
          </w:p>
        </w:tc>
      </w:tr>
    </w:tbl>
    <w:p w14:paraId="1DC9B3EB" w14:textId="38EC8273" w:rsidR="00D52081" w:rsidRDefault="00D52081" w:rsidP="00D52081">
      <w:pPr>
        <w:rPr>
          <w:sz w:val="23"/>
          <w:szCs w:val="23"/>
        </w:rPr>
      </w:pPr>
      <w:r>
        <w:rPr>
          <w:sz w:val="23"/>
          <w:szCs w:val="23"/>
        </w:rPr>
        <w:t xml:space="preserve">Por otra parte, </w:t>
      </w:r>
      <w:r w:rsidRPr="00D52081">
        <w:rPr>
          <w:sz w:val="23"/>
          <w:szCs w:val="23"/>
        </w:rPr>
        <w:t xml:space="preserve">de conformidad con el artículo 9 apartado A, fracción VIII, inciso b) de la Constitución </w:t>
      </w:r>
      <w:r>
        <w:rPr>
          <w:sz w:val="23"/>
          <w:szCs w:val="23"/>
        </w:rPr>
        <w:t>l</w:t>
      </w:r>
      <w:r w:rsidRPr="00D52081">
        <w:rPr>
          <w:sz w:val="23"/>
          <w:szCs w:val="23"/>
        </w:rPr>
        <w:t>ocal, en relación con el artículo 72, numeral 1, fracción II, inciso a</w:t>
      </w:r>
      <w:r>
        <w:rPr>
          <w:sz w:val="23"/>
          <w:szCs w:val="23"/>
        </w:rPr>
        <w:t>) de</w:t>
      </w:r>
      <w:r w:rsidRPr="00D52081">
        <w:rPr>
          <w:sz w:val="23"/>
          <w:szCs w:val="23"/>
        </w:rPr>
        <w:t xml:space="preserve"> la Ley Electoral, </w:t>
      </w:r>
      <w:r>
        <w:rPr>
          <w:sz w:val="23"/>
          <w:szCs w:val="23"/>
        </w:rPr>
        <w:t>e</w:t>
      </w:r>
      <w:r w:rsidRPr="00D52081">
        <w:rPr>
          <w:sz w:val="23"/>
          <w:szCs w:val="23"/>
        </w:rPr>
        <w:t xml:space="preserve">n el año de la elección en que se elijan Gobernador del Estado, Presidentes Municipales y Diputados Locales, a cada partido político se le otorgará para gastos de campaña un monto equivalente al </w:t>
      </w:r>
      <w:r w:rsidR="00334A8A">
        <w:rPr>
          <w:sz w:val="23"/>
          <w:szCs w:val="23"/>
        </w:rPr>
        <w:t>50% (</w:t>
      </w:r>
      <w:r w:rsidRPr="00D52081">
        <w:rPr>
          <w:sz w:val="23"/>
          <w:szCs w:val="23"/>
        </w:rPr>
        <w:t>cincuenta por ciento</w:t>
      </w:r>
      <w:r>
        <w:rPr>
          <w:sz w:val="23"/>
          <w:szCs w:val="23"/>
        </w:rPr>
        <w:t xml:space="preserve">) </w:t>
      </w:r>
      <w:r w:rsidRPr="00D52081">
        <w:rPr>
          <w:sz w:val="23"/>
          <w:szCs w:val="23"/>
        </w:rPr>
        <w:t>del financiamiento público que para el sostenimiento de sus actividades ordinarias permanentes le corresponda en ese año</w:t>
      </w:r>
      <w:r>
        <w:rPr>
          <w:sz w:val="23"/>
          <w:szCs w:val="23"/>
        </w:rPr>
        <w:t xml:space="preserve">. En ese tenor, corresponde a los partidos políticos la cantidad de </w:t>
      </w:r>
      <w:r w:rsidR="005E7DCC" w:rsidRPr="005E7DCC">
        <w:rPr>
          <w:b/>
          <w:sz w:val="23"/>
          <w:szCs w:val="23"/>
        </w:rPr>
        <w:t>$30’344,068.00</w:t>
      </w:r>
      <w:r w:rsidRPr="005E7DCC">
        <w:rPr>
          <w:b/>
          <w:sz w:val="23"/>
          <w:szCs w:val="23"/>
        </w:rPr>
        <w:t xml:space="preserve"> </w:t>
      </w:r>
      <w:r w:rsidR="005E7DCC" w:rsidRPr="005E7DCC">
        <w:rPr>
          <w:b/>
          <w:sz w:val="23"/>
          <w:szCs w:val="23"/>
        </w:rPr>
        <w:t>(treinta millones trescientos cuarenta y cuatro mil sesenta y ocho pesos 00/100 m. n.)</w:t>
      </w:r>
      <w:r w:rsidR="005E7DCC">
        <w:rPr>
          <w:sz w:val="23"/>
          <w:szCs w:val="23"/>
        </w:rPr>
        <w:t xml:space="preserve"> </w:t>
      </w:r>
      <w:r>
        <w:rPr>
          <w:sz w:val="23"/>
          <w:szCs w:val="23"/>
        </w:rPr>
        <w:t>que equivale al porcentaje mencionado, de acuerdo con la siguiente operación aritmética:</w:t>
      </w:r>
    </w:p>
    <w:tbl>
      <w:tblPr>
        <w:tblStyle w:val="Tablaconcuadrcula"/>
        <w:tblW w:w="0" w:type="auto"/>
        <w:jc w:val="center"/>
        <w:tblLook w:val="04A0" w:firstRow="1" w:lastRow="0" w:firstColumn="1" w:lastColumn="0" w:noHBand="0" w:noVBand="1"/>
      </w:tblPr>
      <w:tblGrid>
        <w:gridCol w:w="2045"/>
        <w:gridCol w:w="1440"/>
        <w:gridCol w:w="1902"/>
      </w:tblGrid>
      <w:tr w:rsidR="00D52081" w:rsidRPr="00020570" w14:paraId="7145AAA9" w14:textId="77777777" w:rsidTr="00B7165A">
        <w:trPr>
          <w:trHeight w:val="269"/>
          <w:jc w:val="center"/>
        </w:trPr>
        <w:tc>
          <w:tcPr>
            <w:tcW w:w="2045" w:type="dxa"/>
            <w:shd w:val="clear" w:color="auto" w:fill="993366"/>
            <w:vAlign w:val="center"/>
          </w:tcPr>
          <w:p w14:paraId="6D4FE7E2" w14:textId="18837270" w:rsidR="00D52081" w:rsidRPr="00020570" w:rsidRDefault="00D52081" w:rsidP="00B7165A">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pacing w:val="-10"/>
                <w:sz w:val="16"/>
                <w:szCs w:val="24"/>
              </w:rPr>
              <w:t xml:space="preserve">Monto total de financiamiento </w:t>
            </w:r>
            <w:r>
              <w:rPr>
                <w:rFonts w:ascii="Arial" w:hAnsi="Arial" w:cs="Arial"/>
                <w:b/>
                <w:color w:val="FFFFFF" w:themeColor="background1"/>
                <w:spacing w:val="-10"/>
                <w:sz w:val="16"/>
                <w:szCs w:val="24"/>
              </w:rPr>
              <w:t>(gastos de campaña)</w:t>
            </w:r>
          </w:p>
        </w:tc>
        <w:tc>
          <w:tcPr>
            <w:tcW w:w="1440" w:type="dxa"/>
            <w:shd w:val="clear" w:color="auto" w:fill="993366"/>
            <w:vAlign w:val="center"/>
          </w:tcPr>
          <w:p w14:paraId="2D7FB23A" w14:textId="77777777" w:rsidR="00D52081" w:rsidRPr="00020570" w:rsidRDefault="00D52081" w:rsidP="00B7165A">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Porcentaje</w:t>
            </w:r>
          </w:p>
        </w:tc>
        <w:tc>
          <w:tcPr>
            <w:tcW w:w="1902" w:type="dxa"/>
            <w:shd w:val="clear" w:color="auto" w:fill="993366"/>
            <w:vAlign w:val="center"/>
          </w:tcPr>
          <w:p w14:paraId="16E52EEB" w14:textId="36B451A7" w:rsidR="00D52081" w:rsidRPr="00020570" w:rsidRDefault="00D52081" w:rsidP="00B7165A">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Pr>
                <w:rFonts w:ascii="Arial" w:hAnsi="Arial" w:cs="Arial"/>
                <w:b/>
                <w:color w:val="FFFFFF" w:themeColor="background1"/>
                <w:sz w:val="16"/>
                <w:szCs w:val="24"/>
              </w:rPr>
              <w:t>Importe</w:t>
            </w:r>
          </w:p>
        </w:tc>
      </w:tr>
      <w:tr w:rsidR="00D52081" w:rsidRPr="00020570" w14:paraId="50188E16" w14:textId="77777777" w:rsidTr="00B7165A">
        <w:trPr>
          <w:trHeight w:val="273"/>
          <w:jc w:val="center"/>
        </w:trPr>
        <w:tc>
          <w:tcPr>
            <w:tcW w:w="2045" w:type="dxa"/>
            <w:vAlign w:val="center"/>
          </w:tcPr>
          <w:p w14:paraId="18B10591" w14:textId="77777777" w:rsidR="00D52081" w:rsidRPr="00020570" w:rsidRDefault="00D52081" w:rsidP="00B7165A">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E</w:t>
            </w:r>
          </w:p>
        </w:tc>
        <w:tc>
          <w:tcPr>
            <w:tcW w:w="1440" w:type="dxa"/>
            <w:vAlign w:val="center"/>
          </w:tcPr>
          <w:p w14:paraId="5A2F3C01" w14:textId="77777777" w:rsidR="00D52081" w:rsidRPr="00020570" w:rsidRDefault="00D52081" w:rsidP="00B7165A">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F</w:t>
            </w:r>
          </w:p>
        </w:tc>
        <w:tc>
          <w:tcPr>
            <w:tcW w:w="1902" w:type="dxa"/>
            <w:vAlign w:val="center"/>
          </w:tcPr>
          <w:p w14:paraId="611DD245" w14:textId="77777777" w:rsidR="00D52081" w:rsidRPr="00020570" w:rsidRDefault="00D52081" w:rsidP="00B7165A">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G = E × F</w:t>
            </w:r>
          </w:p>
        </w:tc>
      </w:tr>
      <w:tr w:rsidR="00D52081" w:rsidRPr="00020570" w14:paraId="0F9B5C92" w14:textId="77777777" w:rsidTr="00B7165A">
        <w:trPr>
          <w:trHeight w:val="277"/>
          <w:jc w:val="center"/>
        </w:trPr>
        <w:tc>
          <w:tcPr>
            <w:tcW w:w="2045" w:type="dxa"/>
            <w:vAlign w:val="center"/>
          </w:tcPr>
          <w:p w14:paraId="590FC6D8" w14:textId="4DFEA553" w:rsidR="00D52081" w:rsidRPr="00020570" w:rsidRDefault="005E7DCC" w:rsidP="00B7165A">
            <w:pPr>
              <w:pStyle w:val="Prrafodelista"/>
              <w:widowControl w:val="0"/>
              <w:spacing w:before="120" w:after="120" w:line="324" w:lineRule="auto"/>
              <w:ind w:left="0"/>
              <w:contextualSpacing w:val="0"/>
              <w:jc w:val="center"/>
              <w:rPr>
                <w:rFonts w:ascii="Arial" w:hAnsi="Arial" w:cs="Arial"/>
                <w:b/>
                <w:sz w:val="20"/>
                <w:szCs w:val="20"/>
              </w:rPr>
            </w:pPr>
            <w:r w:rsidRPr="005E7DCC">
              <w:rPr>
                <w:rFonts w:ascii="Arial" w:hAnsi="Arial" w:cs="Arial"/>
                <w:b/>
                <w:sz w:val="20"/>
                <w:szCs w:val="20"/>
              </w:rPr>
              <w:t>$60’688,136.01</w:t>
            </w:r>
          </w:p>
        </w:tc>
        <w:tc>
          <w:tcPr>
            <w:tcW w:w="1440" w:type="dxa"/>
            <w:vAlign w:val="center"/>
          </w:tcPr>
          <w:p w14:paraId="4D4C390A" w14:textId="1AEEC70C" w:rsidR="00D52081" w:rsidRPr="00020570" w:rsidRDefault="009E5DDB" w:rsidP="00B7165A">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50</w:t>
            </w:r>
            <w:r w:rsidR="00D52081" w:rsidRPr="00020570">
              <w:rPr>
                <w:rFonts w:ascii="Arial" w:hAnsi="Arial" w:cs="Arial"/>
                <w:b/>
                <w:sz w:val="20"/>
                <w:szCs w:val="20"/>
              </w:rPr>
              <w:t>%</w:t>
            </w:r>
          </w:p>
        </w:tc>
        <w:tc>
          <w:tcPr>
            <w:tcW w:w="1902" w:type="dxa"/>
            <w:vAlign w:val="center"/>
          </w:tcPr>
          <w:p w14:paraId="0035160B" w14:textId="4563AB29" w:rsidR="00D52081" w:rsidRPr="00020570" w:rsidRDefault="005E7DCC" w:rsidP="005E7DCC">
            <w:pPr>
              <w:pStyle w:val="Prrafodelista"/>
              <w:widowControl w:val="0"/>
              <w:spacing w:before="120" w:after="120" w:line="324" w:lineRule="auto"/>
              <w:ind w:left="0"/>
              <w:contextualSpacing w:val="0"/>
              <w:jc w:val="center"/>
              <w:rPr>
                <w:rFonts w:ascii="Arial" w:hAnsi="Arial" w:cs="Arial"/>
                <w:b/>
                <w:sz w:val="20"/>
                <w:szCs w:val="20"/>
              </w:rPr>
            </w:pPr>
            <w:r w:rsidRPr="005E7DCC">
              <w:rPr>
                <w:rFonts w:ascii="Arial" w:hAnsi="Arial" w:cs="Arial"/>
                <w:b/>
                <w:sz w:val="20"/>
                <w:szCs w:val="20"/>
              </w:rPr>
              <w:t>$30</w:t>
            </w:r>
            <w:r>
              <w:rPr>
                <w:rFonts w:ascii="Arial" w:hAnsi="Arial" w:cs="Arial"/>
                <w:b/>
                <w:sz w:val="20"/>
                <w:szCs w:val="20"/>
              </w:rPr>
              <w:t>’</w:t>
            </w:r>
            <w:r w:rsidRPr="005E7DCC">
              <w:rPr>
                <w:rFonts w:ascii="Arial" w:hAnsi="Arial" w:cs="Arial"/>
                <w:b/>
                <w:sz w:val="20"/>
                <w:szCs w:val="20"/>
              </w:rPr>
              <w:t>344,068.00</w:t>
            </w:r>
          </w:p>
        </w:tc>
      </w:tr>
    </w:tbl>
    <w:p w14:paraId="4EF3922A" w14:textId="0662926E" w:rsidR="00A11887" w:rsidRPr="00CF2001" w:rsidRDefault="00A11887" w:rsidP="00AE733B">
      <w:pPr>
        <w:pStyle w:val="Ttulo2"/>
      </w:pPr>
      <w:r w:rsidRPr="00AE733B">
        <w:t>Determinación</w:t>
      </w:r>
      <w:r w:rsidRPr="00CF2001">
        <w:t xml:space="preserve"> del monto de financiamiento público</w:t>
      </w:r>
      <w:r>
        <w:t xml:space="preserve"> para candidaturas independientes</w:t>
      </w:r>
    </w:p>
    <w:p w14:paraId="27E4500F" w14:textId="2AA937A8" w:rsidR="003C0D89" w:rsidRDefault="003758CF" w:rsidP="00496FC1">
      <w:pPr>
        <w:rPr>
          <w:sz w:val="23"/>
          <w:szCs w:val="23"/>
        </w:rPr>
      </w:pPr>
      <w:r>
        <w:rPr>
          <w:sz w:val="23"/>
          <w:szCs w:val="23"/>
        </w:rPr>
        <w:t xml:space="preserve">Que, </w:t>
      </w:r>
      <w:r w:rsidR="003C0D89">
        <w:rPr>
          <w:sz w:val="23"/>
          <w:szCs w:val="23"/>
        </w:rPr>
        <w:t>como se mencionó con antelación, los artículos 319 numeral 1 y 320 de la Ley Electoral, establecen que, para la distribución del financiamiento público y prerrogativas, las candidaturas independientes serán considerados en su conjunto como un partido político de nuevo registro en la entidad, es decir, tienen la naturaleza de un partido político local.</w:t>
      </w:r>
    </w:p>
    <w:p w14:paraId="50A4BD6E" w14:textId="67930CE8" w:rsidR="003758CF" w:rsidRDefault="00A93092" w:rsidP="00A93092">
      <w:pPr>
        <w:rPr>
          <w:sz w:val="23"/>
          <w:szCs w:val="23"/>
        </w:rPr>
      </w:pPr>
      <w:r>
        <w:rPr>
          <w:sz w:val="23"/>
          <w:szCs w:val="23"/>
        </w:rPr>
        <w:t xml:space="preserve">Para los partidos políticos locales, </w:t>
      </w:r>
      <w:r w:rsidR="003C0D89">
        <w:rPr>
          <w:sz w:val="23"/>
          <w:szCs w:val="23"/>
        </w:rPr>
        <w:t>el artículo 9, apartado “A”, fracción VII, inciso a) de la Constitución Local dispone que e</w:t>
      </w:r>
      <w:r w:rsidR="003C0D89" w:rsidRPr="009800E5">
        <w:rPr>
          <w:sz w:val="23"/>
          <w:szCs w:val="23"/>
        </w:rPr>
        <w:t xml:space="preserve">l financiamiento público para el sostenimiento de las actividades ordinarias permanentes se fijará anualmente en los términos establecidos por la Ley </w:t>
      </w:r>
      <w:r w:rsidR="003C0D89">
        <w:rPr>
          <w:sz w:val="23"/>
          <w:szCs w:val="23"/>
        </w:rPr>
        <w:t xml:space="preserve">de Partidos. En ese tenor, </w:t>
      </w:r>
      <w:r>
        <w:rPr>
          <w:sz w:val="23"/>
          <w:szCs w:val="23"/>
        </w:rPr>
        <w:t xml:space="preserve">el </w:t>
      </w:r>
      <w:r w:rsidR="003758CF">
        <w:rPr>
          <w:sz w:val="23"/>
          <w:szCs w:val="23"/>
        </w:rPr>
        <w:t xml:space="preserve">artículo 51 numeral 2 de la Ley de Partidos, </w:t>
      </w:r>
      <w:r>
        <w:rPr>
          <w:sz w:val="23"/>
          <w:szCs w:val="23"/>
        </w:rPr>
        <w:t xml:space="preserve">establece que </w:t>
      </w:r>
      <w:r w:rsidR="003758CF">
        <w:rPr>
          <w:sz w:val="23"/>
          <w:szCs w:val="23"/>
        </w:rPr>
        <w:t>a l</w:t>
      </w:r>
      <w:r w:rsidR="003758CF" w:rsidRPr="00BB2764">
        <w:rPr>
          <w:sz w:val="23"/>
          <w:szCs w:val="23"/>
        </w:rPr>
        <w:t xml:space="preserve">os partidos políticos </w:t>
      </w:r>
      <w:r w:rsidR="003758CF">
        <w:rPr>
          <w:sz w:val="23"/>
          <w:szCs w:val="23"/>
        </w:rPr>
        <w:t>con nuevo registro o de nueva creación s</w:t>
      </w:r>
      <w:r w:rsidR="003758CF" w:rsidRPr="00BB2764">
        <w:rPr>
          <w:sz w:val="23"/>
          <w:szCs w:val="23"/>
        </w:rPr>
        <w:t>e le</w:t>
      </w:r>
      <w:r w:rsidR="003758CF">
        <w:rPr>
          <w:sz w:val="23"/>
          <w:szCs w:val="23"/>
        </w:rPr>
        <w:t>s</w:t>
      </w:r>
      <w:r w:rsidR="003758CF" w:rsidRPr="00BB2764">
        <w:rPr>
          <w:sz w:val="23"/>
          <w:szCs w:val="23"/>
        </w:rPr>
        <w:t xml:space="preserve"> otorgará el </w:t>
      </w:r>
      <w:r w:rsidR="00D23464">
        <w:rPr>
          <w:sz w:val="23"/>
          <w:szCs w:val="23"/>
        </w:rPr>
        <w:t>2% (</w:t>
      </w:r>
      <w:r w:rsidR="003758CF" w:rsidRPr="00BB2764">
        <w:rPr>
          <w:sz w:val="23"/>
          <w:szCs w:val="23"/>
        </w:rPr>
        <w:t>dos por ciento</w:t>
      </w:r>
      <w:r w:rsidR="00C43635">
        <w:rPr>
          <w:sz w:val="23"/>
          <w:szCs w:val="23"/>
        </w:rPr>
        <w:t xml:space="preserve">) </w:t>
      </w:r>
      <w:r w:rsidR="003758CF" w:rsidRPr="00BB2764">
        <w:rPr>
          <w:sz w:val="23"/>
          <w:szCs w:val="23"/>
        </w:rPr>
        <w:t xml:space="preserve">del monto que por financiamiento total les corresponda a los partidos políticos para el sostenimiento de sus actividades ordinarias permanentes </w:t>
      </w:r>
      <w:r w:rsidR="003758CF" w:rsidRPr="00BB2764">
        <w:rPr>
          <w:sz w:val="23"/>
          <w:szCs w:val="23"/>
        </w:rPr>
        <w:lastRenderedPageBreak/>
        <w:t xml:space="preserve">a que se refiere </w:t>
      </w:r>
      <w:r>
        <w:rPr>
          <w:sz w:val="23"/>
          <w:szCs w:val="23"/>
        </w:rPr>
        <w:t xml:space="preserve">el </w:t>
      </w:r>
      <w:r w:rsidR="003758CF" w:rsidRPr="00BB2764">
        <w:rPr>
          <w:sz w:val="23"/>
          <w:szCs w:val="23"/>
        </w:rPr>
        <w:t>artículo</w:t>
      </w:r>
      <w:r>
        <w:rPr>
          <w:sz w:val="23"/>
          <w:szCs w:val="23"/>
        </w:rPr>
        <w:t xml:space="preserve"> en cita</w:t>
      </w:r>
      <w:r w:rsidR="003758CF" w:rsidRPr="00BB2764">
        <w:rPr>
          <w:sz w:val="23"/>
          <w:szCs w:val="23"/>
        </w:rPr>
        <w:t xml:space="preserve">, así como, en el año de la elección de que se trate, el financiamiento para gastos de campaña que corresponda con base en lo dispuesto por el inciso b) del párrafo 1 del </w:t>
      </w:r>
      <w:r w:rsidR="003758CF">
        <w:rPr>
          <w:sz w:val="23"/>
          <w:szCs w:val="23"/>
        </w:rPr>
        <w:t>citado</w:t>
      </w:r>
      <w:r w:rsidR="003758CF" w:rsidRPr="00BB2764">
        <w:rPr>
          <w:sz w:val="23"/>
          <w:szCs w:val="23"/>
        </w:rPr>
        <w:t xml:space="preserve"> artículo</w:t>
      </w:r>
      <w:r w:rsidR="003758CF">
        <w:rPr>
          <w:sz w:val="23"/>
          <w:szCs w:val="23"/>
        </w:rPr>
        <w:t>.</w:t>
      </w:r>
    </w:p>
    <w:p w14:paraId="2F0F41BC" w14:textId="6A86AE79" w:rsidR="008A6380" w:rsidRDefault="003758CF" w:rsidP="00496FC1">
      <w:pPr>
        <w:rPr>
          <w:sz w:val="23"/>
          <w:szCs w:val="23"/>
        </w:rPr>
      </w:pPr>
      <w:r>
        <w:rPr>
          <w:sz w:val="23"/>
          <w:szCs w:val="23"/>
        </w:rPr>
        <w:t>Con base en tal</w:t>
      </w:r>
      <w:r w:rsidR="008A6380">
        <w:rPr>
          <w:sz w:val="23"/>
          <w:szCs w:val="23"/>
        </w:rPr>
        <w:t>es</w:t>
      </w:r>
      <w:r>
        <w:rPr>
          <w:sz w:val="23"/>
          <w:szCs w:val="23"/>
        </w:rPr>
        <w:t xml:space="preserve"> </w:t>
      </w:r>
      <w:r w:rsidR="008A6380">
        <w:rPr>
          <w:sz w:val="23"/>
          <w:szCs w:val="23"/>
        </w:rPr>
        <w:t>disposiciones</w:t>
      </w:r>
      <w:r>
        <w:rPr>
          <w:sz w:val="23"/>
          <w:szCs w:val="23"/>
        </w:rPr>
        <w:t xml:space="preserve">, para determinar el </w:t>
      </w:r>
      <w:r w:rsidR="0032144C">
        <w:rPr>
          <w:sz w:val="23"/>
          <w:szCs w:val="23"/>
        </w:rPr>
        <w:t xml:space="preserve">financiamiento público </w:t>
      </w:r>
      <w:r>
        <w:rPr>
          <w:sz w:val="23"/>
          <w:szCs w:val="23"/>
        </w:rPr>
        <w:t xml:space="preserve">que corresponde al conjunto de candidaturas independientes, </w:t>
      </w:r>
      <w:r w:rsidR="008A6380">
        <w:rPr>
          <w:sz w:val="23"/>
          <w:szCs w:val="23"/>
        </w:rPr>
        <w:t xml:space="preserve">en primer lugar, lo conducente es cuantificar el financiamiento público local para actividades ordinarias permanentes, pero </w:t>
      </w:r>
      <w:r w:rsidR="008E34C5">
        <w:rPr>
          <w:sz w:val="23"/>
          <w:szCs w:val="23"/>
        </w:rPr>
        <w:t xml:space="preserve">a partir del porcentaje </w:t>
      </w:r>
      <w:r w:rsidR="0032144C">
        <w:rPr>
          <w:sz w:val="23"/>
          <w:szCs w:val="23"/>
        </w:rPr>
        <w:t xml:space="preserve">del </w:t>
      </w:r>
      <w:r w:rsidR="00EF7175">
        <w:rPr>
          <w:sz w:val="23"/>
          <w:szCs w:val="23"/>
        </w:rPr>
        <w:t>65% (</w:t>
      </w:r>
      <w:r w:rsidR="0032144C">
        <w:rPr>
          <w:sz w:val="23"/>
          <w:szCs w:val="23"/>
        </w:rPr>
        <w:t>sesenta y cinco por ciento</w:t>
      </w:r>
      <w:r w:rsidR="00C43635">
        <w:rPr>
          <w:sz w:val="23"/>
          <w:szCs w:val="23"/>
        </w:rPr>
        <w:t xml:space="preserve">) </w:t>
      </w:r>
      <w:r w:rsidR="0032144C">
        <w:rPr>
          <w:sz w:val="23"/>
          <w:szCs w:val="23"/>
        </w:rPr>
        <w:t xml:space="preserve">de la unidad de medida y actualización que </w:t>
      </w:r>
      <w:r w:rsidR="008E34C5">
        <w:rPr>
          <w:sz w:val="23"/>
          <w:szCs w:val="23"/>
        </w:rPr>
        <w:t xml:space="preserve">establece </w:t>
      </w:r>
      <w:r w:rsidR="00AE733B">
        <w:rPr>
          <w:sz w:val="23"/>
          <w:szCs w:val="23"/>
        </w:rPr>
        <w:t>el</w:t>
      </w:r>
      <w:r w:rsidR="0032144C">
        <w:rPr>
          <w:sz w:val="23"/>
          <w:szCs w:val="23"/>
        </w:rPr>
        <w:t xml:space="preserve"> artículo 51, numeral 1, inciso a), </w:t>
      </w:r>
      <w:r w:rsidR="005E4109">
        <w:rPr>
          <w:sz w:val="23"/>
          <w:szCs w:val="23"/>
        </w:rPr>
        <w:t>fracción</w:t>
      </w:r>
      <w:r w:rsidR="0032144C">
        <w:rPr>
          <w:sz w:val="23"/>
          <w:szCs w:val="23"/>
        </w:rPr>
        <w:t xml:space="preserve"> I</w:t>
      </w:r>
      <w:r w:rsidR="00AE733B">
        <w:rPr>
          <w:sz w:val="23"/>
          <w:szCs w:val="23"/>
        </w:rPr>
        <w:t xml:space="preserve"> de la Ley de Partidos</w:t>
      </w:r>
      <w:r w:rsidR="00AF366E">
        <w:rPr>
          <w:rStyle w:val="Refdenotaalpie"/>
          <w:sz w:val="23"/>
          <w:szCs w:val="23"/>
        </w:rPr>
        <w:footnoteReference w:id="1"/>
      </w:r>
      <w:r w:rsidR="008A6380">
        <w:rPr>
          <w:sz w:val="23"/>
          <w:szCs w:val="23"/>
        </w:rPr>
        <w:t xml:space="preserve">; esto en virtud de que dicho monto constituye la base sobre la cual se obtiene el </w:t>
      </w:r>
      <w:r w:rsidR="004C5128">
        <w:rPr>
          <w:sz w:val="23"/>
          <w:szCs w:val="23"/>
        </w:rPr>
        <w:t>2% (</w:t>
      </w:r>
      <w:r w:rsidR="008A6380">
        <w:rPr>
          <w:sz w:val="23"/>
          <w:szCs w:val="23"/>
        </w:rPr>
        <w:t>dos por ciento) que corresponde a los partidos políticos de nueva creación.</w:t>
      </w:r>
    </w:p>
    <w:p w14:paraId="10756BC4" w14:textId="1F0C1F08" w:rsidR="003758CF" w:rsidRDefault="00AE733B" w:rsidP="00496FC1">
      <w:pPr>
        <w:rPr>
          <w:sz w:val="23"/>
          <w:szCs w:val="23"/>
        </w:rPr>
      </w:pPr>
      <w:r>
        <w:rPr>
          <w:sz w:val="23"/>
          <w:szCs w:val="23"/>
        </w:rPr>
        <w:t xml:space="preserve">Conforme a lo anterior, el financiamiento público anual para actividades ordinarias es por la cantidad de </w:t>
      </w:r>
      <w:r w:rsidRPr="006E6803">
        <w:rPr>
          <w:b/>
          <w:bCs/>
          <w:sz w:val="23"/>
          <w:szCs w:val="23"/>
        </w:rPr>
        <w:t>$121</w:t>
      </w:r>
      <w:r w:rsidR="00CB3FFC" w:rsidRPr="006E6803">
        <w:rPr>
          <w:b/>
          <w:bCs/>
          <w:sz w:val="23"/>
          <w:szCs w:val="23"/>
        </w:rPr>
        <w:t>’</w:t>
      </w:r>
      <w:r w:rsidRPr="006E6803">
        <w:rPr>
          <w:b/>
          <w:bCs/>
          <w:sz w:val="23"/>
          <w:szCs w:val="23"/>
        </w:rPr>
        <w:t>376,272.02</w:t>
      </w:r>
      <w:r w:rsidR="00CB3FFC" w:rsidRPr="006E6803">
        <w:rPr>
          <w:b/>
          <w:bCs/>
          <w:sz w:val="23"/>
          <w:szCs w:val="23"/>
        </w:rPr>
        <w:t xml:space="preserve"> (ciento veintiún millones trescientos setenta y seis mil doscientos setenta y dos pesos 02/100 m. n.)</w:t>
      </w:r>
      <w:r w:rsidR="00CB3FFC">
        <w:rPr>
          <w:sz w:val="23"/>
          <w:szCs w:val="23"/>
        </w:rPr>
        <w:t xml:space="preserve"> obtenido de acuerdo con las disposiciones de la Ley de Partidos y derivado de la siguiente operación aritmética:</w:t>
      </w:r>
    </w:p>
    <w:tbl>
      <w:tblPr>
        <w:tblStyle w:val="Tablaconcuadrcula"/>
        <w:tblW w:w="0" w:type="auto"/>
        <w:jc w:val="center"/>
        <w:tblLook w:val="04A0" w:firstRow="1" w:lastRow="0" w:firstColumn="1" w:lastColumn="0" w:noHBand="0" w:noVBand="1"/>
      </w:tblPr>
      <w:tblGrid>
        <w:gridCol w:w="1129"/>
        <w:gridCol w:w="1418"/>
        <w:gridCol w:w="1417"/>
        <w:gridCol w:w="1418"/>
        <w:gridCol w:w="1984"/>
      </w:tblGrid>
      <w:tr w:rsidR="00CB3FFC" w:rsidRPr="00020570" w14:paraId="67919B34" w14:textId="77777777" w:rsidTr="005F4C38">
        <w:trPr>
          <w:trHeight w:val="269"/>
          <w:jc w:val="center"/>
        </w:trPr>
        <w:tc>
          <w:tcPr>
            <w:tcW w:w="1129" w:type="dxa"/>
            <w:shd w:val="clear" w:color="auto" w:fill="993366"/>
            <w:vAlign w:val="center"/>
          </w:tcPr>
          <w:p w14:paraId="40F4870E" w14:textId="77777777" w:rsidR="00CB3FFC" w:rsidRPr="00020570" w:rsidRDefault="00CB3FFC" w:rsidP="005F4C38">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Valor UMA</w:t>
            </w:r>
          </w:p>
        </w:tc>
        <w:tc>
          <w:tcPr>
            <w:tcW w:w="1418" w:type="dxa"/>
            <w:shd w:val="clear" w:color="auto" w:fill="993366"/>
            <w:vAlign w:val="center"/>
          </w:tcPr>
          <w:p w14:paraId="7FEE0710" w14:textId="77777777" w:rsidR="00CB3FFC" w:rsidRPr="00020570" w:rsidRDefault="00CB3FFC" w:rsidP="005F4C38">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Porcentaje</w:t>
            </w:r>
          </w:p>
        </w:tc>
        <w:tc>
          <w:tcPr>
            <w:tcW w:w="1417" w:type="dxa"/>
            <w:shd w:val="clear" w:color="auto" w:fill="993366"/>
            <w:vAlign w:val="center"/>
          </w:tcPr>
          <w:p w14:paraId="6991EEFD" w14:textId="77777777" w:rsidR="00CB3FFC" w:rsidRPr="00020570" w:rsidRDefault="00CB3FFC" w:rsidP="005F4C38">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Valor aplicable</w:t>
            </w:r>
          </w:p>
        </w:tc>
        <w:tc>
          <w:tcPr>
            <w:tcW w:w="1418" w:type="dxa"/>
            <w:shd w:val="clear" w:color="auto" w:fill="993366"/>
            <w:vAlign w:val="center"/>
          </w:tcPr>
          <w:p w14:paraId="1E8A5B9E" w14:textId="77777777" w:rsidR="00CB3FFC" w:rsidRPr="00020570" w:rsidRDefault="00CB3FFC" w:rsidP="005F4C38">
            <w:pPr>
              <w:pStyle w:val="Prrafodelista"/>
              <w:widowControl w:val="0"/>
              <w:spacing w:before="60" w:after="0" w:line="240" w:lineRule="auto"/>
              <w:ind w:left="0"/>
              <w:contextualSpacing w:val="0"/>
              <w:jc w:val="center"/>
              <w:rPr>
                <w:rFonts w:ascii="Arial" w:hAnsi="Arial" w:cs="Arial"/>
                <w:b/>
                <w:color w:val="FFFFFF" w:themeColor="background1"/>
                <w:sz w:val="16"/>
                <w:szCs w:val="24"/>
              </w:rPr>
            </w:pPr>
            <w:r w:rsidRPr="00020570">
              <w:rPr>
                <w:rFonts w:ascii="Arial" w:hAnsi="Arial" w:cs="Arial"/>
                <w:b/>
                <w:color w:val="FFFFFF" w:themeColor="background1"/>
                <w:sz w:val="16"/>
                <w:szCs w:val="24"/>
              </w:rPr>
              <w:t>Padrón electoral</w:t>
            </w:r>
          </w:p>
        </w:tc>
        <w:tc>
          <w:tcPr>
            <w:tcW w:w="1984" w:type="dxa"/>
            <w:shd w:val="clear" w:color="auto" w:fill="993366"/>
            <w:vAlign w:val="center"/>
          </w:tcPr>
          <w:p w14:paraId="3CE991F8" w14:textId="77777777" w:rsidR="00CB3FFC" w:rsidRPr="00020570" w:rsidRDefault="00CB3FFC" w:rsidP="005F4C38">
            <w:pPr>
              <w:pStyle w:val="Prrafodelista"/>
              <w:widowControl w:val="0"/>
              <w:spacing w:before="60" w:after="0" w:line="240" w:lineRule="auto"/>
              <w:ind w:left="0"/>
              <w:contextualSpacing w:val="0"/>
              <w:jc w:val="center"/>
              <w:rPr>
                <w:rFonts w:ascii="Arial" w:hAnsi="Arial" w:cs="Arial"/>
                <w:b/>
                <w:color w:val="FFFFFF" w:themeColor="background1"/>
                <w:spacing w:val="-10"/>
                <w:sz w:val="16"/>
                <w:szCs w:val="24"/>
              </w:rPr>
            </w:pPr>
            <w:r w:rsidRPr="00020570">
              <w:rPr>
                <w:rFonts w:ascii="Arial" w:hAnsi="Arial" w:cs="Arial"/>
                <w:b/>
                <w:color w:val="FFFFFF" w:themeColor="background1"/>
                <w:spacing w:val="-10"/>
                <w:sz w:val="16"/>
                <w:szCs w:val="24"/>
              </w:rPr>
              <w:t xml:space="preserve">Monto total de financiamiento </w:t>
            </w:r>
            <w:proofErr w:type="spellStart"/>
            <w:r w:rsidRPr="00020570">
              <w:rPr>
                <w:rFonts w:ascii="Arial" w:hAnsi="Arial" w:cs="Arial"/>
                <w:b/>
                <w:color w:val="FFFFFF" w:themeColor="background1"/>
                <w:spacing w:val="-10"/>
                <w:sz w:val="16"/>
                <w:szCs w:val="24"/>
              </w:rPr>
              <w:t>Acts</w:t>
            </w:r>
            <w:proofErr w:type="spellEnd"/>
            <w:r w:rsidRPr="00020570">
              <w:rPr>
                <w:rFonts w:ascii="Arial" w:hAnsi="Arial" w:cs="Arial"/>
                <w:b/>
                <w:color w:val="FFFFFF" w:themeColor="background1"/>
                <w:spacing w:val="-10"/>
                <w:sz w:val="16"/>
                <w:szCs w:val="24"/>
              </w:rPr>
              <w:t>. Ord.</w:t>
            </w:r>
          </w:p>
        </w:tc>
      </w:tr>
      <w:tr w:rsidR="00CB3FFC" w:rsidRPr="00020570" w14:paraId="78088671" w14:textId="77777777" w:rsidTr="005F4C38">
        <w:trPr>
          <w:trHeight w:val="273"/>
          <w:jc w:val="center"/>
        </w:trPr>
        <w:tc>
          <w:tcPr>
            <w:tcW w:w="1129" w:type="dxa"/>
            <w:vAlign w:val="center"/>
          </w:tcPr>
          <w:p w14:paraId="57FBF800" w14:textId="77777777" w:rsidR="00CB3FFC" w:rsidRPr="00020570" w:rsidRDefault="00CB3FFC" w:rsidP="005F4C38">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A</w:t>
            </w:r>
          </w:p>
        </w:tc>
        <w:tc>
          <w:tcPr>
            <w:tcW w:w="1418" w:type="dxa"/>
            <w:vAlign w:val="center"/>
          </w:tcPr>
          <w:p w14:paraId="7865F73B" w14:textId="77777777" w:rsidR="00CB3FFC" w:rsidRPr="00020570" w:rsidRDefault="00CB3FFC" w:rsidP="005F4C38">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B</w:t>
            </w:r>
          </w:p>
        </w:tc>
        <w:tc>
          <w:tcPr>
            <w:tcW w:w="1417" w:type="dxa"/>
            <w:vAlign w:val="center"/>
          </w:tcPr>
          <w:p w14:paraId="7ACA8D76" w14:textId="77777777" w:rsidR="00CB3FFC" w:rsidRPr="00020570" w:rsidRDefault="00CB3FFC" w:rsidP="005F4C38">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C = A × B</w:t>
            </w:r>
          </w:p>
        </w:tc>
        <w:tc>
          <w:tcPr>
            <w:tcW w:w="1418" w:type="dxa"/>
            <w:vAlign w:val="center"/>
          </w:tcPr>
          <w:p w14:paraId="47A1F1F6" w14:textId="77777777" w:rsidR="00CB3FFC" w:rsidRPr="00020570" w:rsidRDefault="00CB3FFC" w:rsidP="005F4C38">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D</w:t>
            </w:r>
          </w:p>
        </w:tc>
        <w:tc>
          <w:tcPr>
            <w:tcW w:w="1984" w:type="dxa"/>
            <w:vAlign w:val="center"/>
          </w:tcPr>
          <w:p w14:paraId="2ACC3B37" w14:textId="77777777" w:rsidR="00CB3FFC" w:rsidRPr="00020570" w:rsidRDefault="00CB3FFC" w:rsidP="005F4C38">
            <w:pPr>
              <w:pStyle w:val="Prrafodelista"/>
              <w:widowControl w:val="0"/>
              <w:spacing w:before="60" w:after="0" w:line="324" w:lineRule="auto"/>
              <w:ind w:left="0"/>
              <w:contextualSpacing w:val="0"/>
              <w:jc w:val="center"/>
              <w:rPr>
                <w:rFonts w:ascii="Arial" w:hAnsi="Arial" w:cs="Arial"/>
                <w:b/>
                <w:sz w:val="14"/>
              </w:rPr>
            </w:pPr>
            <w:r w:rsidRPr="00020570">
              <w:rPr>
                <w:rFonts w:ascii="Arial" w:hAnsi="Arial" w:cs="Arial"/>
                <w:b/>
                <w:sz w:val="14"/>
              </w:rPr>
              <w:t>E = C × D</w:t>
            </w:r>
          </w:p>
        </w:tc>
      </w:tr>
      <w:tr w:rsidR="00CB3FFC" w:rsidRPr="00020570" w14:paraId="57D2398D" w14:textId="77777777" w:rsidTr="005F4C38">
        <w:trPr>
          <w:trHeight w:val="277"/>
          <w:jc w:val="center"/>
        </w:trPr>
        <w:tc>
          <w:tcPr>
            <w:tcW w:w="1129" w:type="dxa"/>
            <w:vAlign w:val="center"/>
          </w:tcPr>
          <w:p w14:paraId="7A1A989B" w14:textId="77777777" w:rsidR="00CB3FFC" w:rsidRPr="00020570" w:rsidRDefault="00CB3FFC" w:rsidP="005F4C38">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103</w:t>
            </w:r>
            <w:r w:rsidRPr="00020570">
              <w:rPr>
                <w:rFonts w:ascii="Arial" w:hAnsi="Arial" w:cs="Arial"/>
                <w:b/>
                <w:sz w:val="20"/>
                <w:szCs w:val="20"/>
              </w:rPr>
              <w:t>.</w:t>
            </w:r>
            <w:r>
              <w:rPr>
                <w:rFonts w:ascii="Arial" w:hAnsi="Arial" w:cs="Arial"/>
                <w:b/>
                <w:sz w:val="20"/>
                <w:szCs w:val="20"/>
              </w:rPr>
              <w:t>74</w:t>
            </w:r>
          </w:p>
        </w:tc>
        <w:tc>
          <w:tcPr>
            <w:tcW w:w="1418" w:type="dxa"/>
            <w:vAlign w:val="center"/>
          </w:tcPr>
          <w:p w14:paraId="695D6060" w14:textId="2D5059D9" w:rsidR="00CB3FFC" w:rsidRPr="00020570" w:rsidRDefault="00CB3FFC" w:rsidP="005F4C38">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6</w:t>
            </w:r>
            <w:r w:rsidRPr="00020570">
              <w:rPr>
                <w:rFonts w:ascii="Arial" w:hAnsi="Arial" w:cs="Arial"/>
                <w:b/>
                <w:sz w:val="20"/>
                <w:szCs w:val="20"/>
              </w:rPr>
              <w:t>5%</w:t>
            </w:r>
          </w:p>
        </w:tc>
        <w:tc>
          <w:tcPr>
            <w:tcW w:w="1417" w:type="dxa"/>
            <w:vAlign w:val="center"/>
          </w:tcPr>
          <w:p w14:paraId="3E473CA2" w14:textId="6F3E4961" w:rsidR="00CB3FFC" w:rsidRPr="00020570" w:rsidRDefault="00CB3FFC" w:rsidP="005F4C38">
            <w:pPr>
              <w:pStyle w:val="Prrafodelista"/>
              <w:widowControl w:val="0"/>
              <w:spacing w:before="120" w:after="120" w:line="324" w:lineRule="auto"/>
              <w:ind w:left="0"/>
              <w:contextualSpacing w:val="0"/>
              <w:jc w:val="center"/>
              <w:rPr>
                <w:rFonts w:ascii="Arial" w:hAnsi="Arial" w:cs="Arial"/>
                <w:b/>
                <w:sz w:val="20"/>
                <w:szCs w:val="20"/>
              </w:rPr>
            </w:pPr>
            <w:r w:rsidRPr="00CB3FFC">
              <w:rPr>
                <w:rFonts w:ascii="Arial" w:hAnsi="Arial" w:cs="Arial"/>
                <w:b/>
                <w:sz w:val="20"/>
                <w:szCs w:val="20"/>
              </w:rPr>
              <w:t>67.43</w:t>
            </w:r>
          </w:p>
        </w:tc>
        <w:tc>
          <w:tcPr>
            <w:tcW w:w="1418" w:type="dxa"/>
            <w:vAlign w:val="center"/>
          </w:tcPr>
          <w:p w14:paraId="4DEDF30F" w14:textId="77777777" w:rsidR="00CB3FFC" w:rsidRPr="00020570" w:rsidRDefault="00CB3FFC" w:rsidP="005F4C38">
            <w:pPr>
              <w:pStyle w:val="Prrafodelista"/>
              <w:widowControl w:val="0"/>
              <w:spacing w:before="120" w:after="120" w:line="324" w:lineRule="auto"/>
              <w:ind w:left="0"/>
              <w:contextualSpacing w:val="0"/>
              <w:jc w:val="center"/>
              <w:rPr>
                <w:rFonts w:ascii="Arial" w:hAnsi="Arial" w:cs="Arial"/>
                <w:b/>
                <w:sz w:val="20"/>
                <w:szCs w:val="20"/>
              </w:rPr>
            </w:pPr>
            <w:r>
              <w:rPr>
                <w:rFonts w:ascii="Arial" w:hAnsi="Arial" w:cs="Arial"/>
                <w:b/>
                <w:sz w:val="20"/>
                <w:szCs w:val="20"/>
              </w:rPr>
              <w:t>1,800,007</w:t>
            </w:r>
          </w:p>
        </w:tc>
        <w:tc>
          <w:tcPr>
            <w:tcW w:w="1984" w:type="dxa"/>
            <w:vAlign w:val="center"/>
          </w:tcPr>
          <w:p w14:paraId="3C9268FB" w14:textId="14883E53" w:rsidR="00CB3FFC" w:rsidRPr="00020570" w:rsidRDefault="00CB3FFC" w:rsidP="005F4C38">
            <w:pPr>
              <w:pStyle w:val="Prrafodelista"/>
              <w:widowControl w:val="0"/>
              <w:spacing w:before="120" w:after="120" w:line="324" w:lineRule="auto"/>
              <w:ind w:left="0"/>
              <w:contextualSpacing w:val="0"/>
              <w:jc w:val="center"/>
              <w:rPr>
                <w:rFonts w:ascii="Arial" w:hAnsi="Arial" w:cs="Arial"/>
                <w:b/>
                <w:sz w:val="20"/>
                <w:szCs w:val="20"/>
              </w:rPr>
            </w:pPr>
            <w:bookmarkStart w:id="0" w:name="_Hlk146133702"/>
            <w:r w:rsidRPr="00CB3FFC">
              <w:rPr>
                <w:rFonts w:ascii="Arial" w:hAnsi="Arial" w:cs="Arial"/>
                <w:b/>
                <w:sz w:val="20"/>
                <w:szCs w:val="20"/>
              </w:rPr>
              <w:t>$121</w:t>
            </w:r>
            <w:r>
              <w:rPr>
                <w:rFonts w:ascii="Arial" w:hAnsi="Arial" w:cs="Arial"/>
                <w:b/>
                <w:sz w:val="20"/>
                <w:szCs w:val="20"/>
              </w:rPr>
              <w:t>’</w:t>
            </w:r>
            <w:r w:rsidRPr="00CB3FFC">
              <w:rPr>
                <w:rFonts w:ascii="Arial" w:hAnsi="Arial" w:cs="Arial"/>
                <w:b/>
                <w:sz w:val="20"/>
                <w:szCs w:val="20"/>
              </w:rPr>
              <w:t>376,272.02</w:t>
            </w:r>
            <w:bookmarkEnd w:id="0"/>
          </w:p>
        </w:tc>
      </w:tr>
    </w:tbl>
    <w:p w14:paraId="45E4EC45" w14:textId="1694E3D7" w:rsidR="00D77A84" w:rsidRPr="00D77A84" w:rsidRDefault="00D77A84" w:rsidP="00D77A84">
      <w:pPr>
        <w:rPr>
          <w:sz w:val="23"/>
          <w:szCs w:val="23"/>
        </w:rPr>
      </w:pPr>
      <w:r w:rsidRPr="00D77A84">
        <w:rPr>
          <w:sz w:val="23"/>
          <w:szCs w:val="23"/>
        </w:rPr>
        <w:t xml:space="preserve">En ese sentido, al aplicar el </w:t>
      </w:r>
      <w:r w:rsidR="00C87DA3">
        <w:rPr>
          <w:sz w:val="23"/>
          <w:szCs w:val="23"/>
        </w:rPr>
        <w:t>2% (</w:t>
      </w:r>
      <w:r>
        <w:rPr>
          <w:sz w:val="23"/>
          <w:szCs w:val="23"/>
        </w:rPr>
        <w:t xml:space="preserve">dos </w:t>
      </w:r>
      <w:r w:rsidRPr="00D77A84">
        <w:rPr>
          <w:sz w:val="23"/>
          <w:szCs w:val="23"/>
        </w:rPr>
        <w:t>por ciento</w:t>
      </w:r>
      <w:r>
        <w:rPr>
          <w:sz w:val="23"/>
          <w:szCs w:val="23"/>
        </w:rPr>
        <w:t xml:space="preserve">) sobre </w:t>
      </w:r>
      <w:r w:rsidR="00C31D97">
        <w:rPr>
          <w:sz w:val="23"/>
          <w:szCs w:val="23"/>
        </w:rPr>
        <w:t>la cantidad de $</w:t>
      </w:r>
      <w:r w:rsidR="00C31D97" w:rsidRPr="00C31D97">
        <w:rPr>
          <w:sz w:val="23"/>
          <w:szCs w:val="23"/>
        </w:rPr>
        <w:t>121’376,272.02</w:t>
      </w:r>
      <w:r w:rsidR="00C31D97">
        <w:rPr>
          <w:sz w:val="23"/>
          <w:szCs w:val="23"/>
        </w:rPr>
        <w:t xml:space="preserve"> (ciento veintiún millones trescientos setenta y seis mil doscientos setenta y dos pesos 02/100 m. n.) que por concepto de </w:t>
      </w:r>
      <w:r w:rsidRPr="00D77A84">
        <w:rPr>
          <w:sz w:val="23"/>
          <w:szCs w:val="23"/>
        </w:rPr>
        <w:t>financiamiento público</w:t>
      </w:r>
      <w:r w:rsidR="00C31D97">
        <w:rPr>
          <w:sz w:val="23"/>
          <w:szCs w:val="23"/>
        </w:rPr>
        <w:t xml:space="preserve"> nacional </w:t>
      </w:r>
      <w:r w:rsidRPr="00D77A84">
        <w:rPr>
          <w:sz w:val="23"/>
          <w:szCs w:val="23"/>
        </w:rPr>
        <w:t xml:space="preserve">que corresponde al sostenimiento de las actividades ordinarias permanentes de los partidos políticos, se obtiene la cantidad de </w:t>
      </w:r>
      <w:r w:rsidRPr="00D77A84">
        <w:rPr>
          <w:b/>
          <w:bCs/>
          <w:sz w:val="23"/>
          <w:szCs w:val="23"/>
        </w:rPr>
        <w:t>$2’427,525.44 (dos millones cuatrocientos veintisiete mil quinientos veinticinco pesos 44/100 m. n.)</w:t>
      </w:r>
      <w:r>
        <w:rPr>
          <w:sz w:val="23"/>
          <w:szCs w:val="23"/>
        </w:rPr>
        <w:t xml:space="preserve"> </w:t>
      </w:r>
      <w:r w:rsidRPr="00D77A84">
        <w:rPr>
          <w:sz w:val="23"/>
          <w:szCs w:val="23"/>
        </w:rPr>
        <w:t xml:space="preserve">siendo el caso que el </w:t>
      </w:r>
      <w:r w:rsidR="000F547D">
        <w:rPr>
          <w:sz w:val="23"/>
          <w:szCs w:val="23"/>
        </w:rPr>
        <w:t>50% (</w:t>
      </w:r>
      <w:r>
        <w:rPr>
          <w:sz w:val="23"/>
          <w:szCs w:val="23"/>
        </w:rPr>
        <w:t>cincuenta por ciento</w:t>
      </w:r>
      <w:r w:rsidR="00A94C28">
        <w:rPr>
          <w:sz w:val="23"/>
          <w:szCs w:val="23"/>
        </w:rPr>
        <w:t>)</w:t>
      </w:r>
      <w:r w:rsidR="00A94C28" w:rsidRPr="00D77A84">
        <w:rPr>
          <w:sz w:val="23"/>
          <w:szCs w:val="23"/>
        </w:rPr>
        <w:t xml:space="preserve"> </w:t>
      </w:r>
      <w:r w:rsidRPr="00D77A84">
        <w:rPr>
          <w:sz w:val="23"/>
          <w:szCs w:val="23"/>
        </w:rPr>
        <w:t xml:space="preserve">de éste último monto </w:t>
      </w:r>
      <w:r w:rsidR="002915C1">
        <w:rPr>
          <w:sz w:val="23"/>
          <w:szCs w:val="23"/>
        </w:rPr>
        <w:t>resulta en la cantidad de</w:t>
      </w:r>
      <w:r>
        <w:rPr>
          <w:sz w:val="23"/>
          <w:szCs w:val="23"/>
        </w:rPr>
        <w:t xml:space="preserve"> </w:t>
      </w:r>
      <w:r w:rsidRPr="00D77A84">
        <w:rPr>
          <w:b/>
          <w:bCs/>
          <w:sz w:val="23"/>
          <w:szCs w:val="23"/>
        </w:rPr>
        <w:t>$1’213,762.72 (un millón doscientos trece mil setecientos sesenta y dos pesos 72/100 m. n.)</w:t>
      </w:r>
      <w:r w:rsidRPr="00D77A84">
        <w:rPr>
          <w:sz w:val="23"/>
          <w:szCs w:val="23"/>
        </w:rPr>
        <w:t xml:space="preserve"> que es la que correspondería a un partido político de nuevo registro como financiamiento público para gastos de campaña.</w:t>
      </w:r>
    </w:p>
    <w:p w14:paraId="09797BF6" w14:textId="47F9B7BC" w:rsidR="00CB3FFC" w:rsidRDefault="00D77A84" w:rsidP="00D77A84">
      <w:pPr>
        <w:rPr>
          <w:sz w:val="23"/>
          <w:szCs w:val="23"/>
        </w:rPr>
      </w:pPr>
      <w:r w:rsidRPr="00D77A84">
        <w:rPr>
          <w:sz w:val="23"/>
          <w:szCs w:val="23"/>
        </w:rPr>
        <w:lastRenderedPageBreak/>
        <w:t xml:space="preserve">Por lo tanto, la cantidad </w:t>
      </w:r>
      <w:r w:rsidR="00541332">
        <w:rPr>
          <w:sz w:val="23"/>
          <w:szCs w:val="23"/>
        </w:rPr>
        <w:t>para</w:t>
      </w:r>
      <w:r w:rsidRPr="00D77A84">
        <w:rPr>
          <w:sz w:val="23"/>
          <w:szCs w:val="23"/>
        </w:rPr>
        <w:t xml:space="preserve"> </w:t>
      </w:r>
      <w:r w:rsidR="00541332">
        <w:rPr>
          <w:sz w:val="23"/>
          <w:szCs w:val="23"/>
        </w:rPr>
        <w:t>e</w:t>
      </w:r>
      <w:r w:rsidRPr="00D77A84">
        <w:rPr>
          <w:sz w:val="23"/>
          <w:szCs w:val="23"/>
        </w:rPr>
        <w:t xml:space="preserve">l conjunto de candidaturas independientes </w:t>
      </w:r>
      <w:r w:rsidR="001F028D">
        <w:rPr>
          <w:sz w:val="23"/>
          <w:szCs w:val="23"/>
        </w:rPr>
        <w:t xml:space="preserve">que corresponde </w:t>
      </w:r>
      <w:r w:rsidRPr="00D77A84">
        <w:rPr>
          <w:sz w:val="23"/>
          <w:szCs w:val="23"/>
        </w:rPr>
        <w:t xml:space="preserve">por concepto de financiamiento público para gastos de campaña en el </w:t>
      </w:r>
      <w:r>
        <w:rPr>
          <w:sz w:val="23"/>
          <w:szCs w:val="23"/>
        </w:rPr>
        <w:t>ejercicio 2024</w:t>
      </w:r>
      <w:r w:rsidRPr="00D77A84">
        <w:rPr>
          <w:sz w:val="23"/>
          <w:szCs w:val="23"/>
        </w:rPr>
        <w:t xml:space="preserve"> es </w:t>
      </w:r>
      <w:r>
        <w:rPr>
          <w:sz w:val="23"/>
          <w:szCs w:val="23"/>
        </w:rPr>
        <w:t xml:space="preserve">de </w:t>
      </w:r>
      <w:r w:rsidRPr="00D77A84">
        <w:rPr>
          <w:b/>
          <w:bCs/>
          <w:sz w:val="23"/>
          <w:szCs w:val="23"/>
        </w:rPr>
        <w:t>$1’213,762.72 (un millón doscientos trece mil setecientos sesenta y dos pesos 72/100 m. n.)</w:t>
      </w:r>
      <w:r w:rsidRPr="00D77A84">
        <w:rPr>
          <w:sz w:val="23"/>
          <w:szCs w:val="23"/>
        </w:rPr>
        <w:t xml:space="preserve"> que será distribuid</w:t>
      </w:r>
      <w:r w:rsidR="00DD67A3">
        <w:rPr>
          <w:sz w:val="23"/>
          <w:szCs w:val="23"/>
        </w:rPr>
        <w:t>a</w:t>
      </w:r>
      <w:r w:rsidRPr="00D77A84">
        <w:rPr>
          <w:sz w:val="23"/>
          <w:szCs w:val="23"/>
        </w:rPr>
        <w:t xml:space="preserve"> de conformidad con lo señalado en el artículo 320 de la Ley Electoral y </w:t>
      </w:r>
      <w:r w:rsidR="000E241F" w:rsidRPr="00D77A84">
        <w:rPr>
          <w:sz w:val="23"/>
          <w:szCs w:val="23"/>
        </w:rPr>
        <w:t xml:space="preserve">de acuerdo </w:t>
      </w:r>
      <w:r w:rsidR="000E241F">
        <w:rPr>
          <w:sz w:val="23"/>
          <w:szCs w:val="23"/>
        </w:rPr>
        <w:t>con el</w:t>
      </w:r>
      <w:r w:rsidRPr="00D77A84">
        <w:rPr>
          <w:sz w:val="23"/>
          <w:szCs w:val="23"/>
        </w:rPr>
        <w:t xml:space="preserve"> número de </w:t>
      </w:r>
      <w:r>
        <w:rPr>
          <w:sz w:val="23"/>
          <w:szCs w:val="23"/>
        </w:rPr>
        <w:t>candidatas o candidatos i</w:t>
      </w:r>
      <w:r w:rsidRPr="00D77A84">
        <w:rPr>
          <w:sz w:val="23"/>
          <w:szCs w:val="23"/>
        </w:rPr>
        <w:t>ndependientes que obtengan su registro</w:t>
      </w:r>
      <w:r>
        <w:rPr>
          <w:sz w:val="23"/>
          <w:szCs w:val="23"/>
        </w:rPr>
        <w:t>.</w:t>
      </w:r>
    </w:p>
    <w:p w14:paraId="126C896A" w14:textId="340ADF34" w:rsidR="00392B0E" w:rsidRDefault="00392B0E" w:rsidP="00392B0E">
      <w:pPr>
        <w:rPr>
          <w:sz w:val="23"/>
          <w:szCs w:val="23"/>
        </w:rPr>
      </w:pPr>
      <w:r>
        <w:rPr>
          <w:sz w:val="23"/>
          <w:szCs w:val="23"/>
        </w:rPr>
        <w:t xml:space="preserve">Finalmente, es relevante señalar que, conforme a las disposiciones señaladas, se advierte que la Constitución local establece dos modalidades de financiamiento. Por un lado, la asignación a partidos políticos locales conforme a las reglas y criterios que establece la Ley de Partidos; y, por otro, la asignación de financiamiento público a partidos políticos nacionales de acuerdo </w:t>
      </w:r>
      <w:r w:rsidR="00804548">
        <w:rPr>
          <w:sz w:val="23"/>
          <w:szCs w:val="23"/>
        </w:rPr>
        <w:t>con</w:t>
      </w:r>
      <w:r>
        <w:rPr>
          <w:sz w:val="23"/>
          <w:szCs w:val="23"/>
        </w:rPr>
        <w:t xml:space="preserve"> la regulación contenida en la propia disposición constitucional y el artículo 72 de la Ley Electoral.</w:t>
      </w:r>
      <w:r w:rsidR="00CC57CD">
        <w:rPr>
          <w:sz w:val="23"/>
          <w:szCs w:val="23"/>
        </w:rPr>
        <w:t xml:space="preserve"> </w:t>
      </w:r>
      <w:r>
        <w:rPr>
          <w:sz w:val="23"/>
          <w:szCs w:val="23"/>
        </w:rPr>
        <w:t xml:space="preserve">Es por lo que, en consideración de este órgano electoral, la aplicación del porcentaje que establece la Ley de </w:t>
      </w:r>
      <w:r w:rsidR="00804548">
        <w:rPr>
          <w:sz w:val="23"/>
          <w:szCs w:val="23"/>
        </w:rPr>
        <w:t>Partidos</w:t>
      </w:r>
      <w:r>
        <w:rPr>
          <w:sz w:val="23"/>
          <w:szCs w:val="23"/>
        </w:rPr>
        <w:t xml:space="preserve"> constituye una medida que, además de estar prevista en la Constitución local, favorece la participación de la ciudadanía a través de su postulación en las candidaturas indepen</w:t>
      </w:r>
      <w:r w:rsidR="00A66376">
        <w:rPr>
          <w:sz w:val="23"/>
          <w:szCs w:val="23"/>
        </w:rPr>
        <w:t>dientes.</w:t>
      </w:r>
    </w:p>
    <w:p w14:paraId="793C52D7" w14:textId="7A54C6BA" w:rsidR="00A10EAE" w:rsidRDefault="00A10EAE" w:rsidP="001A7FAD">
      <w:pPr>
        <w:pStyle w:val="Ttulo2"/>
      </w:pPr>
      <w:r>
        <w:t xml:space="preserve">Monto total </w:t>
      </w:r>
      <w:r w:rsidR="00D80AFF">
        <w:t xml:space="preserve">de </w:t>
      </w:r>
      <w:r>
        <w:t>financiamiento público</w:t>
      </w:r>
      <w:r w:rsidR="00027ADB">
        <w:t xml:space="preserve"> local</w:t>
      </w:r>
    </w:p>
    <w:p w14:paraId="70D869A1" w14:textId="2E27671D" w:rsidR="00496FC1" w:rsidRDefault="00BF2420" w:rsidP="00925537">
      <w:pPr>
        <w:rPr>
          <w:sz w:val="23"/>
          <w:szCs w:val="23"/>
        </w:rPr>
      </w:pPr>
      <w:r>
        <w:rPr>
          <w:sz w:val="23"/>
          <w:szCs w:val="23"/>
        </w:rPr>
        <w:t>Que, c</w:t>
      </w:r>
      <w:r w:rsidR="00496FC1" w:rsidRPr="00CF2001">
        <w:rPr>
          <w:sz w:val="23"/>
          <w:szCs w:val="23"/>
        </w:rPr>
        <w:t xml:space="preserve">onforme a las operaciones aritméticas realizadas, </w:t>
      </w:r>
      <w:r w:rsidR="00925537">
        <w:rPr>
          <w:sz w:val="23"/>
          <w:szCs w:val="23"/>
        </w:rPr>
        <w:t xml:space="preserve">el </w:t>
      </w:r>
      <w:r w:rsidR="00925537" w:rsidRPr="00925537">
        <w:rPr>
          <w:sz w:val="23"/>
          <w:szCs w:val="23"/>
        </w:rPr>
        <w:t xml:space="preserve">monto de financiamiento público para el sostenimiento de actividades ordinarias permanentes y específicas de los partidos políticos para el ejercicio 2024 y para gastos de campaña de los partidos políticos y candidaturas independientes para el </w:t>
      </w:r>
      <w:r w:rsidR="00A03FB9">
        <w:rPr>
          <w:sz w:val="23"/>
          <w:szCs w:val="23"/>
        </w:rPr>
        <w:t xml:space="preserve">próximo </w:t>
      </w:r>
      <w:r w:rsidR="00925537" w:rsidRPr="00925537">
        <w:rPr>
          <w:sz w:val="23"/>
          <w:szCs w:val="23"/>
        </w:rPr>
        <w:t>Proceso Electoral Local Ordinario 2023 – 2024</w:t>
      </w:r>
      <w:r w:rsidR="00925537">
        <w:rPr>
          <w:sz w:val="23"/>
          <w:szCs w:val="23"/>
        </w:rPr>
        <w:t xml:space="preserve"> </w:t>
      </w:r>
      <w:r w:rsidR="00496FC1" w:rsidRPr="00CF2001">
        <w:rPr>
          <w:sz w:val="23"/>
          <w:szCs w:val="23"/>
        </w:rPr>
        <w:t>e</w:t>
      </w:r>
      <w:r w:rsidR="00925537">
        <w:rPr>
          <w:sz w:val="23"/>
          <w:szCs w:val="23"/>
        </w:rPr>
        <w:t>n conjunto</w:t>
      </w:r>
      <w:r w:rsidR="00F66FDD">
        <w:rPr>
          <w:sz w:val="23"/>
          <w:szCs w:val="23"/>
        </w:rPr>
        <w:t>,</w:t>
      </w:r>
      <w:r w:rsidR="00925537">
        <w:rPr>
          <w:sz w:val="23"/>
          <w:szCs w:val="23"/>
        </w:rPr>
        <w:t xml:space="preserve"> es por la cantidad</w:t>
      </w:r>
      <w:r w:rsidR="00496FC1" w:rsidRPr="00CF2001">
        <w:rPr>
          <w:sz w:val="23"/>
          <w:szCs w:val="23"/>
        </w:rPr>
        <w:t xml:space="preserve"> de </w:t>
      </w:r>
      <w:r w:rsidR="00496FC1" w:rsidRPr="00B65DE5">
        <w:rPr>
          <w:b/>
          <w:bCs/>
          <w:sz w:val="23"/>
          <w:szCs w:val="23"/>
        </w:rPr>
        <w:t>$</w:t>
      </w:r>
      <w:r w:rsidR="00D80AFF">
        <w:rPr>
          <w:b/>
          <w:bCs/>
          <w:sz w:val="23"/>
          <w:szCs w:val="23"/>
        </w:rPr>
        <w:t>94’</w:t>
      </w:r>
      <w:r w:rsidR="000125A5" w:rsidRPr="00B65DE5">
        <w:rPr>
          <w:b/>
          <w:bCs/>
          <w:sz w:val="23"/>
          <w:szCs w:val="23"/>
        </w:rPr>
        <w:t xml:space="preserve">066,610.81 (noventa y cuatro millones sesenta y seis mil seiscientos diez pesos 81/100 m. </w:t>
      </w:r>
      <w:r w:rsidR="00496FC1" w:rsidRPr="00B65DE5">
        <w:rPr>
          <w:b/>
          <w:bCs/>
          <w:sz w:val="23"/>
          <w:szCs w:val="23"/>
        </w:rPr>
        <w:t>n.)</w:t>
      </w:r>
      <w:r w:rsidR="00496FC1" w:rsidRPr="00B65DE5">
        <w:rPr>
          <w:sz w:val="23"/>
          <w:szCs w:val="23"/>
        </w:rPr>
        <w:t xml:space="preserve"> </w:t>
      </w:r>
      <w:r w:rsidR="00496FC1" w:rsidRPr="00CF2001">
        <w:rPr>
          <w:sz w:val="23"/>
          <w:szCs w:val="23"/>
        </w:rPr>
        <w:t xml:space="preserve">que se integra </w:t>
      </w:r>
      <w:r w:rsidR="00E5305E">
        <w:rPr>
          <w:sz w:val="23"/>
          <w:szCs w:val="23"/>
        </w:rPr>
        <w:t>de acuerdo con lo siguiente</w:t>
      </w:r>
      <w:r w:rsidR="00496FC1" w:rsidRPr="00CF2001">
        <w:rPr>
          <w:sz w:val="23"/>
          <w:szCs w:val="23"/>
        </w:rPr>
        <w:t>:</w:t>
      </w:r>
    </w:p>
    <w:tbl>
      <w:tblPr>
        <w:tblStyle w:val="Tablaconcuadrcula"/>
        <w:tblW w:w="0" w:type="auto"/>
        <w:jc w:val="center"/>
        <w:tblLook w:val="04A0" w:firstRow="1" w:lastRow="0" w:firstColumn="1" w:lastColumn="0" w:noHBand="0" w:noVBand="1"/>
      </w:tblPr>
      <w:tblGrid>
        <w:gridCol w:w="4957"/>
        <w:gridCol w:w="2600"/>
      </w:tblGrid>
      <w:tr w:rsidR="00A12812" w:rsidRPr="002738BA" w14:paraId="4B7B2FB1" w14:textId="77777777" w:rsidTr="000125A5">
        <w:trPr>
          <w:jc w:val="center"/>
        </w:trPr>
        <w:tc>
          <w:tcPr>
            <w:tcW w:w="4957" w:type="dxa"/>
            <w:shd w:val="clear" w:color="auto" w:fill="993366"/>
          </w:tcPr>
          <w:p w14:paraId="5B067B6C" w14:textId="0BE0BFAA" w:rsidR="00A12812" w:rsidRPr="005A34E5" w:rsidRDefault="00A12812" w:rsidP="00A51C99">
            <w:pPr>
              <w:spacing w:before="60" w:after="60"/>
              <w:jc w:val="center"/>
              <w:rPr>
                <w:b/>
                <w:bCs/>
                <w:color w:val="FFFFFF" w:themeColor="background1"/>
                <w:sz w:val="18"/>
                <w:szCs w:val="18"/>
              </w:rPr>
            </w:pPr>
            <w:r w:rsidRPr="005A34E5">
              <w:rPr>
                <w:b/>
                <w:bCs/>
                <w:color w:val="FFFFFF" w:themeColor="background1"/>
                <w:sz w:val="18"/>
                <w:szCs w:val="18"/>
              </w:rPr>
              <w:t>Financiamiento público local</w:t>
            </w:r>
          </w:p>
        </w:tc>
        <w:tc>
          <w:tcPr>
            <w:tcW w:w="2600" w:type="dxa"/>
            <w:shd w:val="clear" w:color="auto" w:fill="993366"/>
          </w:tcPr>
          <w:p w14:paraId="22B9C304" w14:textId="6909FED9" w:rsidR="00A12812" w:rsidRPr="005A34E5" w:rsidRDefault="00A12812" w:rsidP="00A51C99">
            <w:pPr>
              <w:spacing w:before="60" w:after="60"/>
              <w:jc w:val="center"/>
              <w:rPr>
                <w:b/>
                <w:bCs/>
                <w:color w:val="FFFFFF" w:themeColor="background1"/>
                <w:sz w:val="18"/>
                <w:szCs w:val="18"/>
              </w:rPr>
            </w:pPr>
            <w:r w:rsidRPr="005A34E5">
              <w:rPr>
                <w:b/>
                <w:bCs/>
                <w:color w:val="FFFFFF" w:themeColor="background1"/>
                <w:sz w:val="18"/>
                <w:szCs w:val="18"/>
              </w:rPr>
              <w:t>Importe</w:t>
            </w:r>
          </w:p>
        </w:tc>
      </w:tr>
      <w:tr w:rsidR="00A12812" w:rsidRPr="002738BA" w14:paraId="7D6E8EA6" w14:textId="77777777" w:rsidTr="000125A5">
        <w:trPr>
          <w:jc w:val="center"/>
        </w:trPr>
        <w:tc>
          <w:tcPr>
            <w:tcW w:w="4957" w:type="dxa"/>
          </w:tcPr>
          <w:p w14:paraId="11F920A7" w14:textId="23844832" w:rsidR="00A12812" w:rsidRPr="005A34E5" w:rsidRDefault="00A12812" w:rsidP="00A51C99">
            <w:pPr>
              <w:spacing w:before="60" w:after="60"/>
              <w:rPr>
                <w:b/>
                <w:bCs/>
                <w:sz w:val="18"/>
                <w:szCs w:val="18"/>
              </w:rPr>
            </w:pPr>
            <w:r w:rsidRPr="005A34E5">
              <w:rPr>
                <w:b/>
                <w:bCs/>
                <w:sz w:val="18"/>
                <w:szCs w:val="18"/>
              </w:rPr>
              <w:t>Para actividades ordinarias</w:t>
            </w:r>
          </w:p>
        </w:tc>
        <w:tc>
          <w:tcPr>
            <w:tcW w:w="2600" w:type="dxa"/>
          </w:tcPr>
          <w:p w14:paraId="1D666CF4" w14:textId="42DCF8E5" w:rsidR="00A12812" w:rsidRPr="005A34E5" w:rsidRDefault="00690639" w:rsidP="00690639">
            <w:pPr>
              <w:spacing w:before="60" w:after="60"/>
              <w:jc w:val="right"/>
              <w:rPr>
                <w:b/>
                <w:bCs/>
                <w:sz w:val="18"/>
                <w:szCs w:val="18"/>
              </w:rPr>
            </w:pPr>
            <w:r w:rsidRPr="005A34E5">
              <w:rPr>
                <w:b/>
                <w:bCs/>
                <w:sz w:val="18"/>
                <w:szCs w:val="18"/>
              </w:rPr>
              <w:t>$60’688,136.01</w:t>
            </w:r>
          </w:p>
        </w:tc>
      </w:tr>
      <w:tr w:rsidR="00A12812" w:rsidRPr="002738BA" w14:paraId="39353A03" w14:textId="77777777" w:rsidTr="000125A5">
        <w:trPr>
          <w:jc w:val="center"/>
        </w:trPr>
        <w:tc>
          <w:tcPr>
            <w:tcW w:w="4957" w:type="dxa"/>
            <w:tcBorders>
              <w:bottom w:val="single" w:sz="4" w:space="0" w:color="auto"/>
            </w:tcBorders>
          </w:tcPr>
          <w:p w14:paraId="3778D084" w14:textId="627EA316" w:rsidR="00A12812" w:rsidRPr="005A34E5" w:rsidRDefault="00A12812" w:rsidP="00A51C99">
            <w:pPr>
              <w:spacing w:before="60" w:after="60"/>
              <w:rPr>
                <w:b/>
                <w:bCs/>
                <w:sz w:val="18"/>
                <w:szCs w:val="18"/>
              </w:rPr>
            </w:pPr>
            <w:r w:rsidRPr="005A34E5">
              <w:rPr>
                <w:b/>
                <w:bCs/>
                <w:sz w:val="18"/>
                <w:szCs w:val="18"/>
              </w:rPr>
              <w:t>Para actividades específicas</w:t>
            </w:r>
          </w:p>
        </w:tc>
        <w:tc>
          <w:tcPr>
            <w:tcW w:w="2600" w:type="dxa"/>
          </w:tcPr>
          <w:p w14:paraId="30E41638" w14:textId="530915E5" w:rsidR="00A12812" w:rsidRPr="005A34E5" w:rsidRDefault="007515D8" w:rsidP="007515D8">
            <w:pPr>
              <w:spacing w:before="60" w:after="60"/>
              <w:jc w:val="right"/>
              <w:rPr>
                <w:b/>
                <w:bCs/>
                <w:sz w:val="18"/>
                <w:szCs w:val="18"/>
              </w:rPr>
            </w:pPr>
            <w:r w:rsidRPr="005A34E5">
              <w:rPr>
                <w:b/>
                <w:bCs/>
                <w:sz w:val="18"/>
                <w:szCs w:val="18"/>
              </w:rPr>
              <w:t>$1’820,644.08</w:t>
            </w:r>
          </w:p>
        </w:tc>
      </w:tr>
      <w:tr w:rsidR="00A12812" w:rsidRPr="002738BA" w14:paraId="6B65B8E1" w14:textId="77777777" w:rsidTr="000125A5">
        <w:trPr>
          <w:jc w:val="center"/>
        </w:trPr>
        <w:tc>
          <w:tcPr>
            <w:tcW w:w="4957" w:type="dxa"/>
            <w:tcBorders>
              <w:bottom w:val="single" w:sz="4" w:space="0" w:color="auto"/>
            </w:tcBorders>
          </w:tcPr>
          <w:p w14:paraId="35F24849" w14:textId="11866234" w:rsidR="00A12812" w:rsidRPr="005A34E5" w:rsidRDefault="00A12812" w:rsidP="00A51C99">
            <w:pPr>
              <w:spacing w:before="60" w:after="60"/>
              <w:rPr>
                <w:b/>
                <w:bCs/>
                <w:sz w:val="18"/>
                <w:szCs w:val="18"/>
              </w:rPr>
            </w:pPr>
            <w:r w:rsidRPr="005A34E5">
              <w:rPr>
                <w:b/>
                <w:bCs/>
                <w:sz w:val="18"/>
                <w:szCs w:val="18"/>
              </w:rPr>
              <w:t>Para la obtención del voto (gastos de campaña)</w:t>
            </w:r>
          </w:p>
        </w:tc>
        <w:tc>
          <w:tcPr>
            <w:tcW w:w="2600" w:type="dxa"/>
            <w:tcBorders>
              <w:bottom w:val="single" w:sz="4" w:space="0" w:color="auto"/>
            </w:tcBorders>
          </w:tcPr>
          <w:p w14:paraId="2ACBE6E5" w14:textId="3423935A" w:rsidR="00A12812" w:rsidRPr="005A34E5" w:rsidRDefault="00690639" w:rsidP="00690639">
            <w:pPr>
              <w:spacing w:before="60" w:after="60"/>
              <w:jc w:val="right"/>
              <w:rPr>
                <w:b/>
                <w:bCs/>
                <w:sz w:val="18"/>
                <w:szCs w:val="18"/>
              </w:rPr>
            </w:pPr>
            <w:r w:rsidRPr="005A34E5">
              <w:rPr>
                <w:b/>
                <w:bCs/>
                <w:sz w:val="18"/>
                <w:szCs w:val="18"/>
              </w:rPr>
              <w:t>$30’344,068.00</w:t>
            </w:r>
          </w:p>
        </w:tc>
      </w:tr>
      <w:tr w:rsidR="00210302" w:rsidRPr="002738BA" w14:paraId="5F3B855B" w14:textId="77777777" w:rsidTr="000125A5">
        <w:trPr>
          <w:jc w:val="center"/>
        </w:trPr>
        <w:tc>
          <w:tcPr>
            <w:tcW w:w="4957" w:type="dxa"/>
            <w:tcBorders>
              <w:top w:val="single" w:sz="4" w:space="0" w:color="auto"/>
              <w:left w:val="single" w:sz="4" w:space="0" w:color="auto"/>
              <w:bottom w:val="single" w:sz="4" w:space="0" w:color="auto"/>
              <w:right w:val="single" w:sz="4" w:space="0" w:color="auto"/>
            </w:tcBorders>
          </w:tcPr>
          <w:p w14:paraId="7B1EAC3D" w14:textId="6497EBD3" w:rsidR="00210302" w:rsidRPr="005A34E5" w:rsidRDefault="00210302" w:rsidP="00A51C99">
            <w:pPr>
              <w:spacing w:before="60" w:after="60"/>
              <w:rPr>
                <w:b/>
                <w:bCs/>
                <w:sz w:val="18"/>
                <w:szCs w:val="18"/>
              </w:rPr>
            </w:pPr>
            <w:r w:rsidRPr="005A34E5">
              <w:rPr>
                <w:b/>
                <w:bCs/>
                <w:sz w:val="18"/>
                <w:szCs w:val="18"/>
              </w:rPr>
              <w:t>Para candidaturas independientes</w:t>
            </w:r>
          </w:p>
        </w:tc>
        <w:tc>
          <w:tcPr>
            <w:tcW w:w="2600" w:type="dxa"/>
            <w:tcBorders>
              <w:left w:val="single" w:sz="4" w:space="0" w:color="auto"/>
            </w:tcBorders>
          </w:tcPr>
          <w:p w14:paraId="62C29E30" w14:textId="7099F16F" w:rsidR="00210302" w:rsidRPr="005A34E5" w:rsidRDefault="007515D8" w:rsidP="007515D8">
            <w:pPr>
              <w:spacing w:before="60" w:after="60"/>
              <w:jc w:val="right"/>
              <w:rPr>
                <w:b/>
                <w:bCs/>
                <w:sz w:val="18"/>
                <w:szCs w:val="18"/>
              </w:rPr>
            </w:pPr>
            <w:r w:rsidRPr="005A34E5">
              <w:rPr>
                <w:b/>
                <w:bCs/>
                <w:sz w:val="18"/>
                <w:szCs w:val="18"/>
              </w:rPr>
              <w:t>$1’213,762.72</w:t>
            </w:r>
          </w:p>
        </w:tc>
      </w:tr>
      <w:tr w:rsidR="00212817" w:rsidRPr="002738BA" w14:paraId="0497A035" w14:textId="77777777" w:rsidTr="000125A5">
        <w:trPr>
          <w:jc w:val="center"/>
        </w:trPr>
        <w:tc>
          <w:tcPr>
            <w:tcW w:w="4957" w:type="dxa"/>
            <w:tcBorders>
              <w:top w:val="single" w:sz="4" w:space="0" w:color="auto"/>
              <w:left w:val="nil"/>
              <w:bottom w:val="nil"/>
              <w:right w:val="single" w:sz="4" w:space="0" w:color="auto"/>
            </w:tcBorders>
          </w:tcPr>
          <w:p w14:paraId="22621D05" w14:textId="47964190" w:rsidR="00212817" w:rsidRPr="005A34E5" w:rsidRDefault="00212817" w:rsidP="00A51C99">
            <w:pPr>
              <w:spacing w:before="60" w:after="60"/>
              <w:jc w:val="right"/>
              <w:rPr>
                <w:b/>
                <w:bCs/>
                <w:sz w:val="20"/>
                <w:szCs w:val="20"/>
              </w:rPr>
            </w:pPr>
            <w:r w:rsidRPr="005A34E5">
              <w:rPr>
                <w:b/>
                <w:bCs/>
                <w:sz w:val="20"/>
                <w:szCs w:val="20"/>
              </w:rPr>
              <w:t>Total</w:t>
            </w:r>
          </w:p>
        </w:tc>
        <w:tc>
          <w:tcPr>
            <w:tcW w:w="2600" w:type="dxa"/>
            <w:tcBorders>
              <w:left w:val="single" w:sz="4" w:space="0" w:color="auto"/>
            </w:tcBorders>
          </w:tcPr>
          <w:p w14:paraId="29001E50" w14:textId="53FE57FC" w:rsidR="00212817" w:rsidRPr="005A34E5" w:rsidRDefault="000125A5" w:rsidP="000125A5">
            <w:pPr>
              <w:spacing w:before="60" w:after="60"/>
              <w:jc w:val="right"/>
              <w:rPr>
                <w:b/>
                <w:bCs/>
                <w:sz w:val="18"/>
                <w:szCs w:val="18"/>
              </w:rPr>
            </w:pPr>
            <w:r w:rsidRPr="005A34E5">
              <w:rPr>
                <w:b/>
                <w:bCs/>
                <w:sz w:val="18"/>
                <w:szCs w:val="18"/>
              </w:rPr>
              <w:t>$94</w:t>
            </w:r>
            <w:r w:rsidR="00923EA2" w:rsidRPr="005A34E5">
              <w:rPr>
                <w:b/>
                <w:bCs/>
                <w:sz w:val="18"/>
                <w:szCs w:val="18"/>
              </w:rPr>
              <w:t>’</w:t>
            </w:r>
            <w:r w:rsidRPr="005A34E5">
              <w:rPr>
                <w:b/>
                <w:bCs/>
                <w:sz w:val="18"/>
                <w:szCs w:val="18"/>
              </w:rPr>
              <w:t>066,610.81</w:t>
            </w:r>
          </w:p>
        </w:tc>
      </w:tr>
    </w:tbl>
    <w:p w14:paraId="3DB2F6D0" w14:textId="77777777" w:rsidR="00740B50" w:rsidRPr="00CF2001" w:rsidRDefault="00740B50" w:rsidP="00164F4D">
      <w:pPr>
        <w:rPr>
          <w:sz w:val="23"/>
          <w:szCs w:val="23"/>
        </w:rPr>
      </w:pPr>
      <w:r w:rsidRPr="00CF2001">
        <w:rPr>
          <w:sz w:val="23"/>
          <w:szCs w:val="23"/>
        </w:rPr>
        <w:lastRenderedPageBreak/>
        <w:t>Sobre la base de las consideraciones señaladas, este Consejo Estatal emite el siguiente:</w:t>
      </w:r>
    </w:p>
    <w:p w14:paraId="0E0800B0" w14:textId="49C7A5C4" w:rsidR="005A34E5" w:rsidRPr="005A34E5" w:rsidRDefault="00740B50" w:rsidP="005A34E5">
      <w:pPr>
        <w:pStyle w:val="Ttulo1"/>
        <w:rPr>
          <w:sz w:val="24"/>
          <w:szCs w:val="24"/>
        </w:rPr>
      </w:pPr>
      <w:r w:rsidRPr="00D367B3">
        <w:rPr>
          <w:sz w:val="24"/>
          <w:szCs w:val="24"/>
        </w:rPr>
        <w:t>Acuerdo</w:t>
      </w:r>
    </w:p>
    <w:p w14:paraId="7778941C" w14:textId="21F4B2AC" w:rsidR="002B6D82" w:rsidRDefault="00306BF5" w:rsidP="005A34E5">
      <w:pPr>
        <w:pStyle w:val="Puntos"/>
        <w:spacing w:after="0" w:line="300" w:lineRule="auto"/>
        <w:ind w:left="0"/>
        <w:rPr>
          <w:bCs/>
          <w:sz w:val="23"/>
          <w:szCs w:val="23"/>
        </w:rPr>
      </w:pPr>
      <w:r w:rsidRPr="00CF2001">
        <w:rPr>
          <w:b/>
          <w:sz w:val="23"/>
          <w:szCs w:val="23"/>
        </w:rPr>
        <w:t xml:space="preserve">Primero. </w:t>
      </w:r>
      <w:r w:rsidRPr="00CF2001">
        <w:rPr>
          <w:bCs/>
          <w:sz w:val="23"/>
          <w:szCs w:val="23"/>
        </w:rPr>
        <w:t>Se aprueba</w:t>
      </w:r>
      <w:r w:rsidR="0065088F" w:rsidRPr="00CF2001">
        <w:rPr>
          <w:bCs/>
          <w:sz w:val="23"/>
          <w:szCs w:val="23"/>
        </w:rPr>
        <w:t xml:space="preserve"> la cantidad de </w:t>
      </w:r>
      <w:r w:rsidR="00923EA2" w:rsidRPr="00B65DE5">
        <w:rPr>
          <w:b/>
          <w:bCs/>
          <w:sz w:val="23"/>
          <w:szCs w:val="23"/>
        </w:rPr>
        <w:t>$94</w:t>
      </w:r>
      <w:r w:rsidR="00404409">
        <w:rPr>
          <w:b/>
          <w:bCs/>
          <w:sz w:val="23"/>
          <w:szCs w:val="23"/>
        </w:rPr>
        <w:t>’</w:t>
      </w:r>
      <w:r w:rsidR="00923EA2" w:rsidRPr="00B65DE5">
        <w:rPr>
          <w:b/>
          <w:bCs/>
          <w:sz w:val="23"/>
          <w:szCs w:val="23"/>
        </w:rPr>
        <w:t>066,610.81 (noventa y cuatro millones sesenta y seis mil seiscientos diez pesos 81/100 m. n.)</w:t>
      </w:r>
      <w:r w:rsidR="00923EA2" w:rsidRPr="00B65DE5">
        <w:rPr>
          <w:sz w:val="23"/>
          <w:szCs w:val="23"/>
        </w:rPr>
        <w:t xml:space="preserve"> </w:t>
      </w:r>
      <w:r w:rsidR="0065088F" w:rsidRPr="00CF2001">
        <w:rPr>
          <w:bCs/>
          <w:sz w:val="23"/>
          <w:szCs w:val="23"/>
        </w:rPr>
        <w:t xml:space="preserve">por concepto de financiamiento público local para el sostenimiento de actividades ordinarias permanentes y específicas para el ejercicio 2024 y gastos de campaña </w:t>
      </w:r>
      <w:r w:rsidR="00735C64" w:rsidRPr="00CF2001">
        <w:rPr>
          <w:bCs/>
          <w:sz w:val="23"/>
          <w:szCs w:val="23"/>
        </w:rPr>
        <w:t xml:space="preserve">que corresponden a </w:t>
      </w:r>
      <w:r w:rsidR="0065088F" w:rsidRPr="00CF2001">
        <w:rPr>
          <w:bCs/>
          <w:sz w:val="23"/>
          <w:szCs w:val="23"/>
        </w:rPr>
        <w:t xml:space="preserve">los partidos políticos </w:t>
      </w:r>
      <w:r w:rsidR="00735C64" w:rsidRPr="00CF2001">
        <w:rPr>
          <w:bCs/>
          <w:sz w:val="23"/>
          <w:szCs w:val="23"/>
        </w:rPr>
        <w:t xml:space="preserve">nacionales y en su caso a las </w:t>
      </w:r>
      <w:r w:rsidR="0065088F" w:rsidRPr="00CF2001">
        <w:rPr>
          <w:bCs/>
          <w:sz w:val="23"/>
          <w:szCs w:val="23"/>
        </w:rPr>
        <w:t xml:space="preserve">candidaturas independientes </w:t>
      </w:r>
      <w:r w:rsidR="00735C64" w:rsidRPr="00CF2001">
        <w:rPr>
          <w:bCs/>
          <w:sz w:val="23"/>
          <w:szCs w:val="23"/>
        </w:rPr>
        <w:t>con motivo d</w:t>
      </w:r>
      <w:r w:rsidR="0065088F" w:rsidRPr="00CF2001">
        <w:rPr>
          <w:bCs/>
          <w:sz w:val="23"/>
          <w:szCs w:val="23"/>
        </w:rPr>
        <w:t>el Proceso Electoral Local Ordinario 2023 – 2024</w:t>
      </w:r>
      <w:r w:rsidR="002B6D82" w:rsidRPr="00CF2001">
        <w:rPr>
          <w:bCs/>
          <w:sz w:val="23"/>
          <w:szCs w:val="23"/>
        </w:rPr>
        <w:t xml:space="preserve"> desglosada de la siguiente forma:</w:t>
      </w:r>
    </w:p>
    <w:p w14:paraId="43772D8D" w14:textId="77777777" w:rsidR="005A34E5" w:rsidRDefault="005A34E5" w:rsidP="005A34E5">
      <w:pPr>
        <w:pStyle w:val="Puntos"/>
        <w:spacing w:after="0" w:line="300" w:lineRule="auto"/>
        <w:ind w:left="0"/>
        <w:rPr>
          <w:bCs/>
          <w:sz w:val="23"/>
          <w:szCs w:val="23"/>
        </w:rPr>
      </w:pPr>
    </w:p>
    <w:tbl>
      <w:tblPr>
        <w:tblStyle w:val="Tablaconcuadrcula"/>
        <w:tblW w:w="0" w:type="auto"/>
        <w:jc w:val="center"/>
        <w:tblLook w:val="04A0" w:firstRow="1" w:lastRow="0" w:firstColumn="1" w:lastColumn="0" w:noHBand="0" w:noVBand="1"/>
      </w:tblPr>
      <w:tblGrid>
        <w:gridCol w:w="6380"/>
        <w:gridCol w:w="2410"/>
      </w:tblGrid>
      <w:tr w:rsidR="00E73E5A" w:rsidRPr="00A12812" w14:paraId="49C134B3" w14:textId="77777777" w:rsidTr="005D008D">
        <w:trPr>
          <w:jc w:val="center"/>
        </w:trPr>
        <w:tc>
          <w:tcPr>
            <w:tcW w:w="6380" w:type="dxa"/>
            <w:shd w:val="clear" w:color="auto" w:fill="993366"/>
          </w:tcPr>
          <w:p w14:paraId="7A8DC824" w14:textId="77777777" w:rsidR="00E73E5A" w:rsidRPr="00A12812" w:rsidRDefault="00E73E5A" w:rsidP="005F4C38">
            <w:pPr>
              <w:spacing w:before="60" w:after="60"/>
              <w:jc w:val="center"/>
              <w:rPr>
                <w:b/>
                <w:bCs/>
                <w:color w:val="FFFFFF" w:themeColor="background1"/>
                <w:sz w:val="16"/>
                <w:szCs w:val="16"/>
              </w:rPr>
            </w:pPr>
            <w:r w:rsidRPr="00A12812">
              <w:rPr>
                <w:b/>
                <w:bCs/>
                <w:color w:val="FFFFFF" w:themeColor="background1"/>
                <w:sz w:val="16"/>
                <w:szCs w:val="16"/>
              </w:rPr>
              <w:t>Financiamiento público local</w:t>
            </w:r>
          </w:p>
        </w:tc>
        <w:tc>
          <w:tcPr>
            <w:tcW w:w="2410" w:type="dxa"/>
            <w:shd w:val="clear" w:color="auto" w:fill="993366"/>
          </w:tcPr>
          <w:p w14:paraId="2C440D5B" w14:textId="77777777" w:rsidR="00E73E5A" w:rsidRPr="00A12812" w:rsidRDefault="00E73E5A" w:rsidP="005F4C38">
            <w:pPr>
              <w:spacing w:before="60" w:after="60"/>
              <w:jc w:val="center"/>
              <w:rPr>
                <w:b/>
                <w:bCs/>
                <w:color w:val="FFFFFF" w:themeColor="background1"/>
                <w:sz w:val="16"/>
                <w:szCs w:val="16"/>
              </w:rPr>
            </w:pPr>
            <w:r w:rsidRPr="00A12812">
              <w:rPr>
                <w:b/>
                <w:bCs/>
                <w:color w:val="FFFFFF" w:themeColor="background1"/>
                <w:sz w:val="16"/>
                <w:szCs w:val="16"/>
              </w:rPr>
              <w:t>Importe</w:t>
            </w:r>
          </w:p>
        </w:tc>
      </w:tr>
      <w:tr w:rsidR="00E73E5A" w:rsidRPr="00A12812" w14:paraId="38DBF5D9" w14:textId="77777777" w:rsidTr="005D008D">
        <w:trPr>
          <w:jc w:val="center"/>
        </w:trPr>
        <w:tc>
          <w:tcPr>
            <w:tcW w:w="6380" w:type="dxa"/>
          </w:tcPr>
          <w:p w14:paraId="140F8C4C" w14:textId="77777777" w:rsidR="00E73E5A" w:rsidRPr="002738BA" w:rsidRDefault="00E73E5A" w:rsidP="005F4C38">
            <w:pPr>
              <w:spacing w:before="60" w:after="60"/>
              <w:rPr>
                <w:b/>
                <w:bCs/>
                <w:sz w:val="23"/>
                <w:szCs w:val="23"/>
              </w:rPr>
            </w:pPr>
            <w:bookmarkStart w:id="1" w:name="_GoBack" w:colFirst="0" w:colLast="1"/>
            <w:r w:rsidRPr="002738BA">
              <w:rPr>
                <w:b/>
                <w:bCs/>
                <w:sz w:val="23"/>
                <w:szCs w:val="23"/>
              </w:rPr>
              <w:t>Para actividades ordinarias</w:t>
            </w:r>
          </w:p>
        </w:tc>
        <w:tc>
          <w:tcPr>
            <w:tcW w:w="2410" w:type="dxa"/>
          </w:tcPr>
          <w:p w14:paraId="33860E36" w14:textId="77777777" w:rsidR="00E73E5A" w:rsidRPr="002738BA" w:rsidRDefault="00E73E5A" w:rsidP="005F4C38">
            <w:pPr>
              <w:spacing w:before="60" w:after="60"/>
              <w:jc w:val="right"/>
              <w:rPr>
                <w:b/>
                <w:bCs/>
                <w:sz w:val="23"/>
                <w:szCs w:val="23"/>
              </w:rPr>
            </w:pPr>
            <w:r w:rsidRPr="002738BA">
              <w:rPr>
                <w:b/>
                <w:bCs/>
                <w:sz w:val="23"/>
                <w:szCs w:val="23"/>
              </w:rPr>
              <w:t>$60’688,136.01</w:t>
            </w:r>
          </w:p>
        </w:tc>
      </w:tr>
      <w:tr w:rsidR="00E73E5A" w:rsidRPr="00A12812" w14:paraId="72AE293B" w14:textId="77777777" w:rsidTr="005D008D">
        <w:trPr>
          <w:jc w:val="center"/>
        </w:trPr>
        <w:tc>
          <w:tcPr>
            <w:tcW w:w="6380" w:type="dxa"/>
            <w:tcBorders>
              <w:bottom w:val="single" w:sz="4" w:space="0" w:color="auto"/>
            </w:tcBorders>
          </w:tcPr>
          <w:p w14:paraId="69736391" w14:textId="77777777" w:rsidR="00E73E5A" w:rsidRPr="002738BA" w:rsidRDefault="00E73E5A" w:rsidP="005F4C38">
            <w:pPr>
              <w:spacing w:before="60" w:after="60"/>
              <w:rPr>
                <w:b/>
                <w:bCs/>
                <w:sz w:val="23"/>
                <w:szCs w:val="23"/>
              </w:rPr>
            </w:pPr>
            <w:r w:rsidRPr="002738BA">
              <w:rPr>
                <w:b/>
                <w:bCs/>
                <w:sz w:val="23"/>
                <w:szCs w:val="23"/>
              </w:rPr>
              <w:t>Para actividades específicas</w:t>
            </w:r>
          </w:p>
        </w:tc>
        <w:tc>
          <w:tcPr>
            <w:tcW w:w="2410" w:type="dxa"/>
          </w:tcPr>
          <w:p w14:paraId="0ABF946F" w14:textId="77777777" w:rsidR="00E73E5A" w:rsidRPr="002738BA" w:rsidRDefault="00E73E5A" w:rsidP="005F4C38">
            <w:pPr>
              <w:spacing w:before="60" w:after="60"/>
              <w:jc w:val="right"/>
              <w:rPr>
                <w:b/>
                <w:bCs/>
                <w:sz w:val="23"/>
                <w:szCs w:val="23"/>
              </w:rPr>
            </w:pPr>
            <w:r w:rsidRPr="002738BA">
              <w:rPr>
                <w:b/>
                <w:bCs/>
                <w:sz w:val="23"/>
                <w:szCs w:val="23"/>
              </w:rPr>
              <w:t>$1’820,644.08</w:t>
            </w:r>
          </w:p>
        </w:tc>
      </w:tr>
      <w:tr w:rsidR="00E73E5A" w:rsidRPr="00A12812" w14:paraId="1F1B6E60" w14:textId="77777777" w:rsidTr="005D008D">
        <w:trPr>
          <w:jc w:val="center"/>
        </w:trPr>
        <w:tc>
          <w:tcPr>
            <w:tcW w:w="6380" w:type="dxa"/>
            <w:tcBorders>
              <w:bottom w:val="single" w:sz="4" w:space="0" w:color="auto"/>
            </w:tcBorders>
          </w:tcPr>
          <w:p w14:paraId="1E70C481" w14:textId="77777777" w:rsidR="00E73E5A" w:rsidRPr="002738BA" w:rsidRDefault="00E73E5A" w:rsidP="005F4C38">
            <w:pPr>
              <w:spacing w:before="60" w:after="60"/>
              <w:rPr>
                <w:b/>
                <w:bCs/>
                <w:sz w:val="23"/>
                <w:szCs w:val="23"/>
              </w:rPr>
            </w:pPr>
            <w:r w:rsidRPr="002738BA">
              <w:rPr>
                <w:b/>
                <w:bCs/>
                <w:sz w:val="23"/>
                <w:szCs w:val="23"/>
              </w:rPr>
              <w:t>Para la obtención del voto (gastos de campaña)</w:t>
            </w:r>
          </w:p>
        </w:tc>
        <w:tc>
          <w:tcPr>
            <w:tcW w:w="2410" w:type="dxa"/>
            <w:tcBorders>
              <w:bottom w:val="single" w:sz="4" w:space="0" w:color="auto"/>
            </w:tcBorders>
          </w:tcPr>
          <w:p w14:paraId="672F5D4E" w14:textId="77777777" w:rsidR="00E73E5A" w:rsidRPr="002738BA" w:rsidRDefault="00E73E5A" w:rsidP="005F4C38">
            <w:pPr>
              <w:spacing w:before="60" w:after="60"/>
              <w:jc w:val="right"/>
              <w:rPr>
                <w:b/>
                <w:bCs/>
                <w:sz w:val="23"/>
                <w:szCs w:val="23"/>
              </w:rPr>
            </w:pPr>
            <w:r w:rsidRPr="002738BA">
              <w:rPr>
                <w:b/>
                <w:bCs/>
                <w:sz w:val="23"/>
                <w:szCs w:val="23"/>
              </w:rPr>
              <w:t>$30’344,068.00</w:t>
            </w:r>
          </w:p>
        </w:tc>
      </w:tr>
      <w:tr w:rsidR="00E73E5A" w:rsidRPr="00A12812" w14:paraId="21FDBD16" w14:textId="77777777" w:rsidTr="005D008D">
        <w:trPr>
          <w:jc w:val="center"/>
        </w:trPr>
        <w:tc>
          <w:tcPr>
            <w:tcW w:w="6380" w:type="dxa"/>
            <w:tcBorders>
              <w:top w:val="single" w:sz="4" w:space="0" w:color="auto"/>
              <w:left w:val="single" w:sz="4" w:space="0" w:color="auto"/>
              <w:bottom w:val="single" w:sz="4" w:space="0" w:color="auto"/>
              <w:right w:val="single" w:sz="4" w:space="0" w:color="auto"/>
            </w:tcBorders>
          </w:tcPr>
          <w:p w14:paraId="7A662812" w14:textId="77777777" w:rsidR="00E73E5A" w:rsidRPr="002738BA" w:rsidRDefault="00E73E5A" w:rsidP="005F4C38">
            <w:pPr>
              <w:spacing w:before="60" w:after="60"/>
              <w:rPr>
                <w:b/>
                <w:bCs/>
                <w:sz w:val="23"/>
                <w:szCs w:val="23"/>
              </w:rPr>
            </w:pPr>
            <w:r w:rsidRPr="002738BA">
              <w:rPr>
                <w:b/>
                <w:bCs/>
                <w:sz w:val="23"/>
                <w:szCs w:val="23"/>
              </w:rPr>
              <w:t>Para candidaturas independientes</w:t>
            </w:r>
          </w:p>
        </w:tc>
        <w:tc>
          <w:tcPr>
            <w:tcW w:w="2410" w:type="dxa"/>
            <w:tcBorders>
              <w:left w:val="single" w:sz="4" w:space="0" w:color="auto"/>
            </w:tcBorders>
          </w:tcPr>
          <w:p w14:paraId="3C1C3A84" w14:textId="77777777" w:rsidR="00E73E5A" w:rsidRPr="002738BA" w:rsidRDefault="00E73E5A" w:rsidP="005F4C38">
            <w:pPr>
              <w:spacing w:before="60" w:after="60"/>
              <w:jc w:val="right"/>
              <w:rPr>
                <w:b/>
                <w:bCs/>
                <w:sz w:val="23"/>
                <w:szCs w:val="23"/>
              </w:rPr>
            </w:pPr>
            <w:r w:rsidRPr="002738BA">
              <w:rPr>
                <w:b/>
                <w:bCs/>
                <w:sz w:val="23"/>
                <w:szCs w:val="23"/>
              </w:rPr>
              <w:t>$1’213,762.72</w:t>
            </w:r>
          </w:p>
        </w:tc>
      </w:tr>
      <w:tr w:rsidR="00E73E5A" w:rsidRPr="00A12812" w14:paraId="01E02FB6" w14:textId="77777777" w:rsidTr="005D008D">
        <w:trPr>
          <w:jc w:val="center"/>
        </w:trPr>
        <w:tc>
          <w:tcPr>
            <w:tcW w:w="6380" w:type="dxa"/>
            <w:tcBorders>
              <w:top w:val="single" w:sz="4" w:space="0" w:color="auto"/>
              <w:left w:val="nil"/>
              <w:bottom w:val="nil"/>
              <w:right w:val="single" w:sz="4" w:space="0" w:color="auto"/>
            </w:tcBorders>
          </w:tcPr>
          <w:p w14:paraId="1E4BB462" w14:textId="77777777" w:rsidR="00E73E5A" w:rsidRPr="002738BA" w:rsidRDefault="00E73E5A" w:rsidP="005F4C38">
            <w:pPr>
              <w:spacing w:before="60" w:after="60"/>
              <w:jc w:val="right"/>
              <w:rPr>
                <w:b/>
                <w:bCs/>
                <w:sz w:val="23"/>
                <w:szCs w:val="23"/>
              </w:rPr>
            </w:pPr>
            <w:r w:rsidRPr="002738BA">
              <w:rPr>
                <w:b/>
                <w:bCs/>
                <w:sz w:val="23"/>
                <w:szCs w:val="23"/>
              </w:rPr>
              <w:t>Total</w:t>
            </w:r>
          </w:p>
        </w:tc>
        <w:tc>
          <w:tcPr>
            <w:tcW w:w="2410" w:type="dxa"/>
            <w:tcBorders>
              <w:left w:val="single" w:sz="4" w:space="0" w:color="auto"/>
            </w:tcBorders>
          </w:tcPr>
          <w:p w14:paraId="5953E0B4" w14:textId="5E95D141" w:rsidR="00E73E5A" w:rsidRPr="002738BA" w:rsidRDefault="00E73E5A" w:rsidP="005F4C38">
            <w:pPr>
              <w:spacing w:before="60" w:after="60"/>
              <w:jc w:val="right"/>
              <w:rPr>
                <w:b/>
                <w:bCs/>
                <w:sz w:val="23"/>
                <w:szCs w:val="23"/>
              </w:rPr>
            </w:pPr>
            <w:r w:rsidRPr="002738BA">
              <w:rPr>
                <w:b/>
                <w:bCs/>
                <w:sz w:val="23"/>
                <w:szCs w:val="23"/>
              </w:rPr>
              <w:t>$94</w:t>
            </w:r>
            <w:r w:rsidR="00923EA2" w:rsidRPr="002738BA">
              <w:rPr>
                <w:b/>
                <w:bCs/>
                <w:sz w:val="23"/>
                <w:szCs w:val="23"/>
              </w:rPr>
              <w:t>’</w:t>
            </w:r>
            <w:r w:rsidRPr="002738BA">
              <w:rPr>
                <w:b/>
                <w:bCs/>
                <w:sz w:val="23"/>
                <w:szCs w:val="23"/>
              </w:rPr>
              <w:t>066,610.81</w:t>
            </w:r>
          </w:p>
        </w:tc>
      </w:tr>
    </w:tbl>
    <w:bookmarkEnd w:id="1"/>
    <w:p w14:paraId="3606AB5C" w14:textId="66CE90B4" w:rsidR="000A0EBB" w:rsidRPr="00CF2001" w:rsidRDefault="00894FFC" w:rsidP="00923EA2">
      <w:pPr>
        <w:pStyle w:val="Puntos"/>
        <w:spacing w:before="240" w:line="300" w:lineRule="auto"/>
        <w:ind w:left="0"/>
        <w:rPr>
          <w:bCs/>
          <w:sz w:val="23"/>
          <w:szCs w:val="23"/>
        </w:rPr>
      </w:pPr>
      <w:r>
        <w:rPr>
          <w:b/>
          <w:sz w:val="23"/>
          <w:szCs w:val="23"/>
        </w:rPr>
        <w:t xml:space="preserve">Segundo. </w:t>
      </w:r>
      <w:r w:rsidRPr="00894FFC">
        <w:rPr>
          <w:bCs/>
          <w:sz w:val="23"/>
          <w:szCs w:val="23"/>
        </w:rPr>
        <w:t xml:space="preserve">El monto de financiamiento público local se distribuirá </w:t>
      </w:r>
      <w:r w:rsidR="00915D22">
        <w:rPr>
          <w:bCs/>
          <w:sz w:val="23"/>
          <w:szCs w:val="23"/>
        </w:rPr>
        <w:t xml:space="preserve">entre los partidos políticos con derecho a ello, </w:t>
      </w:r>
      <w:r w:rsidR="00076718" w:rsidRPr="00894FFC">
        <w:rPr>
          <w:bCs/>
          <w:sz w:val="23"/>
          <w:szCs w:val="23"/>
        </w:rPr>
        <w:t>u</w:t>
      </w:r>
      <w:r w:rsidR="000A0EBB" w:rsidRPr="00894FFC">
        <w:rPr>
          <w:bCs/>
          <w:sz w:val="23"/>
          <w:szCs w:val="23"/>
        </w:rPr>
        <w:t>na vez que</w:t>
      </w:r>
      <w:r w:rsidR="00076718" w:rsidRPr="00894FFC">
        <w:rPr>
          <w:bCs/>
          <w:sz w:val="23"/>
          <w:szCs w:val="23"/>
        </w:rPr>
        <w:t xml:space="preserve">, en </w:t>
      </w:r>
      <w:r w:rsidR="00076718">
        <w:rPr>
          <w:bCs/>
          <w:sz w:val="23"/>
          <w:szCs w:val="23"/>
        </w:rPr>
        <w:t>su caso,</w:t>
      </w:r>
      <w:r w:rsidR="000A0EBB" w:rsidRPr="00CF2001">
        <w:rPr>
          <w:bCs/>
          <w:sz w:val="23"/>
          <w:szCs w:val="23"/>
        </w:rPr>
        <w:t xml:space="preserve"> se acrediten los partidos políticos con registro</w:t>
      </w:r>
      <w:r w:rsidR="006F3B0B">
        <w:rPr>
          <w:bCs/>
          <w:sz w:val="23"/>
          <w:szCs w:val="23"/>
        </w:rPr>
        <w:t xml:space="preserve"> nacional</w:t>
      </w:r>
      <w:r w:rsidR="00076718">
        <w:rPr>
          <w:bCs/>
          <w:sz w:val="23"/>
          <w:szCs w:val="23"/>
        </w:rPr>
        <w:t xml:space="preserve">. Asimismo, el monto que corresponde al conjunto de candidaturas independientes se distribuirá </w:t>
      </w:r>
      <w:r w:rsidR="006F3B0B">
        <w:rPr>
          <w:bCs/>
          <w:sz w:val="23"/>
          <w:szCs w:val="23"/>
        </w:rPr>
        <w:t>una vez que se registren las personas que obtengan la calidad de candidatas o candidatos independientes</w:t>
      </w:r>
      <w:r w:rsidR="00596930">
        <w:rPr>
          <w:bCs/>
          <w:sz w:val="23"/>
          <w:szCs w:val="23"/>
        </w:rPr>
        <w:t>.</w:t>
      </w:r>
    </w:p>
    <w:p w14:paraId="1B7EFFD8" w14:textId="0F43244D" w:rsidR="00894FFC" w:rsidRPr="00CF2001" w:rsidRDefault="00894FFC" w:rsidP="00894FFC">
      <w:pPr>
        <w:pStyle w:val="Puntos"/>
        <w:spacing w:line="300" w:lineRule="auto"/>
        <w:ind w:left="0"/>
        <w:rPr>
          <w:bCs/>
          <w:sz w:val="23"/>
          <w:szCs w:val="23"/>
        </w:rPr>
      </w:pPr>
      <w:r>
        <w:rPr>
          <w:b/>
          <w:sz w:val="23"/>
          <w:szCs w:val="23"/>
        </w:rPr>
        <w:t>Tercero</w:t>
      </w:r>
      <w:r w:rsidRPr="00CF2001">
        <w:rPr>
          <w:b/>
          <w:sz w:val="23"/>
          <w:szCs w:val="23"/>
        </w:rPr>
        <w:t>.</w:t>
      </w:r>
      <w:r w:rsidRPr="00894FFC">
        <w:rPr>
          <w:bCs/>
          <w:sz w:val="23"/>
          <w:szCs w:val="23"/>
        </w:rPr>
        <w:t xml:space="preserve"> De</w:t>
      </w:r>
      <w:r w:rsidRPr="00CF2001">
        <w:rPr>
          <w:bCs/>
          <w:sz w:val="23"/>
          <w:szCs w:val="23"/>
        </w:rPr>
        <w:t xml:space="preserve"> conformidad con los artículos 126 de la Constitución Federal</w:t>
      </w:r>
      <w:r w:rsidR="00BB78B2">
        <w:rPr>
          <w:bCs/>
          <w:sz w:val="23"/>
          <w:szCs w:val="23"/>
        </w:rPr>
        <w:t>,</w:t>
      </w:r>
      <w:r w:rsidRPr="00CF2001">
        <w:rPr>
          <w:bCs/>
          <w:sz w:val="23"/>
          <w:szCs w:val="23"/>
        </w:rPr>
        <w:t xml:space="preserve"> 115 numeral 1, fracción XXXII y 117 numeral 2, fracción XV de la Ley Electoral, </w:t>
      </w:r>
      <w:r>
        <w:rPr>
          <w:bCs/>
          <w:sz w:val="23"/>
          <w:szCs w:val="23"/>
        </w:rPr>
        <w:t>s</w:t>
      </w:r>
      <w:r w:rsidRPr="00894FFC">
        <w:rPr>
          <w:bCs/>
          <w:sz w:val="23"/>
          <w:szCs w:val="23"/>
        </w:rPr>
        <w:t>e instruye a la Secretaría Ejecutiva y a la Dirección Ejecutiva de Administración</w:t>
      </w:r>
      <w:r>
        <w:rPr>
          <w:bCs/>
          <w:sz w:val="23"/>
          <w:szCs w:val="23"/>
        </w:rPr>
        <w:t xml:space="preserve"> incluya</w:t>
      </w:r>
      <w:r w:rsidR="009562B3">
        <w:rPr>
          <w:bCs/>
          <w:sz w:val="23"/>
          <w:szCs w:val="23"/>
        </w:rPr>
        <w:t>n</w:t>
      </w:r>
      <w:r>
        <w:rPr>
          <w:bCs/>
          <w:sz w:val="23"/>
          <w:szCs w:val="23"/>
        </w:rPr>
        <w:t xml:space="preserve"> </w:t>
      </w:r>
      <w:r w:rsidRPr="00CF2001">
        <w:rPr>
          <w:bCs/>
          <w:sz w:val="23"/>
          <w:szCs w:val="23"/>
        </w:rPr>
        <w:t xml:space="preserve">el monto general de financiamiento público </w:t>
      </w:r>
      <w:r w:rsidR="00716343">
        <w:rPr>
          <w:bCs/>
          <w:sz w:val="23"/>
          <w:szCs w:val="23"/>
        </w:rPr>
        <w:t xml:space="preserve">determinado en el presente acuerdo, </w:t>
      </w:r>
      <w:r w:rsidRPr="00CF2001">
        <w:rPr>
          <w:bCs/>
          <w:sz w:val="23"/>
          <w:szCs w:val="23"/>
        </w:rPr>
        <w:t>en el anteproyecto de presupuesto de egresos del Instituto correspondiente al ejercicio 2024.</w:t>
      </w:r>
    </w:p>
    <w:p w14:paraId="3C51A77F" w14:textId="383E38DA" w:rsidR="00740B50" w:rsidRPr="00CF2001" w:rsidRDefault="000E400E" w:rsidP="00164F4D">
      <w:pPr>
        <w:pStyle w:val="Puntos"/>
        <w:spacing w:line="300" w:lineRule="auto"/>
        <w:ind w:left="0"/>
        <w:rPr>
          <w:sz w:val="23"/>
          <w:szCs w:val="23"/>
        </w:rPr>
      </w:pPr>
      <w:r w:rsidRPr="00CF2001">
        <w:rPr>
          <w:b/>
          <w:bCs/>
          <w:sz w:val="23"/>
          <w:szCs w:val="23"/>
        </w:rPr>
        <w:lastRenderedPageBreak/>
        <w:t xml:space="preserve">Cuarto. </w:t>
      </w:r>
      <w:r w:rsidRPr="00CF2001">
        <w:rPr>
          <w:sz w:val="23"/>
          <w:szCs w:val="23"/>
        </w:rPr>
        <w:t>Asimismo, s</w:t>
      </w:r>
      <w:r w:rsidR="00740B50" w:rsidRPr="00CF2001">
        <w:rPr>
          <w:sz w:val="23"/>
          <w:szCs w:val="23"/>
        </w:rPr>
        <w:t>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2ACA9CB8" w:rsidR="00740B50" w:rsidRPr="00CF2001" w:rsidRDefault="000E400E" w:rsidP="00164F4D">
      <w:pPr>
        <w:pStyle w:val="Puntos"/>
        <w:spacing w:line="300" w:lineRule="auto"/>
        <w:ind w:left="0"/>
        <w:rPr>
          <w:sz w:val="23"/>
          <w:szCs w:val="23"/>
        </w:rPr>
      </w:pPr>
      <w:r w:rsidRPr="00CF2001">
        <w:rPr>
          <w:b/>
          <w:bCs/>
          <w:sz w:val="23"/>
          <w:szCs w:val="23"/>
        </w:rPr>
        <w:t>Quinto</w:t>
      </w:r>
      <w:r w:rsidR="00740B50" w:rsidRPr="00CF2001">
        <w:rPr>
          <w:b/>
          <w:bCs/>
          <w:sz w:val="23"/>
          <w:szCs w:val="23"/>
        </w:rPr>
        <w:t>.</w:t>
      </w:r>
      <w:r w:rsidR="00740B50" w:rsidRPr="00CF2001">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3F4AB58D" w:rsidR="00740B50" w:rsidRPr="00CF2001" w:rsidRDefault="00740B50" w:rsidP="00164F4D">
      <w:pPr>
        <w:pStyle w:val="Puntos"/>
        <w:spacing w:line="300" w:lineRule="auto"/>
        <w:ind w:left="0"/>
        <w:rPr>
          <w:sz w:val="23"/>
          <w:szCs w:val="23"/>
        </w:rPr>
      </w:pPr>
      <w:r w:rsidRPr="00CF2001">
        <w:rPr>
          <w:sz w:val="23"/>
          <w:szCs w:val="23"/>
        </w:rPr>
        <w:t xml:space="preserve">El presente acuerdo fue </w:t>
      </w:r>
      <w:r w:rsidR="00D367B3">
        <w:rPr>
          <w:sz w:val="23"/>
          <w:szCs w:val="23"/>
        </w:rPr>
        <w:t>aprobado por unanimidad</w:t>
      </w:r>
      <w:r w:rsidRPr="00CF2001">
        <w:rPr>
          <w:sz w:val="23"/>
          <w:szCs w:val="23"/>
        </w:rPr>
        <w:t xml:space="preserve"> en sesión</w:t>
      </w:r>
      <w:r w:rsidR="00D367B3">
        <w:rPr>
          <w:sz w:val="23"/>
          <w:szCs w:val="23"/>
        </w:rPr>
        <w:t xml:space="preserve"> ordinaria</w:t>
      </w:r>
      <w:r w:rsidRPr="00CF2001">
        <w:rPr>
          <w:sz w:val="23"/>
          <w:szCs w:val="23"/>
        </w:rPr>
        <w:t xml:space="preserve"> </w:t>
      </w:r>
      <w:r w:rsidR="00D367B3">
        <w:rPr>
          <w:sz w:val="23"/>
          <w:szCs w:val="23"/>
        </w:rPr>
        <w:t>efectuada el veintinueve</w:t>
      </w:r>
      <w:r w:rsidRPr="00CF2001">
        <w:rPr>
          <w:sz w:val="23"/>
          <w:szCs w:val="23"/>
        </w:rPr>
        <w:t xml:space="preserve"> de </w:t>
      </w:r>
      <w:r w:rsidR="00D367B3">
        <w:rPr>
          <w:sz w:val="23"/>
          <w:szCs w:val="23"/>
        </w:rPr>
        <w:t>septiembre</w:t>
      </w:r>
      <w:r w:rsidRPr="00CF2001">
        <w:rPr>
          <w:sz w:val="23"/>
          <w:szCs w:val="23"/>
        </w:rPr>
        <w:t xml:space="preserve"> del año dos mil veintitrés, por votación </w:t>
      </w:r>
      <w:r w:rsidR="00D367B3">
        <w:rPr>
          <w:sz w:val="23"/>
          <w:szCs w:val="23"/>
        </w:rPr>
        <w:t>unánime</w:t>
      </w:r>
      <w:r w:rsidRPr="00CF2001">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37AC3879" w:rsidR="00C92A82" w:rsidRDefault="00C92A82" w:rsidP="00740B50">
      <w:pPr>
        <w:pStyle w:val="Puntos"/>
        <w:spacing w:line="288" w:lineRule="auto"/>
        <w:ind w:left="0"/>
        <w:rPr>
          <w:sz w:val="23"/>
          <w:szCs w:val="23"/>
        </w:rPr>
      </w:pPr>
    </w:p>
    <w:p w14:paraId="64FF3C31" w14:textId="21796290" w:rsidR="00D367B3" w:rsidRDefault="00D367B3" w:rsidP="00740B50">
      <w:pPr>
        <w:pStyle w:val="Puntos"/>
        <w:spacing w:line="288" w:lineRule="auto"/>
        <w:ind w:left="0"/>
        <w:rPr>
          <w:sz w:val="23"/>
          <w:szCs w:val="23"/>
        </w:rPr>
      </w:pPr>
    </w:p>
    <w:p w14:paraId="48C6EBAE" w14:textId="30562688" w:rsidR="00D367B3" w:rsidRDefault="00D367B3" w:rsidP="00740B50">
      <w:pPr>
        <w:pStyle w:val="Puntos"/>
        <w:spacing w:line="288" w:lineRule="auto"/>
        <w:ind w:left="0"/>
        <w:rPr>
          <w:sz w:val="23"/>
          <w:szCs w:val="23"/>
        </w:rPr>
      </w:pPr>
    </w:p>
    <w:p w14:paraId="7410F550" w14:textId="77777777" w:rsidR="00ED2C80" w:rsidRDefault="00ED2C8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7127D1" w14:paraId="2300726E" w14:textId="77777777" w:rsidTr="007E2B43">
        <w:tc>
          <w:tcPr>
            <w:tcW w:w="4395" w:type="dxa"/>
          </w:tcPr>
          <w:p w14:paraId="52563203"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MTRA. ELIZABETH NAVA GUTIÉRREZ</w:t>
            </w:r>
          </w:p>
          <w:p w14:paraId="4FC98756"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CONSEJERA PRESIDENTA</w:t>
            </w:r>
          </w:p>
        </w:tc>
        <w:tc>
          <w:tcPr>
            <w:tcW w:w="278" w:type="dxa"/>
          </w:tcPr>
          <w:p w14:paraId="0159DDD1" w14:textId="77777777" w:rsidR="00740B50" w:rsidRPr="007127D1" w:rsidRDefault="00740B50" w:rsidP="00740B50">
            <w:pPr>
              <w:widowControl w:val="0"/>
              <w:spacing w:before="0" w:after="0" w:line="288" w:lineRule="auto"/>
              <w:rPr>
                <w:b/>
                <w:sz w:val="23"/>
                <w:szCs w:val="23"/>
              </w:rPr>
            </w:pPr>
          </w:p>
        </w:tc>
        <w:tc>
          <w:tcPr>
            <w:tcW w:w="4400" w:type="dxa"/>
          </w:tcPr>
          <w:p w14:paraId="6F9F39CB"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LIC. JORGE ALBERTO ZAVALA FRÍAS</w:t>
            </w:r>
          </w:p>
          <w:p w14:paraId="4A791AA8"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SECRETARIO DEL CONSEJO</w:t>
            </w:r>
          </w:p>
        </w:tc>
      </w:tr>
    </w:tbl>
    <w:p w14:paraId="15D39B25" w14:textId="77777777" w:rsidR="0004782D" w:rsidRPr="007127D1" w:rsidRDefault="0004782D" w:rsidP="0004782D"/>
    <w:sectPr w:rsidR="0004782D" w:rsidRPr="007127D1" w:rsidSect="00D367B3">
      <w:headerReference w:type="default" r:id="rId8"/>
      <w:footerReference w:type="default" r:id="rId9"/>
      <w:pgSz w:w="12240" w:h="15840" w:code="1"/>
      <w:pgMar w:top="2835" w:right="1608" w:bottom="1560"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EB4B" w14:textId="77777777" w:rsidR="00AE4286" w:rsidRDefault="00AE4286" w:rsidP="00681E3C">
      <w:pPr>
        <w:spacing w:before="0" w:after="0" w:line="240" w:lineRule="auto"/>
      </w:pPr>
      <w:r>
        <w:separator/>
      </w:r>
    </w:p>
  </w:endnote>
  <w:endnote w:type="continuationSeparator" w:id="0">
    <w:p w14:paraId="7C5774F0" w14:textId="77777777" w:rsidR="00AE4286" w:rsidRDefault="00AE4286"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2769409"/>
      <w:docPartObj>
        <w:docPartGallery w:val="Page Numbers (Bottom of Page)"/>
        <w:docPartUnique/>
      </w:docPartObj>
    </w:sdtPr>
    <w:sdtEndPr/>
    <w:sdtContent>
      <w:sdt>
        <w:sdtPr>
          <w:rPr>
            <w:color w:val="993366"/>
            <w:sz w:val="20"/>
            <w:szCs w:val="20"/>
          </w:rPr>
          <w:id w:val="-1769616900"/>
          <w:docPartObj>
            <w:docPartGallery w:val="Page Numbers (Top of Page)"/>
            <w:docPartUnique/>
          </w:docPartObj>
        </w:sdtPr>
        <w:sdtEndPr/>
        <w:sdtContent>
          <w:p w14:paraId="6BC7EC49" w14:textId="46CE9343"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5A34E5">
              <w:rPr>
                <w:b/>
                <w:bCs/>
                <w:noProof/>
                <w:color w:val="993366"/>
              </w:rPr>
              <w:t>14</w:t>
            </w:r>
            <w:r w:rsidRPr="0084107C">
              <w:rPr>
                <w:b/>
                <w:bCs/>
                <w:color w:val="993366"/>
              </w:rPr>
              <w:fldChar w:fldCharType="end"/>
            </w:r>
            <w:r w:rsidRPr="0084107C">
              <w:rPr>
                <w:b/>
                <w:bCs/>
                <w:color w:val="993366"/>
                <w:lang w:val="es-ES"/>
              </w:rPr>
              <w:t xml:space="preserve"> | </w:t>
            </w:r>
            <w:r w:rsidR="00526246">
              <w:rPr>
                <w:b/>
                <w:bCs/>
                <w:color w:val="993366"/>
                <w:lang w:val="es-ES"/>
              </w:rPr>
              <w:t>1</w:t>
            </w:r>
            <w:r w:rsidR="00526246">
              <w:rPr>
                <w:b/>
                <w:bCs/>
                <w:color w:val="993366"/>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1A2D" w14:textId="77777777" w:rsidR="00AE4286" w:rsidRDefault="00AE4286" w:rsidP="00681E3C">
      <w:pPr>
        <w:spacing w:before="0" w:after="0" w:line="240" w:lineRule="auto"/>
      </w:pPr>
      <w:r>
        <w:separator/>
      </w:r>
    </w:p>
  </w:footnote>
  <w:footnote w:type="continuationSeparator" w:id="0">
    <w:p w14:paraId="03B0A72F" w14:textId="77777777" w:rsidR="00AE4286" w:rsidRDefault="00AE4286" w:rsidP="00681E3C">
      <w:pPr>
        <w:spacing w:before="0" w:after="0" w:line="240" w:lineRule="auto"/>
      </w:pPr>
      <w:r>
        <w:continuationSeparator/>
      </w:r>
    </w:p>
  </w:footnote>
  <w:footnote w:id="1">
    <w:p w14:paraId="261056DF" w14:textId="66E6DA71" w:rsidR="00AF366E" w:rsidRPr="00AF366E" w:rsidRDefault="00AF366E" w:rsidP="00175B4A">
      <w:pPr>
        <w:pStyle w:val="Textonotapie"/>
        <w:spacing w:line="276" w:lineRule="auto"/>
        <w:rPr>
          <w:sz w:val="16"/>
          <w:szCs w:val="16"/>
        </w:rPr>
      </w:pPr>
      <w:r w:rsidRPr="00AF366E">
        <w:rPr>
          <w:rStyle w:val="Refdenotaalpie"/>
          <w:sz w:val="16"/>
          <w:szCs w:val="16"/>
        </w:rPr>
        <w:footnoteRef/>
      </w:r>
      <w:r w:rsidRPr="00AF366E">
        <w:rPr>
          <w:sz w:val="16"/>
          <w:szCs w:val="16"/>
        </w:rPr>
        <w:t xml:space="preserve"> De conformidad con el decreto por el que se declara</w:t>
      </w:r>
      <w:r w:rsidR="00DA4451">
        <w:rPr>
          <w:sz w:val="16"/>
          <w:szCs w:val="16"/>
        </w:rPr>
        <w:t>n</w:t>
      </w:r>
      <w:r w:rsidRPr="00AF366E">
        <w:rPr>
          <w:sz w:val="16"/>
          <w:szCs w:val="16"/>
        </w:rPr>
        <w:t xml:space="preserve"> reformadas y adicionadas diversas disposiciones de la Constitución Política de los Estados Unidos Mexicanos, en materia de desindexación del salario mínimo publicado el 27 de enero de 2016, la base para el cálculo es la unidad de medida y actualización.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13" name="Imagen 1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4"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4B5D0EA3" w:rsidR="007D607B" w:rsidRDefault="00D367B3" w:rsidP="00D367B3">
    <w:pPr>
      <w:pStyle w:val="Encabezado"/>
      <w:jc w:val="right"/>
      <w:rPr>
        <w:b/>
        <w:sz w:val="24"/>
        <w:szCs w:val="24"/>
      </w:rPr>
    </w:pPr>
    <w:r w:rsidRPr="00D367B3">
      <w:rPr>
        <w:b/>
        <w:sz w:val="24"/>
        <w:szCs w:val="24"/>
      </w:rPr>
      <w:t>CE/2023/020</w:t>
    </w:r>
  </w:p>
  <w:p w14:paraId="6617A371" w14:textId="77777777" w:rsidR="00D367B3" w:rsidRPr="00D367B3" w:rsidRDefault="00D367B3" w:rsidP="00D367B3">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FEA749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125A5"/>
    <w:rsid w:val="0001730E"/>
    <w:rsid w:val="0002208B"/>
    <w:rsid w:val="00025CE1"/>
    <w:rsid w:val="00027ADB"/>
    <w:rsid w:val="00033325"/>
    <w:rsid w:val="0004252C"/>
    <w:rsid w:val="00044E35"/>
    <w:rsid w:val="0004782D"/>
    <w:rsid w:val="0005177B"/>
    <w:rsid w:val="00053217"/>
    <w:rsid w:val="00054C37"/>
    <w:rsid w:val="00076718"/>
    <w:rsid w:val="00080D30"/>
    <w:rsid w:val="000A0507"/>
    <w:rsid w:val="000A0EBB"/>
    <w:rsid w:val="000A18F6"/>
    <w:rsid w:val="000C163B"/>
    <w:rsid w:val="000C7EC0"/>
    <w:rsid w:val="000E241F"/>
    <w:rsid w:val="000E399F"/>
    <w:rsid w:val="000E400E"/>
    <w:rsid w:val="000F32E0"/>
    <w:rsid w:val="000F547D"/>
    <w:rsid w:val="00120B24"/>
    <w:rsid w:val="00143085"/>
    <w:rsid w:val="00164F4D"/>
    <w:rsid w:val="00166F37"/>
    <w:rsid w:val="00167801"/>
    <w:rsid w:val="001709BC"/>
    <w:rsid w:val="00175B4A"/>
    <w:rsid w:val="00182427"/>
    <w:rsid w:val="00183F25"/>
    <w:rsid w:val="00193EAA"/>
    <w:rsid w:val="00195283"/>
    <w:rsid w:val="001A7FAD"/>
    <w:rsid w:val="001B2468"/>
    <w:rsid w:val="001C2AAB"/>
    <w:rsid w:val="001D1F6E"/>
    <w:rsid w:val="001D7A74"/>
    <w:rsid w:val="001F028D"/>
    <w:rsid w:val="002013C1"/>
    <w:rsid w:val="00210302"/>
    <w:rsid w:val="00211D0D"/>
    <w:rsid w:val="00212817"/>
    <w:rsid w:val="00213D0B"/>
    <w:rsid w:val="00214AEF"/>
    <w:rsid w:val="00220C77"/>
    <w:rsid w:val="002243F1"/>
    <w:rsid w:val="00234D1E"/>
    <w:rsid w:val="00246856"/>
    <w:rsid w:val="002471A4"/>
    <w:rsid w:val="00270BC2"/>
    <w:rsid w:val="002738BA"/>
    <w:rsid w:val="00274A02"/>
    <w:rsid w:val="0028351C"/>
    <w:rsid w:val="002915C1"/>
    <w:rsid w:val="002919A2"/>
    <w:rsid w:val="00292D61"/>
    <w:rsid w:val="00293CAB"/>
    <w:rsid w:val="00293FB8"/>
    <w:rsid w:val="002A1223"/>
    <w:rsid w:val="002A535D"/>
    <w:rsid w:val="002B6D82"/>
    <w:rsid w:val="002E41B1"/>
    <w:rsid w:val="002E7982"/>
    <w:rsid w:val="002F302C"/>
    <w:rsid w:val="002F7420"/>
    <w:rsid w:val="00306BF5"/>
    <w:rsid w:val="0031142D"/>
    <w:rsid w:val="0031371F"/>
    <w:rsid w:val="0032118E"/>
    <w:rsid w:val="0032144C"/>
    <w:rsid w:val="003265AE"/>
    <w:rsid w:val="00334A8A"/>
    <w:rsid w:val="00334CC1"/>
    <w:rsid w:val="00337703"/>
    <w:rsid w:val="0033792E"/>
    <w:rsid w:val="00347345"/>
    <w:rsid w:val="00352396"/>
    <w:rsid w:val="003563B5"/>
    <w:rsid w:val="003569A1"/>
    <w:rsid w:val="00367A2E"/>
    <w:rsid w:val="003758CF"/>
    <w:rsid w:val="00385C98"/>
    <w:rsid w:val="00390D86"/>
    <w:rsid w:val="00392B0E"/>
    <w:rsid w:val="003B3E4B"/>
    <w:rsid w:val="003B43C0"/>
    <w:rsid w:val="003B4764"/>
    <w:rsid w:val="003B49C0"/>
    <w:rsid w:val="003C0D89"/>
    <w:rsid w:val="003E73B9"/>
    <w:rsid w:val="003F0318"/>
    <w:rsid w:val="003F0F26"/>
    <w:rsid w:val="00404409"/>
    <w:rsid w:val="00411F54"/>
    <w:rsid w:val="00424169"/>
    <w:rsid w:val="00432737"/>
    <w:rsid w:val="00440366"/>
    <w:rsid w:val="00446053"/>
    <w:rsid w:val="00451226"/>
    <w:rsid w:val="0048059C"/>
    <w:rsid w:val="00480FEA"/>
    <w:rsid w:val="00492F47"/>
    <w:rsid w:val="00495D64"/>
    <w:rsid w:val="00496FC1"/>
    <w:rsid w:val="004A0B95"/>
    <w:rsid w:val="004A4FF0"/>
    <w:rsid w:val="004A5CDB"/>
    <w:rsid w:val="004B7C22"/>
    <w:rsid w:val="004C2041"/>
    <w:rsid w:val="004C4501"/>
    <w:rsid w:val="004C5128"/>
    <w:rsid w:val="004D32F0"/>
    <w:rsid w:val="004E338C"/>
    <w:rsid w:val="004E77A9"/>
    <w:rsid w:val="004F3882"/>
    <w:rsid w:val="005039E8"/>
    <w:rsid w:val="00505CFD"/>
    <w:rsid w:val="00514022"/>
    <w:rsid w:val="00526246"/>
    <w:rsid w:val="005341BC"/>
    <w:rsid w:val="005371C1"/>
    <w:rsid w:val="00541332"/>
    <w:rsid w:val="005442AE"/>
    <w:rsid w:val="005473BF"/>
    <w:rsid w:val="005526F5"/>
    <w:rsid w:val="00555E47"/>
    <w:rsid w:val="00562234"/>
    <w:rsid w:val="00584AA9"/>
    <w:rsid w:val="0059116D"/>
    <w:rsid w:val="00596930"/>
    <w:rsid w:val="005A34E5"/>
    <w:rsid w:val="005B5704"/>
    <w:rsid w:val="005C4086"/>
    <w:rsid w:val="005D008D"/>
    <w:rsid w:val="005D55F6"/>
    <w:rsid w:val="005E0502"/>
    <w:rsid w:val="005E4109"/>
    <w:rsid w:val="005E537E"/>
    <w:rsid w:val="005E7DCC"/>
    <w:rsid w:val="005F3112"/>
    <w:rsid w:val="006012B0"/>
    <w:rsid w:val="0060430C"/>
    <w:rsid w:val="00605CA8"/>
    <w:rsid w:val="00606006"/>
    <w:rsid w:val="00621812"/>
    <w:rsid w:val="00633253"/>
    <w:rsid w:val="006337F8"/>
    <w:rsid w:val="0065088F"/>
    <w:rsid w:val="00665F61"/>
    <w:rsid w:val="006715B5"/>
    <w:rsid w:val="00675723"/>
    <w:rsid w:val="0067617F"/>
    <w:rsid w:val="00681E3C"/>
    <w:rsid w:val="00690639"/>
    <w:rsid w:val="006B141E"/>
    <w:rsid w:val="006B2521"/>
    <w:rsid w:val="006C3104"/>
    <w:rsid w:val="006E167C"/>
    <w:rsid w:val="006E43F7"/>
    <w:rsid w:val="006E6803"/>
    <w:rsid w:val="006E7BD2"/>
    <w:rsid w:val="006F044C"/>
    <w:rsid w:val="006F3B0B"/>
    <w:rsid w:val="007002C5"/>
    <w:rsid w:val="00704588"/>
    <w:rsid w:val="007113D2"/>
    <w:rsid w:val="007127D1"/>
    <w:rsid w:val="00716343"/>
    <w:rsid w:val="0073465C"/>
    <w:rsid w:val="00735C64"/>
    <w:rsid w:val="00740B50"/>
    <w:rsid w:val="007515D8"/>
    <w:rsid w:val="00751B62"/>
    <w:rsid w:val="00761920"/>
    <w:rsid w:val="00776E3E"/>
    <w:rsid w:val="007930C7"/>
    <w:rsid w:val="0079634D"/>
    <w:rsid w:val="007B125F"/>
    <w:rsid w:val="007B270E"/>
    <w:rsid w:val="007B60AA"/>
    <w:rsid w:val="007B68AD"/>
    <w:rsid w:val="007C26B9"/>
    <w:rsid w:val="007C473F"/>
    <w:rsid w:val="007D033F"/>
    <w:rsid w:val="007D607B"/>
    <w:rsid w:val="007E7B89"/>
    <w:rsid w:val="00804548"/>
    <w:rsid w:val="00823B19"/>
    <w:rsid w:val="00826C7D"/>
    <w:rsid w:val="0084107C"/>
    <w:rsid w:val="00844695"/>
    <w:rsid w:val="00850DA9"/>
    <w:rsid w:val="00852350"/>
    <w:rsid w:val="0087433C"/>
    <w:rsid w:val="008836C7"/>
    <w:rsid w:val="00886313"/>
    <w:rsid w:val="00894FFC"/>
    <w:rsid w:val="008A286B"/>
    <w:rsid w:val="008A6380"/>
    <w:rsid w:val="008B7A59"/>
    <w:rsid w:val="008C04D2"/>
    <w:rsid w:val="008C468B"/>
    <w:rsid w:val="008E34C5"/>
    <w:rsid w:val="008F0665"/>
    <w:rsid w:val="008F4DB7"/>
    <w:rsid w:val="009002AB"/>
    <w:rsid w:val="00901941"/>
    <w:rsid w:val="009038DB"/>
    <w:rsid w:val="009108BA"/>
    <w:rsid w:val="00915D22"/>
    <w:rsid w:val="00923EA2"/>
    <w:rsid w:val="00925537"/>
    <w:rsid w:val="00936DDF"/>
    <w:rsid w:val="009400E9"/>
    <w:rsid w:val="00951AB9"/>
    <w:rsid w:val="00953E23"/>
    <w:rsid w:val="009562B3"/>
    <w:rsid w:val="009603E2"/>
    <w:rsid w:val="009667D1"/>
    <w:rsid w:val="00970E18"/>
    <w:rsid w:val="00975795"/>
    <w:rsid w:val="00977672"/>
    <w:rsid w:val="009800E5"/>
    <w:rsid w:val="009950CA"/>
    <w:rsid w:val="009965EA"/>
    <w:rsid w:val="009B4EB2"/>
    <w:rsid w:val="009C4ED7"/>
    <w:rsid w:val="009C7AEB"/>
    <w:rsid w:val="009E5DDB"/>
    <w:rsid w:val="00A03FB9"/>
    <w:rsid w:val="00A06A1F"/>
    <w:rsid w:val="00A10EAE"/>
    <w:rsid w:val="00A11887"/>
    <w:rsid w:val="00A12812"/>
    <w:rsid w:val="00A145F8"/>
    <w:rsid w:val="00A25D5A"/>
    <w:rsid w:val="00A318E3"/>
    <w:rsid w:val="00A50D2B"/>
    <w:rsid w:val="00A51C99"/>
    <w:rsid w:val="00A545FA"/>
    <w:rsid w:val="00A66376"/>
    <w:rsid w:val="00A86A14"/>
    <w:rsid w:val="00A93092"/>
    <w:rsid w:val="00A94C28"/>
    <w:rsid w:val="00AB2F50"/>
    <w:rsid w:val="00AB7C96"/>
    <w:rsid w:val="00AC58A2"/>
    <w:rsid w:val="00AD698A"/>
    <w:rsid w:val="00AE1822"/>
    <w:rsid w:val="00AE2D54"/>
    <w:rsid w:val="00AE4286"/>
    <w:rsid w:val="00AE733B"/>
    <w:rsid w:val="00AF1A51"/>
    <w:rsid w:val="00AF366E"/>
    <w:rsid w:val="00AF3F7B"/>
    <w:rsid w:val="00B005BB"/>
    <w:rsid w:val="00B066E3"/>
    <w:rsid w:val="00B106A6"/>
    <w:rsid w:val="00B4102C"/>
    <w:rsid w:val="00B43918"/>
    <w:rsid w:val="00B51FD9"/>
    <w:rsid w:val="00B61801"/>
    <w:rsid w:val="00B65DE5"/>
    <w:rsid w:val="00B7643C"/>
    <w:rsid w:val="00B80364"/>
    <w:rsid w:val="00B84E32"/>
    <w:rsid w:val="00B91562"/>
    <w:rsid w:val="00BA0D3F"/>
    <w:rsid w:val="00BB1763"/>
    <w:rsid w:val="00BB2764"/>
    <w:rsid w:val="00BB300E"/>
    <w:rsid w:val="00BB78B2"/>
    <w:rsid w:val="00BB7BBA"/>
    <w:rsid w:val="00BC167B"/>
    <w:rsid w:val="00BC1866"/>
    <w:rsid w:val="00BD6368"/>
    <w:rsid w:val="00BD6DB7"/>
    <w:rsid w:val="00BE212A"/>
    <w:rsid w:val="00BF2420"/>
    <w:rsid w:val="00C00229"/>
    <w:rsid w:val="00C01498"/>
    <w:rsid w:val="00C067C2"/>
    <w:rsid w:val="00C138AF"/>
    <w:rsid w:val="00C209F5"/>
    <w:rsid w:val="00C22903"/>
    <w:rsid w:val="00C25A82"/>
    <w:rsid w:val="00C31D97"/>
    <w:rsid w:val="00C42710"/>
    <w:rsid w:val="00C43635"/>
    <w:rsid w:val="00C4775F"/>
    <w:rsid w:val="00C87DA3"/>
    <w:rsid w:val="00C90F2D"/>
    <w:rsid w:val="00C92A82"/>
    <w:rsid w:val="00CA77FE"/>
    <w:rsid w:val="00CA7ABC"/>
    <w:rsid w:val="00CB3FFC"/>
    <w:rsid w:val="00CC4D91"/>
    <w:rsid w:val="00CC57CD"/>
    <w:rsid w:val="00CD50E3"/>
    <w:rsid w:val="00CE2207"/>
    <w:rsid w:val="00CF2001"/>
    <w:rsid w:val="00D23464"/>
    <w:rsid w:val="00D367B3"/>
    <w:rsid w:val="00D42A3B"/>
    <w:rsid w:val="00D440B7"/>
    <w:rsid w:val="00D459D8"/>
    <w:rsid w:val="00D471E1"/>
    <w:rsid w:val="00D52081"/>
    <w:rsid w:val="00D55DB1"/>
    <w:rsid w:val="00D7628E"/>
    <w:rsid w:val="00D77A84"/>
    <w:rsid w:val="00D80AFF"/>
    <w:rsid w:val="00D819B9"/>
    <w:rsid w:val="00DA4451"/>
    <w:rsid w:val="00DC1726"/>
    <w:rsid w:val="00DD67A3"/>
    <w:rsid w:val="00DE1016"/>
    <w:rsid w:val="00DE5AAB"/>
    <w:rsid w:val="00DF45B6"/>
    <w:rsid w:val="00E024B4"/>
    <w:rsid w:val="00E074A9"/>
    <w:rsid w:val="00E1616B"/>
    <w:rsid w:val="00E2168D"/>
    <w:rsid w:val="00E32442"/>
    <w:rsid w:val="00E50D61"/>
    <w:rsid w:val="00E5305E"/>
    <w:rsid w:val="00E67BE9"/>
    <w:rsid w:val="00E73E5A"/>
    <w:rsid w:val="00E82869"/>
    <w:rsid w:val="00EA52F1"/>
    <w:rsid w:val="00EB56B0"/>
    <w:rsid w:val="00EC3A62"/>
    <w:rsid w:val="00ED2C80"/>
    <w:rsid w:val="00EF7175"/>
    <w:rsid w:val="00EF7BFB"/>
    <w:rsid w:val="00F016AD"/>
    <w:rsid w:val="00F47792"/>
    <w:rsid w:val="00F521AF"/>
    <w:rsid w:val="00F66FDD"/>
    <w:rsid w:val="00F95F41"/>
    <w:rsid w:val="00FA0FCA"/>
    <w:rsid w:val="00FB2129"/>
    <w:rsid w:val="00FB39DC"/>
    <w:rsid w:val="00FB53C6"/>
    <w:rsid w:val="00FE1025"/>
    <w:rsid w:val="00FE51C4"/>
    <w:rsid w:val="00FE7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CF2001"/>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AE733B"/>
    <w:pPr>
      <w:keepNext/>
      <w:keepLines/>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001"/>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AE733B"/>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4C4501"/>
    <w:pPr>
      <w:ind w:left="720"/>
      <w:contextualSpacing/>
    </w:pPr>
    <w:rPr>
      <w:rFonts w:ascii="Century Gothic" w:hAnsi="Century Gothic" w:cstheme="minorBidi"/>
      <w:kern w:val="0"/>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C4501"/>
    <w:rPr>
      <w:rFonts w:ascii="Century Gothic" w:hAnsi="Century Gothic"/>
      <w:kern w:val="0"/>
      <w14:ligatures w14:val="none"/>
    </w:rPr>
  </w:style>
  <w:style w:type="paragraph" w:styleId="Textonotapie">
    <w:name w:val="footnote text"/>
    <w:basedOn w:val="Normal"/>
    <w:link w:val="TextonotapieCar"/>
    <w:uiPriority w:val="99"/>
    <w:semiHidden/>
    <w:unhideWhenUsed/>
    <w:rsid w:val="00AF366E"/>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F366E"/>
    <w:rPr>
      <w:rFonts w:ascii="Arial" w:hAnsi="Arial" w:cs="Arial"/>
      <w:sz w:val="20"/>
      <w:szCs w:val="20"/>
    </w:rPr>
  </w:style>
  <w:style w:type="character" w:styleId="Refdenotaalpie">
    <w:name w:val="footnote reference"/>
    <w:basedOn w:val="Fuentedeprrafopredeter"/>
    <w:uiPriority w:val="99"/>
    <w:semiHidden/>
    <w:unhideWhenUsed/>
    <w:rsid w:val="00AF3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8C63-2A11-42DF-9F62-579E027B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4304</Words>
  <Characters>23672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380</cp:revision>
  <cp:lastPrinted>2023-09-29T19:56:00Z</cp:lastPrinted>
  <dcterms:created xsi:type="dcterms:W3CDTF">2023-04-30T05:10:00Z</dcterms:created>
  <dcterms:modified xsi:type="dcterms:W3CDTF">2023-10-03T20:12:00Z</dcterms:modified>
</cp:coreProperties>
</file>