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B27E" w14:textId="0700CDCF" w:rsidR="00B87631" w:rsidRPr="00A83921" w:rsidRDefault="00074901" w:rsidP="00C4775F">
      <w:pPr>
        <w:pStyle w:val="Ttulo"/>
        <w:rPr>
          <w:sz w:val="24"/>
          <w:szCs w:val="26"/>
        </w:rPr>
      </w:pPr>
      <w:r w:rsidRPr="00A83921">
        <w:rPr>
          <w:sz w:val="24"/>
          <w:szCs w:val="26"/>
        </w:rPr>
        <w:t xml:space="preserve">ACUERDO QUE EMITE EL CONSEJO ESTATAL DEL INSTITUTO ELECTORAL Y DE PARTICIPACIÓN CIUDADANA DE TABASCO, MEDIANTE EL CUAL APRUEBA EL ANTEPROYECTO DE PRESUPUESTO DE EGRESOS PARA EL EJERCICIO 2024 </w:t>
      </w:r>
    </w:p>
    <w:p w14:paraId="0C8DFC83" w14:textId="77777777" w:rsidR="00F95F41" w:rsidRPr="00467726" w:rsidRDefault="00F95F41" w:rsidP="00F95F41"/>
    <w:p w14:paraId="5BAC7FAE" w14:textId="77777777" w:rsidR="00B106A6" w:rsidRDefault="00B106A6" w:rsidP="00B106A6">
      <w:pPr>
        <w:spacing w:line="288" w:lineRule="auto"/>
        <w:rPr>
          <w:sz w:val="23"/>
          <w:szCs w:val="23"/>
        </w:rPr>
      </w:pPr>
      <w:r w:rsidRPr="00467726">
        <w:rPr>
          <w:sz w:val="23"/>
          <w:szCs w:val="23"/>
        </w:rPr>
        <w:t>Para efectos del presente acuerdo se usarán las abreviaturas y definiciones siguientes:</w:t>
      </w:r>
    </w:p>
    <w:p w14:paraId="17A198FA" w14:textId="77777777" w:rsidR="009622E1" w:rsidRPr="00467726" w:rsidRDefault="009622E1" w:rsidP="00B106A6">
      <w:pPr>
        <w:spacing w:line="288" w:lineRule="auto"/>
        <w:rPr>
          <w:sz w:val="23"/>
          <w:szCs w:val="23"/>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242F4" w:rsidRPr="00467726" w14:paraId="22EEE4E4" w14:textId="77777777" w:rsidTr="00E81481">
        <w:trPr>
          <w:trHeight w:val="624"/>
          <w:jc w:val="center"/>
        </w:trPr>
        <w:tc>
          <w:tcPr>
            <w:tcW w:w="2042" w:type="pct"/>
            <w:shd w:val="clear" w:color="auto" w:fill="auto"/>
            <w:vAlign w:val="center"/>
          </w:tcPr>
          <w:p w14:paraId="003992D2" w14:textId="77777777" w:rsidR="00C242F4" w:rsidRPr="00467726" w:rsidRDefault="00C242F4" w:rsidP="000A0507">
            <w:pPr>
              <w:spacing w:before="60" w:after="60" w:line="288" w:lineRule="auto"/>
              <w:ind w:left="57"/>
              <w:jc w:val="right"/>
              <w:rPr>
                <w:b/>
              </w:rPr>
            </w:pPr>
            <w:r w:rsidRPr="00467726">
              <w:rPr>
                <w:b/>
              </w:rPr>
              <w:t>Consejo Estatal:</w:t>
            </w:r>
          </w:p>
        </w:tc>
        <w:tc>
          <w:tcPr>
            <w:tcW w:w="2958" w:type="pct"/>
            <w:shd w:val="clear" w:color="auto" w:fill="auto"/>
            <w:vAlign w:val="center"/>
          </w:tcPr>
          <w:p w14:paraId="3BC22AC0" w14:textId="77777777" w:rsidR="00C242F4" w:rsidRPr="00467726" w:rsidRDefault="00C242F4" w:rsidP="000A0507">
            <w:pPr>
              <w:spacing w:before="60" w:after="60" w:line="288" w:lineRule="auto"/>
              <w:ind w:left="57"/>
            </w:pPr>
            <w:r w:rsidRPr="00467726">
              <w:t>Consejo Estatal del Instituto Electoral y de Participación Ciudadana de Tabasco.</w:t>
            </w:r>
          </w:p>
        </w:tc>
      </w:tr>
      <w:tr w:rsidR="00C242F4" w:rsidRPr="00467726" w14:paraId="6E77CF7A" w14:textId="77777777" w:rsidTr="00E81481">
        <w:trPr>
          <w:trHeight w:val="624"/>
          <w:jc w:val="center"/>
        </w:trPr>
        <w:tc>
          <w:tcPr>
            <w:tcW w:w="2042" w:type="pct"/>
            <w:shd w:val="clear" w:color="auto" w:fill="auto"/>
            <w:vAlign w:val="center"/>
          </w:tcPr>
          <w:p w14:paraId="41CFB839" w14:textId="77777777" w:rsidR="00C242F4" w:rsidRPr="00467726" w:rsidRDefault="00C242F4" w:rsidP="000A0507">
            <w:pPr>
              <w:spacing w:before="60" w:after="60" w:line="288" w:lineRule="auto"/>
              <w:ind w:left="57"/>
              <w:jc w:val="right"/>
              <w:rPr>
                <w:b/>
              </w:rPr>
            </w:pPr>
            <w:r w:rsidRPr="00467726">
              <w:rPr>
                <w:b/>
              </w:rPr>
              <w:t>Constitución Federal:</w:t>
            </w:r>
          </w:p>
        </w:tc>
        <w:tc>
          <w:tcPr>
            <w:tcW w:w="2958" w:type="pct"/>
            <w:shd w:val="clear" w:color="auto" w:fill="auto"/>
            <w:vAlign w:val="center"/>
          </w:tcPr>
          <w:p w14:paraId="58DB41CA" w14:textId="77777777" w:rsidR="00C242F4" w:rsidRPr="00467726" w:rsidRDefault="00C242F4" w:rsidP="000A0507">
            <w:pPr>
              <w:spacing w:before="60" w:after="60" w:line="288" w:lineRule="auto"/>
              <w:ind w:left="57"/>
            </w:pPr>
            <w:r w:rsidRPr="00467726">
              <w:t>Constitución Política de los Estados Unidos Mexicanos.</w:t>
            </w:r>
          </w:p>
        </w:tc>
      </w:tr>
      <w:tr w:rsidR="00C242F4" w:rsidRPr="00467726" w14:paraId="282AD4B2" w14:textId="77777777" w:rsidTr="00E81481">
        <w:trPr>
          <w:trHeight w:val="624"/>
          <w:jc w:val="center"/>
        </w:trPr>
        <w:tc>
          <w:tcPr>
            <w:tcW w:w="2042" w:type="pct"/>
            <w:shd w:val="clear" w:color="auto" w:fill="auto"/>
            <w:vAlign w:val="center"/>
          </w:tcPr>
          <w:p w14:paraId="055F6725" w14:textId="77777777" w:rsidR="00C242F4" w:rsidRPr="00467726" w:rsidRDefault="00C242F4" w:rsidP="000A0507">
            <w:pPr>
              <w:spacing w:before="60" w:after="60" w:line="288" w:lineRule="auto"/>
              <w:ind w:left="57"/>
              <w:jc w:val="right"/>
              <w:rPr>
                <w:b/>
              </w:rPr>
            </w:pPr>
            <w:r w:rsidRPr="00467726">
              <w:rPr>
                <w:b/>
              </w:rPr>
              <w:t>Constitución Local:</w:t>
            </w:r>
          </w:p>
        </w:tc>
        <w:tc>
          <w:tcPr>
            <w:tcW w:w="2958" w:type="pct"/>
            <w:shd w:val="clear" w:color="auto" w:fill="auto"/>
            <w:vAlign w:val="center"/>
          </w:tcPr>
          <w:p w14:paraId="3804B89B" w14:textId="77777777" w:rsidR="00C242F4" w:rsidRPr="00467726" w:rsidRDefault="00C242F4" w:rsidP="000A0507">
            <w:pPr>
              <w:spacing w:before="60" w:after="60" w:line="288" w:lineRule="auto"/>
              <w:ind w:left="57"/>
            </w:pPr>
            <w:r w:rsidRPr="00467726">
              <w:t>Constitución Política del Estado Libre y Soberano de Tabasco.</w:t>
            </w:r>
          </w:p>
        </w:tc>
      </w:tr>
      <w:tr w:rsidR="00C242F4" w:rsidRPr="00467726" w14:paraId="0A8578E1" w14:textId="77777777" w:rsidTr="00E81481">
        <w:trPr>
          <w:trHeight w:val="624"/>
          <w:jc w:val="center"/>
        </w:trPr>
        <w:tc>
          <w:tcPr>
            <w:tcW w:w="2042" w:type="pct"/>
            <w:shd w:val="clear" w:color="auto" w:fill="auto"/>
            <w:vAlign w:val="center"/>
          </w:tcPr>
          <w:p w14:paraId="0E2E87F5" w14:textId="77777777" w:rsidR="00C242F4" w:rsidRPr="00467726" w:rsidRDefault="00C242F4" w:rsidP="000A0507">
            <w:pPr>
              <w:spacing w:before="60" w:after="60" w:line="288" w:lineRule="auto"/>
              <w:ind w:left="57"/>
              <w:jc w:val="right"/>
              <w:rPr>
                <w:b/>
              </w:rPr>
            </w:pPr>
            <w:r w:rsidRPr="00467726">
              <w:rPr>
                <w:b/>
              </w:rPr>
              <w:t>INE:</w:t>
            </w:r>
          </w:p>
        </w:tc>
        <w:tc>
          <w:tcPr>
            <w:tcW w:w="2958" w:type="pct"/>
            <w:shd w:val="clear" w:color="auto" w:fill="auto"/>
            <w:vAlign w:val="center"/>
          </w:tcPr>
          <w:p w14:paraId="2A228CEF" w14:textId="77777777" w:rsidR="00C242F4" w:rsidRPr="00467726" w:rsidRDefault="00C242F4" w:rsidP="000A0507">
            <w:pPr>
              <w:spacing w:before="60" w:after="60" w:line="288" w:lineRule="auto"/>
              <w:ind w:left="57"/>
            </w:pPr>
            <w:r w:rsidRPr="00467726">
              <w:t>Instituto Nacional Electoral.</w:t>
            </w:r>
          </w:p>
        </w:tc>
      </w:tr>
      <w:tr w:rsidR="00C242F4" w:rsidRPr="00467726" w14:paraId="7342079C" w14:textId="77777777" w:rsidTr="00E81481">
        <w:trPr>
          <w:trHeight w:val="624"/>
          <w:jc w:val="center"/>
        </w:trPr>
        <w:tc>
          <w:tcPr>
            <w:tcW w:w="2042" w:type="pct"/>
            <w:shd w:val="clear" w:color="auto" w:fill="auto"/>
            <w:vAlign w:val="center"/>
          </w:tcPr>
          <w:p w14:paraId="3D7B113A" w14:textId="77777777" w:rsidR="00C242F4" w:rsidRPr="00467726" w:rsidRDefault="00C242F4" w:rsidP="000A0507">
            <w:pPr>
              <w:spacing w:before="60" w:after="60" w:line="288" w:lineRule="auto"/>
              <w:ind w:left="57"/>
              <w:jc w:val="right"/>
              <w:rPr>
                <w:b/>
              </w:rPr>
            </w:pPr>
            <w:r w:rsidRPr="00467726">
              <w:rPr>
                <w:b/>
              </w:rPr>
              <w:t>Instituto:</w:t>
            </w:r>
          </w:p>
        </w:tc>
        <w:tc>
          <w:tcPr>
            <w:tcW w:w="2958" w:type="pct"/>
            <w:shd w:val="clear" w:color="auto" w:fill="auto"/>
          </w:tcPr>
          <w:p w14:paraId="3550AE78" w14:textId="77777777" w:rsidR="00C242F4" w:rsidRPr="00467726" w:rsidRDefault="00C242F4" w:rsidP="000A0507">
            <w:pPr>
              <w:spacing w:before="60" w:after="60" w:line="288" w:lineRule="auto"/>
              <w:ind w:left="57"/>
            </w:pPr>
            <w:r w:rsidRPr="00467726">
              <w:t>Instituto Electoral y de Participación Ciudadana de Tabasco.</w:t>
            </w:r>
          </w:p>
        </w:tc>
      </w:tr>
      <w:tr w:rsidR="00C242F4" w:rsidRPr="00467726" w14:paraId="27B2124D" w14:textId="77777777" w:rsidTr="00E81481">
        <w:trPr>
          <w:trHeight w:val="624"/>
          <w:jc w:val="center"/>
        </w:trPr>
        <w:tc>
          <w:tcPr>
            <w:tcW w:w="2042" w:type="pct"/>
            <w:shd w:val="clear" w:color="auto" w:fill="auto"/>
            <w:vAlign w:val="center"/>
          </w:tcPr>
          <w:p w14:paraId="472AD997" w14:textId="77777777" w:rsidR="00C242F4" w:rsidRPr="00467726" w:rsidRDefault="00C242F4" w:rsidP="000A0507">
            <w:pPr>
              <w:spacing w:before="60" w:after="60" w:line="288" w:lineRule="auto"/>
              <w:ind w:left="57"/>
              <w:jc w:val="right"/>
              <w:rPr>
                <w:b/>
              </w:rPr>
            </w:pPr>
            <w:r>
              <w:rPr>
                <w:b/>
              </w:rPr>
              <w:t>Ley de Presupuesto:</w:t>
            </w:r>
          </w:p>
        </w:tc>
        <w:tc>
          <w:tcPr>
            <w:tcW w:w="2958" w:type="pct"/>
            <w:shd w:val="clear" w:color="auto" w:fill="auto"/>
            <w:vAlign w:val="center"/>
          </w:tcPr>
          <w:p w14:paraId="51EA61AD" w14:textId="77777777" w:rsidR="00C242F4" w:rsidRPr="00467726" w:rsidRDefault="00C242F4" w:rsidP="000A0507">
            <w:pPr>
              <w:spacing w:before="60" w:after="60" w:line="288" w:lineRule="auto"/>
              <w:ind w:left="57"/>
            </w:pPr>
            <w:r>
              <w:t>Ley de Presupuesto y Responsabilidad Hacendaria del Estado de Tabasco.</w:t>
            </w:r>
          </w:p>
        </w:tc>
      </w:tr>
      <w:tr w:rsidR="00C242F4" w:rsidRPr="00467726" w14:paraId="7CB9E593" w14:textId="77777777" w:rsidTr="00E81481">
        <w:trPr>
          <w:trHeight w:val="624"/>
          <w:jc w:val="center"/>
        </w:trPr>
        <w:tc>
          <w:tcPr>
            <w:tcW w:w="2042" w:type="pct"/>
            <w:shd w:val="clear" w:color="auto" w:fill="auto"/>
            <w:vAlign w:val="center"/>
          </w:tcPr>
          <w:p w14:paraId="7574CF63" w14:textId="77777777" w:rsidR="00C242F4" w:rsidRPr="00467726" w:rsidRDefault="00C242F4" w:rsidP="000A0507">
            <w:pPr>
              <w:spacing w:before="60" w:after="60" w:line="288" w:lineRule="auto"/>
              <w:ind w:left="57"/>
              <w:jc w:val="right"/>
              <w:rPr>
                <w:b/>
              </w:rPr>
            </w:pPr>
            <w:r w:rsidRPr="00467726">
              <w:rPr>
                <w:b/>
              </w:rPr>
              <w:t>Ley Electoral:</w:t>
            </w:r>
          </w:p>
        </w:tc>
        <w:tc>
          <w:tcPr>
            <w:tcW w:w="2958" w:type="pct"/>
            <w:shd w:val="clear" w:color="auto" w:fill="auto"/>
            <w:vAlign w:val="center"/>
          </w:tcPr>
          <w:p w14:paraId="1D450ABE" w14:textId="77777777" w:rsidR="00C242F4" w:rsidRPr="00467726" w:rsidRDefault="00C242F4" w:rsidP="000A0507">
            <w:pPr>
              <w:spacing w:before="60" w:after="60" w:line="288" w:lineRule="auto"/>
              <w:ind w:left="57"/>
            </w:pPr>
            <w:r w:rsidRPr="00467726">
              <w:t>Ley Electoral y de Partidos Políticos del Estado de Tabasco.</w:t>
            </w:r>
          </w:p>
        </w:tc>
      </w:tr>
      <w:tr w:rsidR="00C242F4" w:rsidRPr="00467726" w14:paraId="1A78824C" w14:textId="77777777" w:rsidTr="00E81481">
        <w:trPr>
          <w:trHeight w:val="624"/>
          <w:jc w:val="center"/>
        </w:trPr>
        <w:tc>
          <w:tcPr>
            <w:tcW w:w="2042" w:type="pct"/>
            <w:shd w:val="clear" w:color="auto" w:fill="auto"/>
            <w:vAlign w:val="center"/>
          </w:tcPr>
          <w:p w14:paraId="02A92E58" w14:textId="77777777" w:rsidR="00C242F4" w:rsidRPr="00467726" w:rsidRDefault="00C242F4" w:rsidP="000A0507">
            <w:pPr>
              <w:spacing w:before="60" w:after="60" w:line="288" w:lineRule="auto"/>
              <w:ind w:left="57"/>
              <w:jc w:val="right"/>
              <w:rPr>
                <w:b/>
              </w:rPr>
            </w:pPr>
            <w:r w:rsidRPr="00467726">
              <w:rPr>
                <w:b/>
              </w:rPr>
              <w:t>Ley General:</w:t>
            </w:r>
          </w:p>
        </w:tc>
        <w:tc>
          <w:tcPr>
            <w:tcW w:w="2958" w:type="pct"/>
            <w:shd w:val="clear" w:color="auto" w:fill="auto"/>
            <w:vAlign w:val="center"/>
          </w:tcPr>
          <w:p w14:paraId="2F6395D9" w14:textId="77777777" w:rsidR="00C242F4" w:rsidRPr="00467726" w:rsidRDefault="00C242F4" w:rsidP="000A0507">
            <w:pPr>
              <w:spacing w:before="60" w:after="60" w:line="288" w:lineRule="auto"/>
              <w:ind w:left="57"/>
            </w:pPr>
            <w:r w:rsidRPr="00467726">
              <w:t>Ley General de Instituciones y Procedimientos Electorales.</w:t>
            </w:r>
          </w:p>
        </w:tc>
      </w:tr>
      <w:tr w:rsidR="00C242F4" w:rsidRPr="00467726" w14:paraId="7AEA0D7D" w14:textId="77777777" w:rsidTr="00E81481">
        <w:trPr>
          <w:trHeight w:val="624"/>
          <w:jc w:val="center"/>
        </w:trPr>
        <w:tc>
          <w:tcPr>
            <w:tcW w:w="2042" w:type="pct"/>
            <w:shd w:val="clear" w:color="auto" w:fill="auto"/>
            <w:vAlign w:val="center"/>
          </w:tcPr>
          <w:p w14:paraId="1C2B6DA3" w14:textId="77777777" w:rsidR="00C242F4" w:rsidRPr="00467726" w:rsidRDefault="00C242F4" w:rsidP="000A0507">
            <w:pPr>
              <w:spacing w:before="60" w:after="60" w:line="288" w:lineRule="auto"/>
              <w:ind w:left="57"/>
              <w:jc w:val="right"/>
              <w:rPr>
                <w:b/>
              </w:rPr>
            </w:pPr>
            <w:r w:rsidRPr="00467726">
              <w:rPr>
                <w:b/>
              </w:rPr>
              <w:t>Organismo electoral:</w:t>
            </w:r>
          </w:p>
        </w:tc>
        <w:tc>
          <w:tcPr>
            <w:tcW w:w="2958" w:type="pct"/>
            <w:shd w:val="clear" w:color="auto" w:fill="auto"/>
            <w:vAlign w:val="center"/>
          </w:tcPr>
          <w:p w14:paraId="4919B964" w14:textId="77777777" w:rsidR="00C242F4" w:rsidRPr="00467726" w:rsidRDefault="00C242F4" w:rsidP="000A0507">
            <w:pPr>
              <w:spacing w:before="60" w:after="60" w:line="288" w:lineRule="auto"/>
              <w:ind w:left="57"/>
            </w:pPr>
            <w:r w:rsidRPr="00467726">
              <w:t xml:space="preserve">Organismo(s) público(s) local(es) electoral(es). </w:t>
            </w:r>
          </w:p>
        </w:tc>
      </w:tr>
      <w:tr w:rsidR="00C242F4" w:rsidRPr="00467726" w14:paraId="342AA199" w14:textId="77777777" w:rsidTr="00E81481">
        <w:trPr>
          <w:trHeight w:val="624"/>
          <w:jc w:val="center"/>
        </w:trPr>
        <w:tc>
          <w:tcPr>
            <w:tcW w:w="2042" w:type="pct"/>
            <w:shd w:val="clear" w:color="auto" w:fill="auto"/>
            <w:vAlign w:val="center"/>
          </w:tcPr>
          <w:p w14:paraId="00145E4A" w14:textId="77777777" w:rsidR="00C242F4" w:rsidRPr="00467726" w:rsidRDefault="00C242F4" w:rsidP="000A0507">
            <w:pPr>
              <w:spacing w:before="60" w:after="60" w:line="288" w:lineRule="auto"/>
              <w:ind w:left="57"/>
              <w:jc w:val="right"/>
              <w:rPr>
                <w:b/>
              </w:rPr>
            </w:pPr>
            <w:r w:rsidRPr="00467726">
              <w:rPr>
                <w:b/>
              </w:rPr>
              <w:t>Secretaría Ejecutiva:</w:t>
            </w:r>
          </w:p>
        </w:tc>
        <w:tc>
          <w:tcPr>
            <w:tcW w:w="2958" w:type="pct"/>
            <w:shd w:val="clear" w:color="auto" w:fill="auto"/>
            <w:vAlign w:val="center"/>
          </w:tcPr>
          <w:p w14:paraId="2871E353" w14:textId="77777777" w:rsidR="00C242F4" w:rsidRPr="00467726" w:rsidRDefault="00C242F4" w:rsidP="000A0507">
            <w:pPr>
              <w:spacing w:before="60" w:after="60" w:line="288" w:lineRule="auto"/>
              <w:ind w:left="57"/>
            </w:pPr>
            <w:r w:rsidRPr="00467726">
              <w:t>Secretaría Ejecutiva del Instituto Electoral y de Participación Ciudadana de Tabasco.</w:t>
            </w:r>
          </w:p>
        </w:tc>
      </w:tr>
    </w:tbl>
    <w:p w14:paraId="135032E3" w14:textId="77777777" w:rsidR="009622E1" w:rsidRDefault="009622E1" w:rsidP="009622E1"/>
    <w:p w14:paraId="295D96A8" w14:textId="4C772EEE" w:rsidR="0004782D" w:rsidRPr="00074901" w:rsidRDefault="0004782D" w:rsidP="00BA06A1">
      <w:pPr>
        <w:pStyle w:val="Ttulo1"/>
        <w:rPr>
          <w:sz w:val="24"/>
          <w:szCs w:val="24"/>
        </w:rPr>
      </w:pPr>
      <w:r w:rsidRPr="00074901">
        <w:rPr>
          <w:sz w:val="24"/>
          <w:szCs w:val="24"/>
        </w:rPr>
        <w:lastRenderedPageBreak/>
        <w:t>Antecedentes</w:t>
      </w:r>
    </w:p>
    <w:p w14:paraId="6C7E22AE" w14:textId="5FE50E7B" w:rsidR="00605CA8" w:rsidRPr="00074901" w:rsidRDefault="00570B79" w:rsidP="0046065C">
      <w:pPr>
        <w:pStyle w:val="Ttulo2"/>
        <w:rPr>
          <w:sz w:val="23"/>
          <w:szCs w:val="23"/>
        </w:rPr>
      </w:pPr>
      <w:r w:rsidRPr="00074901">
        <w:rPr>
          <w:sz w:val="23"/>
          <w:szCs w:val="23"/>
        </w:rPr>
        <w:t>Monto de financiamientos público local para partidos políticos</w:t>
      </w:r>
    </w:p>
    <w:p w14:paraId="4D7FFC29" w14:textId="023FAE5B" w:rsidR="00770170" w:rsidRPr="00074901" w:rsidRDefault="00770170" w:rsidP="00605CA8">
      <w:pPr>
        <w:rPr>
          <w:sz w:val="23"/>
          <w:szCs w:val="23"/>
        </w:rPr>
      </w:pPr>
      <w:r w:rsidRPr="00074901">
        <w:rPr>
          <w:sz w:val="23"/>
          <w:szCs w:val="23"/>
        </w:rPr>
        <w:t xml:space="preserve">El 29 de septiembre de 2023, mediante acuerdo CE/2023/020, el Consejo Estatal determinó la cantidad de </w:t>
      </w:r>
      <w:r w:rsidRPr="00074901">
        <w:rPr>
          <w:b/>
          <w:bCs/>
          <w:sz w:val="23"/>
          <w:szCs w:val="23"/>
        </w:rPr>
        <w:t>$94’066,610.81 (noventa y cuatro millones sesenta y seis mil seiscientos diez pesos 81/100 m. n.)</w:t>
      </w:r>
      <w:r w:rsidRPr="00074901">
        <w:rPr>
          <w:sz w:val="23"/>
          <w:szCs w:val="23"/>
        </w:rPr>
        <w:t xml:space="preserve"> por concepto de financiamiento público local para el sostenimiento de actividades ordinarias permanentes y específicas para el ejercicio 2024 y gastos de campaña que corresponden a los partidos políticos nacionales y en su caso a las candidaturas independientes con motivo del Proceso Electoral.</w:t>
      </w:r>
    </w:p>
    <w:p w14:paraId="7C41A935" w14:textId="77777777" w:rsidR="00570B79" w:rsidRPr="00074901" w:rsidRDefault="00570B79" w:rsidP="00570B79">
      <w:pPr>
        <w:pStyle w:val="Ttulo2"/>
        <w:rPr>
          <w:sz w:val="23"/>
          <w:szCs w:val="23"/>
        </w:rPr>
      </w:pPr>
      <w:r w:rsidRPr="00074901">
        <w:rPr>
          <w:sz w:val="23"/>
          <w:szCs w:val="23"/>
        </w:rPr>
        <w:t>Anteproyecto de Presupuesto de Egresos</w:t>
      </w:r>
    </w:p>
    <w:p w14:paraId="7E053E2D" w14:textId="77777777" w:rsidR="00570B79" w:rsidRPr="00074901" w:rsidRDefault="00570B79" w:rsidP="00570B79">
      <w:pPr>
        <w:rPr>
          <w:sz w:val="23"/>
          <w:szCs w:val="23"/>
        </w:rPr>
      </w:pPr>
      <w:r w:rsidRPr="00074901">
        <w:rPr>
          <w:sz w:val="23"/>
          <w:szCs w:val="23"/>
        </w:rPr>
        <w:t>De conformidad con el artículo 9, apartado C, fracción II de la Constitución Local, el Consejo Estatal, a través de la Consejera Presidenta, deberá remitir al Ejecutivo Estatal el anteproyecto de egresos de cada año, para su inclusión en el proyecto del Presupuesto General de Egresos del Estado, mismo que será revisado y, en su caso, aprobado por el Congreso. En los años electorales se aumentará conforme a lo dispuesto por las leyes en la materia, tomando en cuenta las elecciones de que se trate.</w:t>
      </w:r>
    </w:p>
    <w:p w14:paraId="315158D3" w14:textId="41B609F0" w:rsidR="00B51FD9" w:rsidRPr="00074901" w:rsidRDefault="00B51FD9" w:rsidP="0046065C">
      <w:pPr>
        <w:pStyle w:val="Ttulo2"/>
        <w:rPr>
          <w:sz w:val="23"/>
          <w:szCs w:val="23"/>
        </w:rPr>
      </w:pPr>
      <w:r w:rsidRPr="00074901">
        <w:rPr>
          <w:sz w:val="23"/>
          <w:szCs w:val="23"/>
        </w:rPr>
        <w:t>Inicio del Proceso Electoral</w:t>
      </w:r>
    </w:p>
    <w:p w14:paraId="18C9651B" w14:textId="77777777" w:rsidR="00B51FD9" w:rsidRPr="007320CC" w:rsidRDefault="00B51FD9" w:rsidP="00164F4D">
      <w:pPr>
        <w:rPr>
          <w:sz w:val="23"/>
          <w:szCs w:val="23"/>
        </w:rPr>
      </w:pPr>
      <w:r w:rsidRPr="00074901">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r w:rsidRPr="007320CC">
        <w:rPr>
          <w:sz w:val="23"/>
          <w:szCs w:val="23"/>
        </w:rPr>
        <w:t>.</w:t>
      </w:r>
    </w:p>
    <w:p w14:paraId="74A1D549" w14:textId="77777777" w:rsidR="00740B50" w:rsidRPr="00074901" w:rsidRDefault="00740B50" w:rsidP="00BA06A1">
      <w:pPr>
        <w:pStyle w:val="Ttulo1"/>
        <w:rPr>
          <w:sz w:val="24"/>
          <w:szCs w:val="24"/>
        </w:rPr>
      </w:pPr>
      <w:r w:rsidRPr="00074901">
        <w:rPr>
          <w:sz w:val="24"/>
          <w:szCs w:val="24"/>
        </w:rPr>
        <w:t>Considerando</w:t>
      </w:r>
    </w:p>
    <w:p w14:paraId="4A70F198" w14:textId="77777777" w:rsidR="0046065C" w:rsidRPr="00074901" w:rsidRDefault="0046065C" w:rsidP="0046065C">
      <w:pPr>
        <w:pStyle w:val="Ttulo2"/>
        <w:rPr>
          <w:sz w:val="23"/>
          <w:szCs w:val="23"/>
        </w:rPr>
      </w:pPr>
      <w:r w:rsidRPr="00074901">
        <w:rPr>
          <w:sz w:val="23"/>
          <w:szCs w:val="23"/>
        </w:rPr>
        <w:t xml:space="preserve">Fines del Instituto </w:t>
      </w:r>
    </w:p>
    <w:p w14:paraId="69F12849" w14:textId="77777777" w:rsidR="0046065C" w:rsidRPr="00074901" w:rsidRDefault="0046065C" w:rsidP="0046065C">
      <w:pPr>
        <w:rPr>
          <w:sz w:val="23"/>
          <w:szCs w:val="23"/>
        </w:rPr>
      </w:pPr>
      <w:r w:rsidRPr="00074901">
        <w:rPr>
          <w:sz w:val="23"/>
          <w:szCs w:val="23"/>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w:t>
      </w:r>
      <w:r w:rsidRPr="00074901">
        <w:rPr>
          <w:sz w:val="23"/>
          <w:szCs w:val="23"/>
        </w:rPr>
        <w:lastRenderedPageBreak/>
        <w:t>independencia, inclusión, imparcialidad, máxima publicidad, transparencia, rendición de cuentas, objetividad, paridad, interculturalidad y las realizarán con perspectiva de género y enfoque de derechos humanos.</w:t>
      </w:r>
    </w:p>
    <w:p w14:paraId="63A37114" w14:textId="77777777" w:rsidR="0046065C" w:rsidRPr="00074901" w:rsidRDefault="0046065C" w:rsidP="0046065C">
      <w:pPr>
        <w:rPr>
          <w:sz w:val="23"/>
          <w:szCs w:val="23"/>
        </w:rPr>
      </w:pPr>
      <w:r w:rsidRPr="00074901">
        <w:rPr>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035F013" w14:textId="77777777" w:rsidR="0046065C" w:rsidRPr="00074901" w:rsidRDefault="0046065C" w:rsidP="0046065C">
      <w:pPr>
        <w:pStyle w:val="Ttulo2"/>
        <w:rPr>
          <w:sz w:val="23"/>
          <w:szCs w:val="23"/>
        </w:rPr>
      </w:pPr>
      <w:r w:rsidRPr="00074901">
        <w:rPr>
          <w:sz w:val="23"/>
          <w:szCs w:val="23"/>
        </w:rPr>
        <w:t xml:space="preserve">Órganos Centrales del Instituto </w:t>
      </w:r>
    </w:p>
    <w:p w14:paraId="0047BA49" w14:textId="77777777" w:rsidR="0046065C" w:rsidRPr="00074901" w:rsidRDefault="0046065C" w:rsidP="0046065C">
      <w:pPr>
        <w:rPr>
          <w:sz w:val="23"/>
          <w:szCs w:val="23"/>
        </w:rPr>
      </w:pPr>
      <w:r w:rsidRPr="00074901">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5AC22A88" w14:textId="77777777" w:rsidR="0046065C" w:rsidRPr="00074901" w:rsidRDefault="0046065C" w:rsidP="0046065C">
      <w:pPr>
        <w:pStyle w:val="Ttulo2"/>
        <w:rPr>
          <w:sz w:val="23"/>
          <w:szCs w:val="23"/>
        </w:rPr>
      </w:pPr>
      <w:r w:rsidRPr="00074901">
        <w:rPr>
          <w:sz w:val="23"/>
          <w:szCs w:val="23"/>
        </w:rPr>
        <w:t xml:space="preserve">Órgano Superior de Dirección del Instituto </w:t>
      </w:r>
    </w:p>
    <w:p w14:paraId="65E67D18" w14:textId="77777777" w:rsidR="0046065C" w:rsidRPr="00074901" w:rsidRDefault="0046065C" w:rsidP="0046065C">
      <w:pPr>
        <w:rPr>
          <w:sz w:val="23"/>
          <w:szCs w:val="23"/>
        </w:rPr>
      </w:pPr>
      <w:r w:rsidRPr="00074901">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B202170" w14:textId="77777777" w:rsidR="00740B50" w:rsidRPr="00074901" w:rsidRDefault="00740B50" w:rsidP="0046065C">
      <w:pPr>
        <w:pStyle w:val="Ttulo2"/>
        <w:rPr>
          <w:sz w:val="23"/>
          <w:szCs w:val="23"/>
        </w:rPr>
      </w:pPr>
      <w:r w:rsidRPr="00074901">
        <w:rPr>
          <w:sz w:val="23"/>
          <w:szCs w:val="23"/>
        </w:rPr>
        <w:t>Integración del Órgano de Dirección Superior</w:t>
      </w:r>
    </w:p>
    <w:p w14:paraId="3AAF98EF" w14:textId="77777777" w:rsidR="00740B50" w:rsidRPr="00074901" w:rsidRDefault="00740B50" w:rsidP="00164F4D">
      <w:pPr>
        <w:rPr>
          <w:sz w:val="23"/>
          <w:szCs w:val="23"/>
        </w:rPr>
      </w:pPr>
      <w:r w:rsidRPr="00074901">
        <w:rPr>
          <w:sz w:val="23"/>
          <w:szCs w:val="23"/>
        </w:rPr>
        <w:t xml:space="preserve">Que, los artículos 99 de la Ley General y 107, numeral 1 de la Ley Electoral, disponen que el Consejo Estatal se integrará por una Consejera o un Consejero Presidente y seis consejeras y consejeros electorales, con voz y voto; la Secretaria o el Secretario </w:t>
      </w:r>
      <w:r w:rsidRPr="00074901">
        <w:rPr>
          <w:sz w:val="23"/>
          <w:szCs w:val="23"/>
        </w:rPr>
        <w:lastRenderedPageBreak/>
        <w:t>Ejecutivo y una o un representante por cada partido político con registro nacional o estatal, quienes concurrirán a las sesiones sólo con derecho a voz.</w:t>
      </w:r>
    </w:p>
    <w:p w14:paraId="7D8ADB18" w14:textId="77777777" w:rsidR="00740B50" w:rsidRPr="00074901" w:rsidRDefault="00740B50" w:rsidP="0046065C">
      <w:pPr>
        <w:pStyle w:val="Ttulo2"/>
        <w:rPr>
          <w:sz w:val="23"/>
          <w:szCs w:val="23"/>
        </w:rPr>
      </w:pPr>
      <w:r w:rsidRPr="00074901">
        <w:rPr>
          <w:sz w:val="23"/>
          <w:szCs w:val="23"/>
        </w:rPr>
        <w:t xml:space="preserve">Competencia del Consejo Estatal </w:t>
      </w:r>
    </w:p>
    <w:p w14:paraId="03A746C0" w14:textId="412EDF19" w:rsidR="008F0665" w:rsidRPr="00074901" w:rsidRDefault="00740B50" w:rsidP="005C401A">
      <w:pPr>
        <w:rPr>
          <w:sz w:val="23"/>
          <w:szCs w:val="23"/>
        </w:rPr>
      </w:pPr>
      <w:r w:rsidRPr="00074901">
        <w:rPr>
          <w:sz w:val="23"/>
          <w:szCs w:val="23"/>
        </w:rPr>
        <w:t xml:space="preserve">Que, de conformidad con </w:t>
      </w:r>
      <w:r w:rsidR="00C01498" w:rsidRPr="00074901">
        <w:rPr>
          <w:sz w:val="23"/>
          <w:szCs w:val="23"/>
        </w:rPr>
        <w:t>el artículo 115</w:t>
      </w:r>
      <w:r w:rsidR="00C46BF3" w:rsidRPr="00074901">
        <w:rPr>
          <w:sz w:val="23"/>
          <w:szCs w:val="23"/>
        </w:rPr>
        <w:t xml:space="preserve"> </w:t>
      </w:r>
      <w:r w:rsidR="00C01498" w:rsidRPr="00074901">
        <w:rPr>
          <w:sz w:val="23"/>
          <w:szCs w:val="23"/>
        </w:rPr>
        <w:t xml:space="preserve">numeral 1 </w:t>
      </w:r>
      <w:r w:rsidR="005C401A" w:rsidRPr="00074901">
        <w:rPr>
          <w:sz w:val="23"/>
          <w:szCs w:val="23"/>
        </w:rPr>
        <w:t xml:space="preserve">fracción XXXII </w:t>
      </w:r>
      <w:r w:rsidR="008F0665" w:rsidRPr="00074901">
        <w:rPr>
          <w:sz w:val="23"/>
          <w:szCs w:val="23"/>
        </w:rPr>
        <w:t xml:space="preserve">de la Ley Electoral, el Consejo Estatal es competente para </w:t>
      </w:r>
      <w:r w:rsidR="005C401A" w:rsidRPr="00074901">
        <w:rPr>
          <w:sz w:val="23"/>
          <w:szCs w:val="23"/>
        </w:rPr>
        <w:t>aprobar anualmente el anteproyecto del presupuesto del Instituto Estatal que proponga la Presidenta o Presidente del propio Consejo y remitirlo, una vez aprobado, al Ejecutivo local para su inclusión en el proyecto de Presupuesto de Egresos del Estado</w:t>
      </w:r>
      <w:r w:rsidR="008F0665" w:rsidRPr="00074901">
        <w:rPr>
          <w:sz w:val="23"/>
          <w:szCs w:val="23"/>
        </w:rPr>
        <w:t>.</w:t>
      </w:r>
    </w:p>
    <w:p w14:paraId="5E463F78" w14:textId="77777777" w:rsidR="00740B50" w:rsidRPr="00074901" w:rsidRDefault="00740B50" w:rsidP="00164F4D">
      <w:pPr>
        <w:rPr>
          <w:sz w:val="23"/>
          <w:szCs w:val="23"/>
        </w:rPr>
      </w:pPr>
      <w:r w:rsidRPr="00074901">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E57884B" w14:textId="1437F550" w:rsidR="00325119" w:rsidRPr="00074901" w:rsidRDefault="00325119" w:rsidP="0046065C">
      <w:pPr>
        <w:pStyle w:val="Ttulo2"/>
        <w:rPr>
          <w:sz w:val="23"/>
          <w:szCs w:val="23"/>
        </w:rPr>
      </w:pPr>
      <w:r w:rsidRPr="00074901">
        <w:rPr>
          <w:sz w:val="23"/>
          <w:szCs w:val="23"/>
        </w:rPr>
        <w:t xml:space="preserve">Atribución de la Presidencia del Consejo Estatal </w:t>
      </w:r>
    </w:p>
    <w:p w14:paraId="54EFA1DE" w14:textId="602D341F" w:rsidR="00325119" w:rsidRPr="00074901" w:rsidRDefault="00325119" w:rsidP="00164F4D">
      <w:pPr>
        <w:rPr>
          <w:sz w:val="23"/>
          <w:szCs w:val="23"/>
        </w:rPr>
      </w:pPr>
      <w:r w:rsidRPr="00074901">
        <w:rPr>
          <w:sz w:val="23"/>
          <w:szCs w:val="23"/>
        </w:rPr>
        <w:t>Que, el artículo 116, numeral 1, fracción IX de la Ley Electoral, establece como atribución de la Presidencia del Consejo, poner a consideración de Consejo Estatal el anteproyecto de presupuesto anual del Instituto, para los efectos correspondientes.</w:t>
      </w:r>
    </w:p>
    <w:p w14:paraId="3621BF42" w14:textId="41B56551" w:rsidR="00325119" w:rsidRPr="00074901" w:rsidRDefault="00325119" w:rsidP="0046065C">
      <w:pPr>
        <w:pStyle w:val="Ttulo2"/>
        <w:rPr>
          <w:sz w:val="23"/>
          <w:szCs w:val="23"/>
        </w:rPr>
      </w:pPr>
      <w:r w:rsidRPr="00074901">
        <w:rPr>
          <w:sz w:val="23"/>
          <w:szCs w:val="23"/>
        </w:rPr>
        <w:t>Elaboración y formulación del ant</w:t>
      </w:r>
      <w:r w:rsidR="001A59A8" w:rsidRPr="00074901">
        <w:rPr>
          <w:sz w:val="23"/>
          <w:szCs w:val="23"/>
        </w:rPr>
        <w:t>eproyecto anual de presupuesto</w:t>
      </w:r>
    </w:p>
    <w:p w14:paraId="6DBDF683" w14:textId="01860C1E" w:rsidR="00325119" w:rsidRPr="00074901" w:rsidRDefault="00325119" w:rsidP="00830B60">
      <w:pPr>
        <w:rPr>
          <w:sz w:val="23"/>
          <w:szCs w:val="23"/>
        </w:rPr>
      </w:pPr>
      <w:r w:rsidRPr="00074901">
        <w:rPr>
          <w:sz w:val="23"/>
          <w:szCs w:val="23"/>
        </w:rPr>
        <w:t xml:space="preserve">Que, </w:t>
      </w:r>
      <w:r w:rsidR="00830B60" w:rsidRPr="00074901">
        <w:rPr>
          <w:sz w:val="23"/>
          <w:szCs w:val="23"/>
        </w:rPr>
        <w:t xml:space="preserve">los artículos </w:t>
      </w:r>
      <w:r w:rsidRPr="00074901">
        <w:rPr>
          <w:sz w:val="23"/>
          <w:szCs w:val="23"/>
        </w:rPr>
        <w:t>117 numeral 2, fracción XV</w:t>
      </w:r>
      <w:r w:rsidR="00830B60" w:rsidRPr="00074901">
        <w:rPr>
          <w:sz w:val="23"/>
          <w:szCs w:val="23"/>
        </w:rPr>
        <w:t xml:space="preserve"> y 122 numeral 1, fracción III de la Ley Electoral</w:t>
      </w:r>
      <w:r w:rsidR="00BA48EE" w:rsidRPr="00074901">
        <w:rPr>
          <w:sz w:val="23"/>
          <w:szCs w:val="23"/>
        </w:rPr>
        <w:t>,</w:t>
      </w:r>
      <w:r w:rsidR="00830B60" w:rsidRPr="00074901">
        <w:rPr>
          <w:sz w:val="23"/>
          <w:szCs w:val="23"/>
        </w:rPr>
        <w:t xml:space="preserve"> </w:t>
      </w:r>
      <w:r w:rsidRPr="00074901">
        <w:rPr>
          <w:sz w:val="23"/>
          <w:szCs w:val="23"/>
        </w:rPr>
        <w:t>establece</w:t>
      </w:r>
      <w:r w:rsidR="00830B60" w:rsidRPr="00074901">
        <w:rPr>
          <w:sz w:val="23"/>
          <w:szCs w:val="23"/>
        </w:rPr>
        <w:t xml:space="preserve">n que corresponde a </w:t>
      </w:r>
      <w:r w:rsidRPr="00074901">
        <w:rPr>
          <w:sz w:val="23"/>
          <w:szCs w:val="23"/>
        </w:rPr>
        <w:t xml:space="preserve">la Secretaría Ejecutiva </w:t>
      </w:r>
      <w:r w:rsidR="00830B60" w:rsidRPr="00074901">
        <w:rPr>
          <w:sz w:val="23"/>
          <w:szCs w:val="23"/>
        </w:rPr>
        <w:t xml:space="preserve">y a la Dirección de Administración </w:t>
      </w:r>
      <w:r w:rsidRPr="00074901">
        <w:rPr>
          <w:sz w:val="23"/>
          <w:szCs w:val="23"/>
        </w:rPr>
        <w:t>elaborar</w:t>
      </w:r>
      <w:r w:rsidR="00830B60" w:rsidRPr="00074901">
        <w:rPr>
          <w:sz w:val="23"/>
          <w:szCs w:val="23"/>
        </w:rPr>
        <w:t xml:space="preserve"> y formular</w:t>
      </w:r>
      <w:r w:rsidRPr="00074901">
        <w:rPr>
          <w:sz w:val="23"/>
          <w:szCs w:val="23"/>
        </w:rPr>
        <w:t xml:space="preserve"> anualmente, fundamentado en las leyes aplicables, el anteproyecto de presupuesto del Instituto Estatal, para ponerlo a la consideración de la Presidencia del Consejo Estatal, y ejercer una vez aprobadas, las partidas presupuestales.</w:t>
      </w:r>
    </w:p>
    <w:p w14:paraId="3B24CE43" w14:textId="6E925A5E" w:rsidR="00CE5C39" w:rsidRPr="00074901" w:rsidRDefault="00CE5C39" w:rsidP="0046065C">
      <w:pPr>
        <w:pStyle w:val="Ttulo2"/>
        <w:rPr>
          <w:sz w:val="23"/>
          <w:szCs w:val="23"/>
        </w:rPr>
      </w:pPr>
      <w:r w:rsidRPr="00074901">
        <w:rPr>
          <w:sz w:val="23"/>
          <w:szCs w:val="23"/>
        </w:rPr>
        <w:lastRenderedPageBreak/>
        <w:t>Principios presupuesta</w:t>
      </w:r>
      <w:r w:rsidR="00EF106D" w:rsidRPr="00074901">
        <w:rPr>
          <w:sz w:val="23"/>
          <w:szCs w:val="23"/>
        </w:rPr>
        <w:t>rios</w:t>
      </w:r>
    </w:p>
    <w:p w14:paraId="2B129195" w14:textId="4533F291" w:rsidR="00CE5C39" w:rsidRPr="00074901" w:rsidRDefault="00CE5C39" w:rsidP="00CE5C39">
      <w:pPr>
        <w:rPr>
          <w:sz w:val="23"/>
          <w:szCs w:val="23"/>
        </w:rPr>
      </w:pPr>
      <w:r w:rsidRPr="00074901">
        <w:rPr>
          <w:sz w:val="23"/>
          <w:szCs w:val="23"/>
        </w:rPr>
        <w:t>Que, el artículo 126 de la Constitución Federal establece que</w:t>
      </w:r>
      <w:r w:rsidR="00E1321E" w:rsidRPr="00074901">
        <w:rPr>
          <w:sz w:val="23"/>
          <w:szCs w:val="23"/>
        </w:rPr>
        <w:t>,</w:t>
      </w:r>
      <w:r w:rsidRPr="00074901">
        <w:rPr>
          <w:sz w:val="23"/>
          <w:szCs w:val="23"/>
        </w:rPr>
        <w:t xml:space="preserve"> no podrá hacerse pago alguno que no esté comprendido en el presupuesto o determinado por la ley posterior.</w:t>
      </w:r>
      <w:r w:rsidR="00B04A89" w:rsidRPr="00074901">
        <w:rPr>
          <w:sz w:val="23"/>
          <w:szCs w:val="23"/>
        </w:rPr>
        <w:t xml:space="preserve"> </w:t>
      </w:r>
      <w:r w:rsidRPr="00074901">
        <w:rPr>
          <w:sz w:val="23"/>
          <w:szCs w:val="23"/>
        </w:rPr>
        <w:t>Acorde a lo anterior, el artículo 1 de la Ley de Presupuesto</w:t>
      </w:r>
      <w:r w:rsidR="00E1321E" w:rsidRPr="00074901">
        <w:rPr>
          <w:rStyle w:val="Refdecomentario"/>
          <w:sz w:val="23"/>
          <w:szCs w:val="23"/>
        </w:rPr>
        <w:t xml:space="preserve"> </w:t>
      </w:r>
      <w:r w:rsidR="00BA48EE" w:rsidRPr="00074901">
        <w:rPr>
          <w:rStyle w:val="Refdecomentario"/>
          <w:sz w:val="23"/>
          <w:szCs w:val="23"/>
        </w:rPr>
        <w:t>re</w:t>
      </w:r>
      <w:r w:rsidRPr="00074901">
        <w:rPr>
          <w:sz w:val="23"/>
          <w:szCs w:val="23"/>
        </w:rPr>
        <w:t>fiere que</w:t>
      </w:r>
      <w:r w:rsidR="00E1321E" w:rsidRPr="00074901">
        <w:rPr>
          <w:sz w:val="23"/>
          <w:szCs w:val="23"/>
        </w:rPr>
        <w:t>,</w:t>
      </w:r>
      <w:r w:rsidRPr="00074901">
        <w:rPr>
          <w:sz w:val="23"/>
          <w:szCs w:val="23"/>
        </w:rPr>
        <w:t xml:space="preserve"> el </w:t>
      </w:r>
      <w:r w:rsidR="00B04A89" w:rsidRPr="00074901">
        <w:rPr>
          <w:sz w:val="23"/>
          <w:szCs w:val="23"/>
        </w:rPr>
        <w:t>e</w:t>
      </w:r>
      <w:r w:rsidRPr="00074901">
        <w:rPr>
          <w:sz w:val="23"/>
          <w:szCs w:val="23"/>
        </w:rPr>
        <w:t>stado de Tabasco, sus municipios y los respectivos entes públicos en cada orden de gobierno, cumplirán con la programación,</w:t>
      </w:r>
      <w:r w:rsidR="00B04A89" w:rsidRPr="00074901">
        <w:rPr>
          <w:sz w:val="23"/>
          <w:szCs w:val="23"/>
        </w:rPr>
        <w:t xml:space="preserve"> </w:t>
      </w:r>
      <w:proofErr w:type="spellStart"/>
      <w:r w:rsidR="00B04A89" w:rsidRPr="00074901">
        <w:rPr>
          <w:sz w:val="23"/>
          <w:szCs w:val="23"/>
        </w:rPr>
        <w:t>presupuestación</w:t>
      </w:r>
      <w:proofErr w:type="spellEnd"/>
      <w:r w:rsidR="00B04A89" w:rsidRPr="00074901">
        <w:rPr>
          <w:sz w:val="23"/>
          <w:szCs w:val="23"/>
        </w:rPr>
        <w:t xml:space="preserve">, </w:t>
      </w:r>
      <w:r w:rsidRPr="00074901">
        <w:rPr>
          <w:sz w:val="23"/>
          <w:szCs w:val="23"/>
        </w:rPr>
        <w:t>aprobación, ejercicio, control y evaluación de los ingresos y egresos públicos, debiendo observar que la administración de los recursos se realice con base en criterios de legalidad, honestidad, eficiencia, eficacia, economía, racionalidad, austeridad, transparencia, control y rendición de cuentas e igualdad de género.</w:t>
      </w:r>
    </w:p>
    <w:p w14:paraId="5DF46EC8" w14:textId="1318524E" w:rsidR="00E31C73" w:rsidRPr="00074901" w:rsidRDefault="00E31C73" w:rsidP="0046065C">
      <w:pPr>
        <w:pStyle w:val="Ttulo2"/>
        <w:rPr>
          <w:sz w:val="23"/>
          <w:szCs w:val="23"/>
        </w:rPr>
      </w:pPr>
      <w:r w:rsidRPr="00074901">
        <w:rPr>
          <w:sz w:val="23"/>
          <w:szCs w:val="23"/>
        </w:rPr>
        <w:t>Autonomía presupuestaria</w:t>
      </w:r>
    </w:p>
    <w:p w14:paraId="37969E7A" w14:textId="7E75B4BD" w:rsidR="00E31C73" w:rsidRPr="00074901" w:rsidRDefault="00E31C73" w:rsidP="00164F4D">
      <w:pPr>
        <w:rPr>
          <w:sz w:val="23"/>
          <w:szCs w:val="23"/>
        </w:rPr>
      </w:pPr>
      <w:r w:rsidRPr="00074901">
        <w:rPr>
          <w:sz w:val="23"/>
          <w:szCs w:val="23"/>
        </w:rPr>
        <w:t>Que, el artículo 6, tercer párrafo, inciso a) de la Ley de Presupuesto, establece que la autonomía presupuestaria otorgada a los órganos autónomos a través de la Constitución Local comprende, entre otros, aprobar sus proyectos de presupuesto y enviarlos a la Secretaría de Finanzas para su integración al proyecto de Presupuesto de Egresos, observando los criterios de política económica y demás disposiciones aplicables.</w:t>
      </w:r>
    </w:p>
    <w:p w14:paraId="49EFB658" w14:textId="0476B8F3" w:rsidR="004D0C00" w:rsidRPr="00074901" w:rsidRDefault="004D0C00" w:rsidP="0046065C">
      <w:pPr>
        <w:pStyle w:val="Ttulo2"/>
        <w:rPr>
          <w:sz w:val="23"/>
          <w:szCs w:val="23"/>
        </w:rPr>
      </w:pPr>
      <w:r w:rsidRPr="00074901">
        <w:rPr>
          <w:sz w:val="23"/>
          <w:szCs w:val="23"/>
        </w:rPr>
        <w:t>Remisión del anteproyecto de egresos al Ejecutivo del Estado</w:t>
      </w:r>
    </w:p>
    <w:p w14:paraId="4A0EEEE7" w14:textId="4288E603" w:rsidR="004D0C00" w:rsidRPr="00074901" w:rsidRDefault="004D0C00" w:rsidP="004D0C00">
      <w:pPr>
        <w:rPr>
          <w:sz w:val="23"/>
          <w:szCs w:val="23"/>
        </w:rPr>
      </w:pPr>
      <w:r w:rsidRPr="00074901">
        <w:rPr>
          <w:sz w:val="23"/>
          <w:szCs w:val="23"/>
        </w:rPr>
        <w:t>Que, la Constitución Local, en su artículo 9 apartado C, fracción II, así como los artículos 115, numeral 1, fracción XXXII, 116 numeral 1, fracción IX de la Ley Electoral, establecen que, el Consejo Estatal, a través de la Presidencia del Consejo deberá remitir al Ejecutivo Estatal el anteproyecto de egresos de cada año, para su inclusión en el proyecto del Presupuesto General de Egresos del Estado, para la revisión y en su caso, aprobación por parte del H. Congreso del Estado.</w:t>
      </w:r>
    </w:p>
    <w:p w14:paraId="04A3A974" w14:textId="0363C4BD" w:rsidR="004D0C00" w:rsidRPr="00074901" w:rsidRDefault="004D0C00" w:rsidP="004D0C00">
      <w:pPr>
        <w:rPr>
          <w:sz w:val="23"/>
          <w:szCs w:val="23"/>
        </w:rPr>
      </w:pPr>
      <w:r w:rsidRPr="00074901">
        <w:rPr>
          <w:sz w:val="23"/>
          <w:szCs w:val="23"/>
        </w:rPr>
        <w:t xml:space="preserve">En ese sentido, el artículo </w:t>
      </w:r>
      <w:r w:rsidR="00DD0501" w:rsidRPr="00074901">
        <w:rPr>
          <w:sz w:val="23"/>
          <w:szCs w:val="23"/>
        </w:rPr>
        <w:t>2</w:t>
      </w:r>
      <w:r w:rsidRPr="00074901">
        <w:rPr>
          <w:sz w:val="23"/>
          <w:szCs w:val="23"/>
        </w:rPr>
        <w:t>8 de la Ley de Presupuesto, establece que, los órganos autónomos enviarán a la Secretaría de Finanzas sus proyectos de presupuesto, a efecto de integrarlos al proyecto de Presupuesto de Egresos, a más tardar 10 días naturales antes de la fecha de presentación de este.</w:t>
      </w:r>
    </w:p>
    <w:p w14:paraId="7604ADEB" w14:textId="00FAB39E" w:rsidR="00B57F0C" w:rsidRPr="00074901" w:rsidRDefault="00B57F0C" w:rsidP="004D0C00">
      <w:pPr>
        <w:rPr>
          <w:sz w:val="23"/>
          <w:szCs w:val="23"/>
        </w:rPr>
      </w:pPr>
      <w:r w:rsidRPr="00074901">
        <w:rPr>
          <w:sz w:val="23"/>
          <w:szCs w:val="23"/>
        </w:rPr>
        <w:t xml:space="preserve">Asimismo, en términos de los artículos 14 y 18 de la Ley de Remuneraciones de Servidores Públicos del Estado de Tabasco y sus Municipios, dentro de los </w:t>
      </w:r>
      <w:r w:rsidRPr="00074901">
        <w:rPr>
          <w:sz w:val="23"/>
          <w:szCs w:val="23"/>
        </w:rPr>
        <w:lastRenderedPageBreak/>
        <w:t>presupuestos de egresos que correspondan a cada entidad pública, deberán elaborarse y presentarse las remuneraciones, así como los tabuladores que correspondan a cada empleo, cargo o comisión, debiendo especificar y diferenciar  sus elementos fijos y variables tanto en efectivo como en especie, los cuales son de carácter público y deberán estar anexos en los presupuestos de egresos aprobados.</w:t>
      </w:r>
    </w:p>
    <w:p w14:paraId="090E05D5" w14:textId="2487F490" w:rsidR="009840D5" w:rsidRPr="00074901" w:rsidRDefault="00B57F0C" w:rsidP="004D0C00">
      <w:pPr>
        <w:rPr>
          <w:sz w:val="23"/>
          <w:szCs w:val="23"/>
        </w:rPr>
      </w:pPr>
      <w:r w:rsidRPr="00074901">
        <w:rPr>
          <w:sz w:val="23"/>
          <w:szCs w:val="23"/>
        </w:rPr>
        <w:t>Finalmente</w:t>
      </w:r>
      <w:r w:rsidR="009840D5" w:rsidRPr="00074901">
        <w:rPr>
          <w:sz w:val="23"/>
          <w:szCs w:val="23"/>
        </w:rPr>
        <w:t xml:space="preserve">, conforme al Cronograma General de Actividades establecido en los Lineamientos para el Proceso de Programación Presupuestaria para el Ejercicio Fiscal 2024, aprobado por la Secretaría de Finanzas, </w:t>
      </w:r>
      <w:r w:rsidR="0060319A" w:rsidRPr="00074901">
        <w:rPr>
          <w:sz w:val="23"/>
          <w:szCs w:val="23"/>
        </w:rPr>
        <w:t>se determinó que, a más tardar el 31 de octubre de 2023, se recibir</w:t>
      </w:r>
      <w:r w:rsidR="00AD229F" w:rsidRPr="00074901">
        <w:rPr>
          <w:sz w:val="23"/>
          <w:szCs w:val="23"/>
        </w:rPr>
        <w:t>á</w:t>
      </w:r>
      <w:r w:rsidR="0060319A" w:rsidRPr="00074901">
        <w:rPr>
          <w:sz w:val="23"/>
          <w:szCs w:val="23"/>
        </w:rPr>
        <w:t>n los anteproyectos de presupuesto de las dependencias y entidades externas.</w:t>
      </w:r>
    </w:p>
    <w:p w14:paraId="5B287A08" w14:textId="383410F3" w:rsidR="00CD3D8F" w:rsidRPr="00074901" w:rsidRDefault="00CD3D8F" w:rsidP="0046065C">
      <w:pPr>
        <w:pStyle w:val="Ttulo2"/>
        <w:rPr>
          <w:sz w:val="23"/>
          <w:szCs w:val="23"/>
        </w:rPr>
      </w:pPr>
      <w:r w:rsidRPr="00074901">
        <w:rPr>
          <w:sz w:val="23"/>
          <w:szCs w:val="23"/>
        </w:rPr>
        <w:t>Integración del gasto público</w:t>
      </w:r>
    </w:p>
    <w:p w14:paraId="36EFD2D2" w14:textId="60D888FB" w:rsidR="00BE455E" w:rsidRPr="00074901" w:rsidRDefault="00CD3D8F" w:rsidP="004D0C00">
      <w:pPr>
        <w:rPr>
          <w:sz w:val="23"/>
          <w:szCs w:val="23"/>
        </w:rPr>
      </w:pPr>
      <w:r w:rsidRPr="00074901">
        <w:rPr>
          <w:sz w:val="23"/>
          <w:szCs w:val="23"/>
        </w:rPr>
        <w:t>Que, de acuerdo con el artículo 5 de la Ley de Presupuesto, el gasto público comprende las erogaciones por concepto de gasto corriente, incluyendo los pagos de pasivo de la deuda pública; inversión física; inversión financiera; así como responsabilidad patrimonial; que realizan, entre otros ejecutores de gasto, los órganos autónomos.</w:t>
      </w:r>
      <w:r w:rsidR="00BE455E" w:rsidRPr="00074901">
        <w:rPr>
          <w:sz w:val="23"/>
          <w:szCs w:val="23"/>
        </w:rPr>
        <w:t xml:space="preserve"> En ese sentido, el artículo 2 de la Ley de Disciplina Financiera de las entidades federativas y sus municipios define al gasto corriente como las erogaciones que no tienen como contrapartida la creación de un activo, incluyendo, de manera enunciativa, el gasto en servicios personales, materiales y suministros, y los servicios generales, así como las transferencias, asignaciones</w:t>
      </w:r>
      <w:r w:rsidR="00893645" w:rsidRPr="00074901">
        <w:rPr>
          <w:sz w:val="23"/>
          <w:szCs w:val="23"/>
        </w:rPr>
        <w:t>, subsidios, donativos y apoyos.</w:t>
      </w:r>
    </w:p>
    <w:p w14:paraId="1F58F5BB" w14:textId="41357BE7" w:rsidR="00CD3D8F" w:rsidRPr="00074901" w:rsidRDefault="00CD3D8F" w:rsidP="0046065C">
      <w:pPr>
        <w:pStyle w:val="Ttulo2"/>
        <w:rPr>
          <w:sz w:val="23"/>
          <w:szCs w:val="23"/>
        </w:rPr>
      </w:pPr>
      <w:r w:rsidRPr="00074901">
        <w:rPr>
          <w:sz w:val="23"/>
          <w:szCs w:val="23"/>
        </w:rPr>
        <w:t xml:space="preserve">Integración del Presupuesto de Egresos del Instituto </w:t>
      </w:r>
    </w:p>
    <w:p w14:paraId="65CA1B64" w14:textId="3BDF2350" w:rsidR="00CD3D8F" w:rsidRPr="00074901" w:rsidRDefault="00CD3D8F" w:rsidP="004D0C00">
      <w:pPr>
        <w:rPr>
          <w:sz w:val="23"/>
          <w:szCs w:val="23"/>
        </w:rPr>
      </w:pPr>
      <w:r w:rsidRPr="00074901">
        <w:rPr>
          <w:sz w:val="23"/>
          <w:szCs w:val="23"/>
        </w:rPr>
        <w:t>Que, de la interpretación gramatical y sistemática de los artículos 72, fracciones I, II y III; 101 y 103 de la Ley Electoral, se obtiene que el presupuesto a ejercer anualmente por el Instituto comprende</w:t>
      </w:r>
      <w:r w:rsidR="004F333C" w:rsidRPr="00074901">
        <w:rPr>
          <w:sz w:val="23"/>
          <w:szCs w:val="23"/>
        </w:rPr>
        <w:t>, además del gasto ordinario,</w:t>
      </w:r>
      <w:r w:rsidRPr="00074901">
        <w:rPr>
          <w:sz w:val="23"/>
          <w:szCs w:val="23"/>
        </w:rPr>
        <w:t xml:space="preserve"> el financiamiento de partidos políticos para gastos ordinarios, de campaña y por actividades específicas como entidades de interés público</w:t>
      </w:r>
      <w:r w:rsidR="00624745" w:rsidRPr="00074901">
        <w:rPr>
          <w:sz w:val="23"/>
          <w:szCs w:val="23"/>
        </w:rPr>
        <w:t xml:space="preserve"> y lo relativo al gasto de operación para la organización y desarrollo del próximo proceso electoral.</w:t>
      </w:r>
    </w:p>
    <w:p w14:paraId="5FD3AF7F" w14:textId="7A5A7818" w:rsidR="00A50899" w:rsidRPr="00074901" w:rsidRDefault="00CC4C33" w:rsidP="0046065C">
      <w:pPr>
        <w:pStyle w:val="Ttulo2"/>
        <w:rPr>
          <w:sz w:val="23"/>
          <w:szCs w:val="23"/>
        </w:rPr>
      </w:pPr>
      <w:r w:rsidRPr="00074901">
        <w:rPr>
          <w:sz w:val="23"/>
          <w:szCs w:val="23"/>
        </w:rPr>
        <w:lastRenderedPageBreak/>
        <w:t>Integración</w:t>
      </w:r>
      <w:r w:rsidR="00A50899" w:rsidRPr="00074901">
        <w:rPr>
          <w:sz w:val="23"/>
          <w:szCs w:val="23"/>
        </w:rPr>
        <w:t xml:space="preserve"> del Anteproyecto de Presupuesto de Egresos del Instituto </w:t>
      </w:r>
    </w:p>
    <w:p w14:paraId="6B10725F" w14:textId="7BBE2E38" w:rsidR="00A50899" w:rsidRPr="00074901" w:rsidRDefault="00A50899" w:rsidP="00A50899">
      <w:pPr>
        <w:rPr>
          <w:sz w:val="23"/>
          <w:szCs w:val="23"/>
        </w:rPr>
      </w:pPr>
      <w:r w:rsidRPr="00074901">
        <w:rPr>
          <w:sz w:val="23"/>
          <w:szCs w:val="23"/>
        </w:rPr>
        <w:t>Que, en ejercicio de sus facultades y atribuciones, la Secretaría Ejecutiva en coordinación con la Dirección de Administración, formularon el anteproyecto de presupuesto de egresos del Instituto, basándose para ello, en los estudios e información que fueron recopilados, así como en las necesidades de las diversas áreas que integran la estructura de este Instituto, tendentes a cumplir con las funciones y actividades que se desarrollarán durante el ejercicio dos mil veintitrés</w:t>
      </w:r>
      <w:r w:rsidR="00467726" w:rsidRPr="00074901">
        <w:rPr>
          <w:sz w:val="23"/>
          <w:szCs w:val="23"/>
        </w:rPr>
        <w:t>, así como la previsión de gastos y el financiamiento público para la organización y desarrollo del próximo proceso electoral.</w:t>
      </w:r>
      <w:r w:rsidRPr="00074901">
        <w:rPr>
          <w:sz w:val="23"/>
          <w:szCs w:val="23"/>
        </w:rPr>
        <w:t xml:space="preserve"> En ese tenor, el anteproyecto de presupuesto del Instituto se integra con los siguientes apartados:</w:t>
      </w:r>
    </w:p>
    <w:p w14:paraId="2B8468A1" w14:textId="0926780E" w:rsidR="00467726" w:rsidRPr="00074901" w:rsidRDefault="00467726" w:rsidP="00A83921">
      <w:pPr>
        <w:pStyle w:val="Ttulo3"/>
        <w:rPr>
          <w:sz w:val="23"/>
          <w:szCs w:val="23"/>
        </w:rPr>
      </w:pPr>
      <w:r w:rsidRPr="00074901">
        <w:rPr>
          <w:sz w:val="23"/>
          <w:szCs w:val="23"/>
        </w:rPr>
        <w:t>Gastos de operación</w:t>
      </w:r>
    </w:p>
    <w:p w14:paraId="11AEBB96" w14:textId="4A002423" w:rsidR="00467726" w:rsidRPr="00074901" w:rsidRDefault="00467726" w:rsidP="00467726">
      <w:pPr>
        <w:rPr>
          <w:sz w:val="23"/>
          <w:szCs w:val="23"/>
        </w:rPr>
      </w:pPr>
      <w:r w:rsidRPr="00074901">
        <w:rPr>
          <w:sz w:val="23"/>
          <w:szCs w:val="23"/>
        </w:rPr>
        <w:t xml:space="preserve">El gasto ordinario o corriente comprende las erogaciones que se destinan para el pago de remuneraciones relacionadas con el capital humano, así como la adquisición de bienes y servicios necesarios para el funcionamiento del Instituto distintos de aquellos vinculados directamente con los gastos del proceso electoral. </w:t>
      </w:r>
    </w:p>
    <w:p w14:paraId="34B6DDD4" w14:textId="5A0DE9F4" w:rsidR="002B03C8" w:rsidRPr="00074901" w:rsidRDefault="00467726" w:rsidP="00467726">
      <w:pPr>
        <w:rPr>
          <w:sz w:val="23"/>
          <w:szCs w:val="23"/>
        </w:rPr>
      </w:pPr>
      <w:r w:rsidRPr="00074901">
        <w:rPr>
          <w:sz w:val="23"/>
          <w:szCs w:val="23"/>
        </w:rPr>
        <w:t xml:space="preserve">Asimismo, considerando que, de acuerdo con el artículo 126 de la Constitución Federal que dispone que no podrá hacerse pago alguno que no esté comprendido en el presupuesto o determinado por la ley posterior, resulta necesario incluir en el anteproyecto de egresos, la cantidad de </w:t>
      </w:r>
      <w:r w:rsidR="00F96DFE" w:rsidRPr="00074901">
        <w:rPr>
          <w:b/>
          <w:sz w:val="23"/>
          <w:szCs w:val="23"/>
        </w:rPr>
        <w:t xml:space="preserve">$94’066,610.81 (noventa y cuatro millones sesenta y seis mil seiscientos diez pesos 81/100 m. n.) </w:t>
      </w:r>
      <w:r w:rsidR="00F96DFE" w:rsidRPr="00074901">
        <w:rPr>
          <w:bCs/>
          <w:sz w:val="23"/>
          <w:szCs w:val="23"/>
        </w:rPr>
        <w:t xml:space="preserve">por concepto de financiamiento público local para el sostenimiento de actividades ordinarias permanentes y específicas para el ejercicio 2024 y gastos de campaña que corresponden a los partidos políticos nacionales y en su caso a las candidaturas independientes con motivo del Proceso Electoral </w:t>
      </w:r>
      <w:r w:rsidRPr="00074901">
        <w:rPr>
          <w:bCs/>
          <w:sz w:val="23"/>
          <w:szCs w:val="23"/>
        </w:rPr>
        <w:t>inte</w:t>
      </w:r>
      <w:r w:rsidRPr="00074901">
        <w:rPr>
          <w:sz w:val="23"/>
          <w:szCs w:val="23"/>
        </w:rPr>
        <w:t>gra</w:t>
      </w:r>
      <w:r w:rsidR="00F96DFE" w:rsidRPr="00074901">
        <w:rPr>
          <w:sz w:val="23"/>
          <w:szCs w:val="23"/>
        </w:rPr>
        <w:t>do</w:t>
      </w:r>
      <w:r w:rsidRPr="00074901">
        <w:rPr>
          <w:sz w:val="23"/>
          <w:szCs w:val="23"/>
        </w:rPr>
        <w:t xml:space="preserve"> de la siguiente forma:</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80"/>
        <w:gridCol w:w="2415"/>
      </w:tblGrid>
      <w:tr w:rsidR="00212E1F" w:rsidRPr="00A12812" w14:paraId="6B6F2440" w14:textId="77777777" w:rsidTr="0072072F">
        <w:trPr>
          <w:tblHeader/>
          <w:jc w:val="center"/>
        </w:trPr>
        <w:tc>
          <w:tcPr>
            <w:tcW w:w="6380" w:type="dxa"/>
            <w:shd w:val="clear" w:color="auto" w:fill="993366"/>
          </w:tcPr>
          <w:p w14:paraId="31EA7E91" w14:textId="77777777" w:rsidR="00212E1F" w:rsidRPr="00A12812" w:rsidRDefault="00212E1F" w:rsidP="009F6C99">
            <w:pPr>
              <w:spacing w:before="60" w:after="60"/>
              <w:jc w:val="center"/>
              <w:rPr>
                <w:b/>
                <w:bCs/>
                <w:color w:val="FFFFFF" w:themeColor="background1"/>
                <w:sz w:val="16"/>
                <w:szCs w:val="16"/>
              </w:rPr>
            </w:pPr>
            <w:r w:rsidRPr="00A12812">
              <w:rPr>
                <w:b/>
                <w:bCs/>
                <w:color w:val="FFFFFF" w:themeColor="background1"/>
                <w:sz w:val="16"/>
                <w:szCs w:val="16"/>
              </w:rPr>
              <w:t>Financiamiento público local</w:t>
            </w:r>
          </w:p>
        </w:tc>
        <w:tc>
          <w:tcPr>
            <w:tcW w:w="2415" w:type="dxa"/>
            <w:shd w:val="clear" w:color="auto" w:fill="993366"/>
          </w:tcPr>
          <w:p w14:paraId="0C065ECA" w14:textId="77777777" w:rsidR="00212E1F" w:rsidRPr="00A12812" w:rsidRDefault="00212E1F" w:rsidP="009F6C99">
            <w:pPr>
              <w:spacing w:before="60" w:after="60"/>
              <w:jc w:val="center"/>
              <w:rPr>
                <w:b/>
                <w:bCs/>
                <w:color w:val="FFFFFF" w:themeColor="background1"/>
                <w:sz w:val="16"/>
                <w:szCs w:val="16"/>
              </w:rPr>
            </w:pPr>
            <w:r w:rsidRPr="00A12812">
              <w:rPr>
                <w:b/>
                <w:bCs/>
                <w:color w:val="FFFFFF" w:themeColor="background1"/>
                <w:sz w:val="16"/>
                <w:szCs w:val="16"/>
              </w:rPr>
              <w:t>Importe</w:t>
            </w:r>
          </w:p>
        </w:tc>
      </w:tr>
      <w:tr w:rsidR="00212E1F" w:rsidRPr="00A12812" w14:paraId="6C45043C" w14:textId="77777777" w:rsidTr="0072072F">
        <w:trPr>
          <w:jc w:val="center"/>
        </w:trPr>
        <w:tc>
          <w:tcPr>
            <w:tcW w:w="6380" w:type="dxa"/>
          </w:tcPr>
          <w:p w14:paraId="21CEA649" w14:textId="77777777" w:rsidR="00212E1F" w:rsidRPr="00074901" w:rsidRDefault="00212E1F" w:rsidP="009F6C99">
            <w:pPr>
              <w:spacing w:before="60" w:after="60"/>
              <w:rPr>
                <w:b/>
                <w:bCs/>
                <w:sz w:val="20"/>
                <w:szCs w:val="20"/>
              </w:rPr>
            </w:pPr>
            <w:r w:rsidRPr="00074901">
              <w:rPr>
                <w:b/>
                <w:bCs/>
                <w:sz w:val="20"/>
                <w:szCs w:val="20"/>
              </w:rPr>
              <w:t>Para actividades ordinarias</w:t>
            </w:r>
          </w:p>
        </w:tc>
        <w:tc>
          <w:tcPr>
            <w:tcW w:w="2415" w:type="dxa"/>
          </w:tcPr>
          <w:p w14:paraId="0FCDFBE4" w14:textId="6C6C4CB9" w:rsidR="00212E1F" w:rsidRPr="00074901" w:rsidRDefault="00212E1F" w:rsidP="009F6C99">
            <w:pPr>
              <w:spacing w:before="60" w:after="60"/>
              <w:jc w:val="right"/>
              <w:rPr>
                <w:b/>
                <w:bCs/>
                <w:sz w:val="20"/>
                <w:szCs w:val="20"/>
              </w:rPr>
            </w:pPr>
            <w:bookmarkStart w:id="0" w:name="OLE_LINK1"/>
            <w:r w:rsidRPr="00074901">
              <w:rPr>
                <w:b/>
                <w:bCs/>
                <w:sz w:val="20"/>
                <w:szCs w:val="20"/>
              </w:rPr>
              <w:t>$60’688,136.0</w:t>
            </w:r>
            <w:bookmarkEnd w:id="0"/>
            <w:r w:rsidR="00CD2A64" w:rsidRPr="00074901">
              <w:rPr>
                <w:b/>
                <w:bCs/>
                <w:sz w:val="20"/>
                <w:szCs w:val="20"/>
              </w:rPr>
              <w:t>4</w:t>
            </w:r>
          </w:p>
        </w:tc>
      </w:tr>
      <w:tr w:rsidR="00212E1F" w:rsidRPr="00A12812" w14:paraId="76266575" w14:textId="77777777" w:rsidTr="0072072F">
        <w:trPr>
          <w:jc w:val="center"/>
        </w:trPr>
        <w:tc>
          <w:tcPr>
            <w:tcW w:w="6380" w:type="dxa"/>
          </w:tcPr>
          <w:p w14:paraId="2EC06AA8" w14:textId="77777777" w:rsidR="00212E1F" w:rsidRPr="00074901" w:rsidRDefault="00212E1F" w:rsidP="009F6C99">
            <w:pPr>
              <w:spacing w:before="60" w:after="60"/>
              <w:rPr>
                <w:b/>
                <w:bCs/>
                <w:sz w:val="20"/>
                <w:szCs w:val="20"/>
              </w:rPr>
            </w:pPr>
            <w:r w:rsidRPr="00074901">
              <w:rPr>
                <w:b/>
                <w:bCs/>
                <w:sz w:val="20"/>
                <w:szCs w:val="20"/>
              </w:rPr>
              <w:t>Para actividades específicas</w:t>
            </w:r>
          </w:p>
        </w:tc>
        <w:tc>
          <w:tcPr>
            <w:tcW w:w="2415" w:type="dxa"/>
          </w:tcPr>
          <w:p w14:paraId="26C8886C" w14:textId="77777777" w:rsidR="00212E1F" w:rsidRPr="00074901" w:rsidRDefault="00212E1F" w:rsidP="009F6C99">
            <w:pPr>
              <w:spacing w:before="60" w:after="60"/>
              <w:jc w:val="right"/>
              <w:rPr>
                <w:b/>
                <w:bCs/>
                <w:sz w:val="20"/>
                <w:szCs w:val="20"/>
              </w:rPr>
            </w:pPr>
            <w:bookmarkStart w:id="1" w:name="OLE_LINK2"/>
            <w:r w:rsidRPr="00074901">
              <w:rPr>
                <w:b/>
                <w:bCs/>
                <w:sz w:val="20"/>
                <w:szCs w:val="20"/>
              </w:rPr>
              <w:t>$1’820,644.08</w:t>
            </w:r>
            <w:bookmarkEnd w:id="1"/>
          </w:p>
        </w:tc>
      </w:tr>
      <w:tr w:rsidR="00212E1F" w:rsidRPr="00A12812" w14:paraId="44BB996A" w14:textId="77777777" w:rsidTr="0072072F">
        <w:trPr>
          <w:jc w:val="center"/>
        </w:trPr>
        <w:tc>
          <w:tcPr>
            <w:tcW w:w="6380" w:type="dxa"/>
            <w:tcBorders>
              <w:bottom w:val="single" w:sz="4" w:space="0" w:color="A6A6A6" w:themeColor="background1" w:themeShade="A6"/>
            </w:tcBorders>
          </w:tcPr>
          <w:p w14:paraId="3A0F2B9F" w14:textId="77777777" w:rsidR="00212E1F" w:rsidRPr="00074901" w:rsidRDefault="00212E1F" w:rsidP="009F6C99">
            <w:pPr>
              <w:spacing w:before="60" w:after="60"/>
              <w:rPr>
                <w:b/>
                <w:bCs/>
                <w:sz w:val="20"/>
                <w:szCs w:val="20"/>
              </w:rPr>
            </w:pPr>
            <w:r w:rsidRPr="00074901">
              <w:rPr>
                <w:b/>
                <w:bCs/>
                <w:sz w:val="20"/>
                <w:szCs w:val="20"/>
              </w:rPr>
              <w:t>Para la obtención del voto (gastos de campaña)</w:t>
            </w:r>
          </w:p>
        </w:tc>
        <w:tc>
          <w:tcPr>
            <w:tcW w:w="2415" w:type="dxa"/>
          </w:tcPr>
          <w:p w14:paraId="73093ED0" w14:textId="77777777" w:rsidR="00212E1F" w:rsidRPr="00074901" w:rsidRDefault="00212E1F" w:rsidP="009F6C99">
            <w:pPr>
              <w:spacing w:before="60" w:after="60"/>
              <w:jc w:val="right"/>
              <w:rPr>
                <w:b/>
                <w:bCs/>
                <w:sz w:val="20"/>
                <w:szCs w:val="20"/>
              </w:rPr>
            </w:pPr>
            <w:r w:rsidRPr="00074901">
              <w:rPr>
                <w:b/>
                <w:bCs/>
                <w:sz w:val="20"/>
                <w:szCs w:val="20"/>
              </w:rPr>
              <w:t>$30’344,068.00</w:t>
            </w:r>
          </w:p>
        </w:tc>
      </w:tr>
      <w:tr w:rsidR="00212E1F" w:rsidRPr="00A12812" w14:paraId="31EFD676" w14:textId="77777777" w:rsidTr="0072072F">
        <w:trPr>
          <w:jc w:val="center"/>
        </w:trPr>
        <w:tc>
          <w:tcPr>
            <w:tcW w:w="6380" w:type="dxa"/>
            <w:tcBorders>
              <w:bottom w:val="single" w:sz="4" w:space="0" w:color="A6A6A6" w:themeColor="background1" w:themeShade="A6"/>
            </w:tcBorders>
          </w:tcPr>
          <w:p w14:paraId="6BF9480E" w14:textId="77777777" w:rsidR="00212E1F" w:rsidRPr="00074901" w:rsidRDefault="00212E1F" w:rsidP="009F6C99">
            <w:pPr>
              <w:spacing w:before="60" w:after="60"/>
              <w:rPr>
                <w:b/>
                <w:bCs/>
                <w:sz w:val="20"/>
                <w:szCs w:val="20"/>
              </w:rPr>
            </w:pPr>
            <w:r w:rsidRPr="00074901">
              <w:rPr>
                <w:b/>
                <w:bCs/>
                <w:sz w:val="20"/>
                <w:szCs w:val="20"/>
              </w:rPr>
              <w:t>Para candidaturas independientes</w:t>
            </w:r>
          </w:p>
        </w:tc>
        <w:tc>
          <w:tcPr>
            <w:tcW w:w="2415" w:type="dxa"/>
            <w:tcBorders>
              <w:bottom w:val="single" w:sz="4" w:space="0" w:color="A6A6A6" w:themeColor="background1" w:themeShade="A6"/>
            </w:tcBorders>
          </w:tcPr>
          <w:p w14:paraId="554E250A" w14:textId="77777777" w:rsidR="00212E1F" w:rsidRPr="00074901" w:rsidRDefault="00212E1F" w:rsidP="009F6C99">
            <w:pPr>
              <w:spacing w:before="60" w:after="60"/>
              <w:jc w:val="right"/>
              <w:rPr>
                <w:b/>
                <w:bCs/>
                <w:sz w:val="20"/>
                <w:szCs w:val="20"/>
              </w:rPr>
            </w:pPr>
            <w:r w:rsidRPr="00074901">
              <w:rPr>
                <w:b/>
                <w:bCs/>
                <w:sz w:val="20"/>
                <w:szCs w:val="20"/>
              </w:rPr>
              <w:t>$1’213,762.72</w:t>
            </w:r>
          </w:p>
        </w:tc>
      </w:tr>
      <w:tr w:rsidR="00212E1F" w:rsidRPr="00A12812" w14:paraId="4377D868" w14:textId="77777777" w:rsidTr="0072072F">
        <w:trPr>
          <w:jc w:val="center"/>
        </w:trPr>
        <w:tc>
          <w:tcPr>
            <w:tcW w:w="6380" w:type="dxa"/>
            <w:tcBorders>
              <w:top w:val="single" w:sz="4" w:space="0" w:color="A6A6A6" w:themeColor="background1" w:themeShade="A6"/>
              <w:left w:val="nil"/>
              <w:bottom w:val="nil"/>
              <w:right w:val="single" w:sz="4" w:space="0" w:color="A6A6A6" w:themeColor="background1" w:themeShade="A6"/>
            </w:tcBorders>
          </w:tcPr>
          <w:p w14:paraId="590340EF" w14:textId="77777777" w:rsidR="00212E1F" w:rsidRPr="002738BA" w:rsidRDefault="00212E1F" w:rsidP="009F6C99">
            <w:pPr>
              <w:spacing w:before="60" w:after="60"/>
              <w:jc w:val="right"/>
              <w:rPr>
                <w:b/>
                <w:bCs/>
                <w:sz w:val="23"/>
                <w:szCs w:val="23"/>
              </w:rPr>
            </w:pPr>
            <w:r w:rsidRPr="002738BA">
              <w:rPr>
                <w:b/>
                <w:bCs/>
                <w:sz w:val="23"/>
                <w:szCs w:val="23"/>
              </w:rPr>
              <w:t>Total</w:t>
            </w:r>
          </w:p>
        </w:tc>
        <w:tc>
          <w:tcPr>
            <w:tcW w:w="2415" w:type="dxa"/>
            <w:tcBorders>
              <w:left w:val="single" w:sz="4" w:space="0" w:color="A6A6A6" w:themeColor="background1" w:themeShade="A6"/>
            </w:tcBorders>
          </w:tcPr>
          <w:p w14:paraId="6CDF0962" w14:textId="3A88AFEB" w:rsidR="00212E1F" w:rsidRPr="002738BA" w:rsidRDefault="00212E1F" w:rsidP="009F6C99">
            <w:pPr>
              <w:spacing w:before="60" w:after="60"/>
              <w:jc w:val="right"/>
              <w:rPr>
                <w:b/>
                <w:bCs/>
                <w:sz w:val="23"/>
                <w:szCs w:val="23"/>
              </w:rPr>
            </w:pPr>
            <w:r w:rsidRPr="002738BA">
              <w:rPr>
                <w:b/>
                <w:bCs/>
                <w:sz w:val="23"/>
                <w:szCs w:val="23"/>
              </w:rPr>
              <w:t>$94’066,610.8</w:t>
            </w:r>
            <w:r w:rsidR="00B771AC">
              <w:rPr>
                <w:b/>
                <w:bCs/>
                <w:sz w:val="23"/>
                <w:szCs w:val="23"/>
              </w:rPr>
              <w:t>4</w:t>
            </w:r>
          </w:p>
        </w:tc>
      </w:tr>
    </w:tbl>
    <w:p w14:paraId="0EDC25E1" w14:textId="02772E0E" w:rsidR="00A5775D" w:rsidRPr="007320CC" w:rsidRDefault="00A5775D" w:rsidP="00A5775D">
      <w:pPr>
        <w:pStyle w:val="Prrafodelista"/>
        <w:ind w:left="0"/>
        <w:contextualSpacing w:val="0"/>
        <w:rPr>
          <w:sz w:val="23"/>
          <w:szCs w:val="23"/>
        </w:rPr>
      </w:pPr>
      <w:r w:rsidRPr="007320CC">
        <w:rPr>
          <w:bCs/>
          <w:sz w:val="23"/>
          <w:szCs w:val="23"/>
        </w:rPr>
        <w:lastRenderedPageBreak/>
        <w:t xml:space="preserve">Sobre tales bases, el gasto ordinario o corriente por capítulos, del Instituto se conforma de la manera siguiente: </w:t>
      </w:r>
    </w:p>
    <w:tbl>
      <w:tblPr>
        <w:tblStyle w:val="Tablaconcuadrcula"/>
        <w:tblW w:w="0" w:type="auto"/>
        <w:jc w:val="center"/>
        <w:tblLook w:val="04A0" w:firstRow="1" w:lastRow="0" w:firstColumn="1" w:lastColumn="0" w:noHBand="0" w:noVBand="1"/>
      </w:tblPr>
      <w:tblGrid>
        <w:gridCol w:w="1191"/>
        <w:gridCol w:w="5103"/>
        <w:gridCol w:w="2024"/>
      </w:tblGrid>
      <w:tr w:rsidR="00A5775D" w:rsidRPr="00F54DDC" w14:paraId="2B5A2307" w14:textId="77777777" w:rsidTr="00116065">
        <w:trPr>
          <w:jc w:val="center"/>
        </w:trPr>
        <w:tc>
          <w:tcPr>
            <w:tcW w:w="8318" w:type="dxa"/>
            <w:gridSpan w:val="3"/>
            <w:tcBorders>
              <w:top w:val="nil"/>
              <w:left w:val="nil"/>
              <w:bottom w:val="single" w:sz="4" w:space="0" w:color="A6A6A6" w:themeColor="background1" w:themeShade="A6"/>
              <w:right w:val="nil"/>
            </w:tcBorders>
            <w:shd w:val="clear" w:color="auto" w:fill="auto"/>
            <w:vAlign w:val="center"/>
          </w:tcPr>
          <w:p w14:paraId="2EA5D7F2" w14:textId="0726DB52" w:rsidR="00A5775D" w:rsidRPr="00F54DDC" w:rsidRDefault="00A5775D" w:rsidP="00406788">
            <w:pPr>
              <w:pStyle w:val="Prrafodelista"/>
              <w:widowControl w:val="0"/>
              <w:spacing w:before="20" w:after="20" w:line="305" w:lineRule="auto"/>
              <w:ind w:left="0"/>
              <w:contextualSpacing w:val="0"/>
              <w:jc w:val="center"/>
              <w:rPr>
                <w:b/>
                <w:sz w:val="18"/>
                <w:szCs w:val="23"/>
              </w:rPr>
            </w:pPr>
            <w:r w:rsidRPr="00F54DDC">
              <w:rPr>
                <w:b/>
                <w:sz w:val="20"/>
                <w:szCs w:val="24"/>
              </w:rPr>
              <w:t xml:space="preserve">Gasto </w:t>
            </w:r>
            <w:r w:rsidR="000922F0">
              <w:rPr>
                <w:b/>
                <w:sz w:val="20"/>
                <w:szCs w:val="24"/>
              </w:rPr>
              <w:t>ordinario</w:t>
            </w:r>
            <w:r w:rsidRPr="00F54DDC">
              <w:rPr>
                <w:b/>
                <w:sz w:val="20"/>
                <w:szCs w:val="24"/>
              </w:rPr>
              <w:t xml:space="preserve"> por capítulos</w:t>
            </w:r>
          </w:p>
        </w:tc>
      </w:tr>
      <w:tr w:rsidR="00A5775D" w:rsidRPr="00166BFB" w14:paraId="603E5241"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3BFE7B4A" w14:textId="77777777" w:rsidR="00A5775D" w:rsidRPr="00166BFB" w:rsidRDefault="00A5775D" w:rsidP="00406788">
            <w:pPr>
              <w:pStyle w:val="Prrafodelista"/>
              <w:widowControl w:val="0"/>
              <w:spacing w:before="20" w:after="20" w:line="305" w:lineRule="auto"/>
              <w:ind w:left="0"/>
              <w:contextualSpacing w:val="0"/>
              <w:jc w:val="center"/>
              <w:rPr>
                <w:b/>
                <w:color w:val="FFFFFF" w:themeColor="background1"/>
                <w:sz w:val="18"/>
                <w:szCs w:val="23"/>
              </w:rPr>
            </w:pPr>
            <w:r w:rsidRPr="00166BFB">
              <w:rPr>
                <w:b/>
                <w:color w:val="FFFFFF" w:themeColor="background1"/>
                <w:sz w:val="18"/>
                <w:szCs w:val="23"/>
              </w:rPr>
              <w:t>Capítulo</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2CCCA51E" w14:textId="77777777" w:rsidR="00A5775D" w:rsidRPr="00166BFB" w:rsidRDefault="00A5775D" w:rsidP="00406788">
            <w:pPr>
              <w:pStyle w:val="Prrafodelista"/>
              <w:widowControl w:val="0"/>
              <w:spacing w:before="20" w:after="20" w:line="305" w:lineRule="auto"/>
              <w:ind w:left="0"/>
              <w:contextualSpacing w:val="0"/>
              <w:jc w:val="center"/>
              <w:rPr>
                <w:b/>
                <w:color w:val="FFFFFF" w:themeColor="background1"/>
                <w:sz w:val="18"/>
                <w:szCs w:val="23"/>
              </w:rPr>
            </w:pPr>
            <w:r w:rsidRPr="00166BFB">
              <w:rPr>
                <w:b/>
                <w:color w:val="FFFFFF" w:themeColor="background1"/>
                <w:sz w:val="18"/>
                <w:szCs w:val="23"/>
              </w:rPr>
              <w:t>Descripción</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41E74491" w14:textId="77777777" w:rsidR="00A5775D" w:rsidRPr="00166BFB" w:rsidRDefault="00A5775D" w:rsidP="00406788">
            <w:pPr>
              <w:pStyle w:val="Prrafodelista"/>
              <w:widowControl w:val="0"/>
              <w:spacing w:before="20" w:after="20" w:line="305" w:lineRule="auto"/>
              <w:ind w:left="0"/>
              <w:contextualSpacing w:val="0"/>
              <w:jc w:val="center"/>
              <w:rPr>
                <w:b/>
                <w:color w:val="FFFFFF" w:themeColor="background1"/>
                <w:sz w:val="18"/>
                <w:szCs w:val="23"/>
              </w:rPr>
            </w:pPr>
            <w:r w:rsidRPr="00166BFB">
              <w:rPr>
                <w:b/>
                <w:color w:val="FFFFFF" w:themeColor="background1"/>
                <w:sz w:val="18"/>
                <w:szCs w:val="23"/>
              </w:rPr>
              <w:t>Importe</w:t>
            </w:r>
          </w:p>
        </w:tc>
      </w:tr>
      <w:tr w:rsidR="00A5775D" w:rsidRPr="00F54DDC" w14:paraId="5287FC6F"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E670D0" w14:textId="77777777" w:rsidR="00A5775D" w:rsidRPr="00F54DDC" w:rsidRDefault="00A5775D" w:rsidP="00406788">
            <w:pPr>
              <w:pStyle w:val="Prrafodelista"/>
              <w:widowControl w:val="0"/>
              <w:spacing w:before="20" w:after="20" w:line="305" w:lineRule="auto"/>
              <w:ind w:left="0"/>
              <w:contextualSpacing w:val="0"/>
              <w:jc w:val="center"/>
              <w:rPr>
                <w:b/>
                <w:sz w:val="20"/>
                <w:szCs w:val="24"/>
              </w:rPr>
            </w:pPr>
            <w:r w:rsidRPr="00F54DDC">
              <w:rPr>
                <w:b/>
                <w:sz w:val="20"/>
                <w:szCs w:val="24"/>
              </w:rPr>
              <w:t>1000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82B64E" w14:textId="77777777" w:rsidR="00A5775D" w:rsidRPr="00F54DDC" w:rsidRDefault="00A5775D" w:rsidP="00406788">
            <w:pPr>
              <w:pStyle w:val="Prrafodelista"/>
              <w:widowControl w:val="0"/>
              <w:spacing w:before="20" w:after="20" w:line="305" w:lineRule="auto"/>
              <w:ind w:left="0"/>
              <w:contextualSpacing w:val="0"/>
              <w:rPr>
                <w:sz w:val="20"/>
                <w:szCs w:val="24"/>
              </w:rPr>
            </w:pPr>
            <w:r w:rsidRPr="00F54DDC">
              <w:rPr>
                <w:sz w:val="20"/>
                <w:szCs w:val="24"/>
              </w:rPr>
              <w:t>Servicios personales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98808B" w14:textId="089F476C" w:rsidR="00A5775D" w:rsidRPr="00727D65" w:rsidRDefault="000922F0" w:rsidP="00406788">
            <w:pPr>
              <w:pStyle w:val="Prrafodelista"/>
              <w:widowControl w:val="0"/>
              <w:spacing w:before="20" w:after="20" w:line="305" w:lineRule="auto"/>
              <w:ind w:left="0"/>
              <w:contextualSpacing w:val="0"/>
              <w:jc w:val="right"/>
              <w:rPr>
                <w:b/>
                <w:bCs/>
                <w:sz w:val="20"/>
                <w:szCs w:val="24"/>
              </w:rPr>
            </w:pPr>
            <w:r w:rsidRPr="00727D65">
              <w:rPr>
                <w:b/>
                <w:bCs/>
                <w:sz w:val="20"/>
                <w:szCs w:val="24"/>
              </w:rPr>
              <w:t>$112,078,224.89</w:t>
            </w:r>
          </w:p>
        </w:tc>
      </w:tr>
      <w:tr w:rsidR="00A5775D" w:rsidRPr="00F54DDC" w14:paraId="7B8BBA6D"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EC010C" w14:textId="77777777" w:rsidR="00A5775D" w:rsidRPr="00F54DDC" w:rsidRDefault="00A5775D" w:rsidP="00406788">
            <w:pPr>
              <w:pStyle w:val="Prrafodelista"/>
              <w:widowControl w:val="0"/>
              <w:spacing w:before="20" w:after="20" w:line="305" w:lineRule="auto"/>
              <w:ind w:left="0"/>
              <w:contextualSpacing w:val="0"/>
              <w:jc w:val="center"/>
              <w:rPr>
                <w:b/>
                <w:sz w:val="20"/>
                <w:szCs w:val="24"/>
              </w:rPr>
            </w:pPr>
            <w:r w:rsidRPr="00F54DDC">
              <w:rPr>
                <w:b/>
                <w:sz w:val="20"/>
                <w:szCs w:val="24"/>
              </w:rPr>
              <w:t>2000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0FCAF" w14:textId="77777777" w:rsidR="00A5775D" w:rsidRPr="00F54DDC" w:rsidRDefault="00A5775D" w:rsidP="00406788">
            <w:pPr>
              <w:pStyle w:val="Prrafodelista"/>
              <w:widowControl w:val="0"/>
              <w:spacing w:before="20" w:after="20" w:line="305" w:lineRule="auto"/>
              <w:ind w:left="0"/>
              <w:contextualSpacing w:val="0"/>
              <w:rPr>
                <w:sz w:val="20"/>
                <w:szCs w:val="24"/>
              </w:rPr>
            </w:pPr>
            <w:r w:rsidRPr="00F54DDC">
              <w:rPr>
                <w:sz w:val="20"/>
                <w:szCs w:val="24"/>
              </w:rPr>
              <w:t>Materiales y suministros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1A7872" w14:textId="1CEA7CA6" w:rsidR="00A5775D" w:rsidRPr="00727D65" w:rsidRDefault="000922F0" w:rsidP="00406788">
            <w:pPr>
              <w:pStyle w:val="Prrafodelista"/>
              <w:widowControl w:val="0"/>
              <w:spacing w:before="20" w:after="20" w:line="305" w:lineRule="auto"/>
              <w:ind w:left="0"/>
              <w:contextualSpacing w:val="0"/>
              <w:jc w:val="right"/>
              <w:rPr>
                <w:b/>
                <w:bCs/>
                <w:sz w:val="20"/>
                <w:szCs w:val="24"/>
              </w:rPr>
            </w:pPr>
            <w:r w:rsidRPr="00727D65">
              <w:rPr>
                <w:b/>
                <w:bCs/>
                <w:sz w:val="20"/>
                <w:szCs w:val="24"/>
              </w:rPr>
              <w:t>$10,170,188.00</w:t>
            </w:r>
          </w:p>
        </w:tc>
      </w:tr>
      <w:tr w:rsidR="00A5775D" w:rsidRPr="00F54DDC" w14:paraId="65468515"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BE21B" w14:textId="77777777" w:rsidR="00A5775D" w:rsidRPr="00F54DDC" w:rsidRDefault="00A5775D" w:rsidP="00406788">
            <w:pPr>
              <w:pStyle w:val="Prrafodelista"/>
              <w:widowControl w:val="0"/>
              <w:spacing w:before="20" w:after="20" w:line="305" w:lineRule="auto"/>
              <w:ind w:left="0"/>
              <w:contextualSpacing w:val="0"/>
              <w:jc w:val="center"/>
              <w:rPr>
                <w:b/>
                <w:sz w:val="20"/>
                <w:szCs w:val="24"/>
              </w:rPr>
            </w:pPr>
            <w:r w:rsidRPr="00F54DDC">
              <w:rPr>
                <w:b/>
                <w:sz w:val="20"/>
                <w:szCs w:val="24"/>
              </w:rPr>
              <w:t>3000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DFF0C" w14:textId="77777777" w:rsidR="00A5775D" w:rsidRPr="00F54DDC" w:rsidRDefault="00A5775D" w:rsidP="00406788">
            <w:pPr>
              <w:pStyle w:val="Prrafodelista"/>
              <w:widowControl w:val="0"/>
              <w:spacing w:before="20" w:after="20" w:line="305" w:lineRule="auto"/>
              <w:ind w:left="0"/>
              <w:contextualSpacing w:val="0"/>
              <w:rPr>
                <w:sz w:val="20"/>
                <w:szCs w:val="24"/>
              </w:rPr>
            </w:pPr>
            <w:r w:rsidRPr="00F54DDC">
              <w:rPr>
                <w:sz w:val="20"/>
                <w:szCs w:val="24"/>
              </w:rPr>
              <w:t>Servicios generales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E5602" w14:textId="5BA826CA" w:rsidR="00A5775D" w:rsidRPr="00727D65" w:rsidRDefault="00630311" w:rsidP="00406788">
            <w:pPr>
              <w:pStyle w:val="Prrafodelista"/>
              <w:widowControl w:val="0"/>
              <w:spacing w:before="20" w:after="20" w:line="305" w:lineRule="auto"/>
              <w:ind w:left="0"/>
              <w:contextualSpacing w:val="0"/>
              <w:jc w:val="right"/>
              <w:rPr>
                <w:b/>
                <w:bCs/>
                <w:sz w:val="20"/>
                <w:szCs w:val="24"/>
              </w:rPr>
            </w:pPr>
            <w:r w:rsidRPr="00727D65">
              <w:rPr>
                <w:b/>
                <w:bCs/>
                <w:sz w:val="20"/>
                <w:szCs w:val="24"/>
              </w:rPr>
              <w:t>$</w:t>
            </w:r>
            <w:r w:rsidR="000922F0" w:rsidRPr="00727D65">
              <w:rPr>
                <w:b/>
                <w:bCs/>
                <w:sz w:val="20"/>
                <w:szCs w:val="24"/>
              </w:rPr>
              <w:t>26,622,423.71</w:t>
            </w:r>
          </w:p>
        </w:tc>
      </w:tr>
      <w:tr w:rsidR="00A5775D" w:rsidRPr="00F54DDC" w14:paraId="53DC2E6C"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6C684B" w14:textId="77777777" w:rsidR="00A5775D" w:rsidRPr="00F54DDC" w:rsidRDefault="00A5775D" w:rsidP="00406788">
            <w:pPr>
              <w:pStyle w:val="Prrafodelista"/>
              <w:widowControl w:val="0"/>
              <w:spacing w:before="20" w:after="20" w:line="305" w:lineRule="auto"/>
              <w:ind w:left="0"/>
              <w:contextualSpacing w:val="0"/>
              <w:jc w:val="center"/>
              <w:rPr>
                <w:b/>
                <w:sz w:val="20"/>
                <w:szCs w:val="24"/>
              </w:rPr>
            </w:pPr>
            <w:r w:rsidRPr="00F54DDC">
              <w:rPr>
                <w:b/>
                <w:sz w:val="20"/>
                <w:szCs w:val="24"/>
              </w:rPr>
              <w:t>4000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E9F424" w14:textId="6A46BE32" w:rsidR="00A5775D" w:rsidRPr="00F54DDC" w:rsidRDefault="000922F0" w:rsidP="00406788">
            <w:pPr>
              <w:pStyle w:val="Prrafodelista"/>
              <w:widowControl w:val="0"/>
              <w:spacing w:before="20" w:after="20" w:line="305" w:lineRule="auto"/>
              <w:ind w:left="0"/>
              <w:contextualSpacing w:val="0"/>
              <w:rPr>
                <w:sz w:val="20"/>
                <w:szCs w:val="24"/>
              </w:rPr>
            </w:pPr>
            <w:r w:rsidRPr="000922F0">
              <w:rPr>
                <w:sz w:val="20"/>
                <w:szCs w:val="24"/>
              </w:rPr>
              <w:t>Transferencias, asignaciones, subsidios y otras ayudas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47DC54" w14:textId="7251AFE6" w:rsidR="00A5775D" w:rsidRPr="00727D65" w:rsidRDefault="000922F0" w:rsidP="00406788">
            <w:pPr>
              <w:pStyle w:val="Prrafodelista"/>
              <w:widowControl w:val="0"/>
              <w:spacing w:before="20" w:after="20" w:line="305" w:lineRule="auto"/>
              <w:ind w:left="0"/>
              <w:contextualSpacing w:val="0"/>
              <w:jc w:val="right"/>
              <w:rPr>
                <w:b/>
                <w:bCs/>
                <w:sz w:val="20"/>
                <w:szCs w:val="24"/>
              </w:rPr>
            </w:pPr>
            <w:r w:rsidRPr="00727D65">
              <w:rPr>
                <w:b/>
                <w:bCs/>
                <w:spacing w:val="-6"/>
                <w:sz w:val="20"/>
                <w:szCs w:val="20"/>
              </w:rPr>
              <w:t>$62,508,780.12</w:t>
            </w:r>
          </w:p>
        </w:tc>
      </w:tr>
      <w:tr w:rsidR="00A5775D" w:rsidRPr="00F54DDC" w14:paraId="42C71436" w14:textId="77777777" w:rsidTr="00116065">
        <w:trPr>
          <w:jc w:val="center"/>
        </w:trPr>
        <w:tc>
          <w:tcPr>
            <w:tcW w:w="6294" w:type="dxa"/>
            <w:gridSpan w:val="2"/>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82EF379" w14:textId="278E8BBA" w:rsidR="00A5775D" w:rsidRPr="00F54DDC" w:rsidRDefault="00A5775D" w:rsidP="00406788">
            <w:pPr>
              <w:pStyle w:val="Prrafodelista"/>
              <w:widowControl w:val="0"/>
              <w:spacing w:before="20" w:after="20" w:line="305" w:lineRule="auto"/>
              <w:ind w:left="0"/>
              <w:contextualSpacing w:val="0"/>
              <w:jc w:val="right"/>
              <w:rPr>
                <w:b/>
                <w:sz w:val="20"/>
                <w:szCs w:val="24"/>
              </w:rPr>
            </w:pPr>
            <w:r w:rsidRPr="00F54DDC">
              <w:rPr>
                <w:b/>
                <w:sz w:val="20"/>
                <w:szCs w:val="24"/>
              </w:rPr>
              <w:t xml:space="preserve">Total, Gasto </w:t>
            </w:r>
            <w:r w:rsidR="000922F0">
              <w:rPr>
                <w:b/>
                <w:sz w:val="20"/>
                <w:szCs w:val="24"/>
              </w:rPr>
              <w:t>Ordinario</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C3F4858" w14:textId="10598933" w:rsidR="00A5775D" w:rsidRPr="00086821" w:rsidRDefault="000922F0" w:rsidP="00406788">
            <w:pPr>
              <w:pStyle w:val="Prrafodelista"/>
              <w:widowControl w:val="0"/>
              <w:spacing w:before="20" w:after="20" w:line="305" w:lineRule="auto"/>
              <w:ind w:left="0"/>
              <w:contextualSpacing w:val="0"/>
              <w:jc w:val="right"/>
              <w:rPr>
                <w:b/>
                <w:sz w:val="20"/>
                <w:szCs w:val="24"/>
              </w:rPr>
            </w:pPr>
            <w:r>
              <w:rPr>
                <w:b/>
                <w:sz w:val="20"/>
                <w:szCs w:val="24"/>
              </w:rPr>
              <w:t>$211’379,616.72</w:t>
            </w:r>
          </w:p>
        </w:tc>
      </w:tr>
    </w:tbl>
    <w:p w14:paraId="4011031E" w14:textId="105668C6" w:rsidR="00820D41" w:rsidRPr="007320CC" w:rsidRDefault="00E27B12" w:rsidP="00406788">
      <w:pPr>
        <w:pStyle w:val="Ttulo3"/>
        <w:spacing w:before="240"/>
        <w:rPr>
          <w:sz w:val="23"/>
          <w:szCs w:val="23"/>
        </w:rPr>
      </w:pPr>
      <w:r>
        <w:rPr>
          <w:sz w:val="23"/>
          <w:szCs w:val="23"/>
        </w:rPr>
        <w:t>Gasto</w:t>
      </w:r>
      <w:r w:rsidR="00820D41" w:rsidRPr="007320CC">
        <w:rPr>
          <w:sz w:val="23"/>
          <w:szCs w:val="23"/>
        </w:rPr>
        <w:t xml:space="preserve"> </w:t>
      </w:r>
      <w:r w:rsidR="00820D41">
        <w:rPr>
          <w:sz w:val="23"/>
          <w:szCs w:val="23"/>
        </w:rPr>
        <w:t>electoral</w:t>
      </w:r>
    </w:p>
    <w:p w14:paraId="67B15BF4" w14:textId="3268C2BC" w:rsidR="00820D41" w:rsidRPr="007320CC" w:rsidRDefault="00820D41" w:rsidP="00D21D22">
      <w:pPr>
        <w:rPr>
          <w:sz w:val="23"/>
          <w:szCs w:val="23"/>
        </w:rPr>
      </w:pPr>
      <w:r w:rsidRPr="007320CC">
        <w:rPr>
          <w:sz w:val="23"/>
          <w:szCs w:val="23"/>
        </w:rPr>
        <w:t xml:space="preserve">El gasto </w:t>
      </w:r>
      <w:r w:rsidR="00506E2B">
        <w:rPr>
          <w:sz w:val="23"/>
          <w:szCs w:val="23"/>
        </w:rPr>
        <w:t>electoral</w:t>
      </w:r>
      <w:r w:rsidR="00D21D22">
        <w:rPr>
          <w:sz w:val="23"/>
          <w:szCs w:val="23"/>
        </w:rPr>
        <w:t xml:space="preserve"> es el relacionado con las erogaciones destinadas para la organización, desarrollo y ejecución de los procesos electorales. En el caso particular, durante el ejercicio 2024 se llevará a cabo la jornada derivada del Proceso Electoral, por lo </w:t>
      </w:r>
      <w:proofErr w:type="gramStart"/>
      <w:r w:rsidR="00D21D22">
        <w:rPr>
          <w:sz w:val="23"/>
          <w:szCs w:val="23"/>
        </w:rPr>
        <w:t>que</w:t>
      </w:r>
      <w:proofErr w:type="gramEnd"/>
      <w:r w:rsidR="00D21D22">
        <w:rPr>
          <w:sz w:val="23"/>
          <w:szCs w:val="23"/>
        </w:rPr>
        <w:t xml:space="preserve"> de forma previa, se requieren recursos para el material y documentación electoral, el personal que fungirá como capacitadores asistentes y supervisores electorales, entre otros </w:t>
      </w:r>
      <w:r w:rsidRPr="007320CC">
        <w:rPr>
          <w:sz w:val="23"/>
          <w:szCs w:val="23"/>
        </w:rPr>
        <w:t xml:space="preserve">bienes y servicios necesarios para el </w:t>
      </w:r>
      <w:r w:rsidR="00D21D22">
        <w:rPr>
          <w:sz w:val="23"/>
          <w:szCs w:val="23"/>
        </w:rPr>
        <w:t>P</w:t>
      </w:r>
      <w:r w:rsidRPr="007320CC">
        <w:rPr>
          <w:sz w:val="23"/>
          <w:szCs w:val="23"/>
        </w:rPr>
        <w:t xml:space="preserve">roceso </w:t>
      </w:r>
      <w:r w:rsidR="00D21D22">
        <w:rPr>
          <w:sz w:val="23"/>
          <w:szCs w:val="23"/>
        </w:rPr>
        <w:t>E</w:t>
      </w:r>
      <w:r w:rsidRPr="007320CC">
        <w:rPr>
          <w:sz w:val="23"/>
          <w:szCs w:val="23"/>
        </w:rPr>
        <w:t xml:space="preserve">lectoral. </w:t>
      </w:r>
    </w:p>
    <w:tbl>
      <w:tblPr>
        <w:tblStyle w:val="Tablaconcuadrcula"/>
        <w:tblW w:w="0" w:type="auto"/>
        <w:jc w:val="center"/>
        <w:tblLook w:val="04A0" w:firstRow="1" w:lastRow="0" w:firstColumn="1" w:lastColumn="0" w:noHBand="0" w:noVBand="1"/>
      </w:tblPr>
      <w:tblGrid>
        <w:gridCol w:w="1191"/>
        <w:gridCol w:w="5103"/>
        <w:gridCol w:w="2024"/>
      </w:tblGrid>
      <w:tr w:rsidR="000922F0" w:rsidRPr="00F54DDC" w14:paraId="41993337" w14:textId="77777777" w:rsidTr="00116065">
        <w:trPr>
          <w:jc w:val="center"/>
        </w:trPr>
        <w:tc>
          <w:tcPr>
            <w:tcW w:w="8318" w:type="dxa"/>
            <w:gridSpan w:val="3"/>
            <w:tcBorders>
              <w:top w:val="nil"/>
              <w:left w:val="nil"/>
              <w:bottom w:val="single" w:sz="4" w:space="0" w:color="A6A6A6" w:themeColor="background1" w:themeShade="A6"/>
              <w:right w:val="nil"/>
            </w:tcBorders>
            <w:shd w:val="clear" w:color="auto" w:fill="auto"/>
            <w:vAlign w:val="center"/>
          </w:tcPr>
          <w:p w14:paraId="529F3AA2" w14:textId="6DA5B7D5" w:rsidR="000922F0" w:rsidRPr="00F54DDC" w:rsidRDefault="000922F0" w:rsidP="00406788">
            <w:pPr>
              <w:pStyle w:val="Prrafodelista"/>
              <w:widowControl w:val="0"/>
              <w:spacing w:before="20" w:after="20" w:line="305" w:lineRule="auto"/>
              <w:ind w:left="0"/>
              <w:contextualSpacing w:val="0"/>
              <w:jc w:val="center"/>
              <w:rPr>
                <w:b/>
                <w:sz w:val="18"/>
                <w:szCs w:val="23"/>
              </w:rPr>
            </w:pPr>
            <w:r w:rsidRPr="00F54DDC">
              <w:rPr>
                <w:b/>
                <w:sz w:val="20"/>
                <w:szCs w:val="24"/>
              </w:rPr>
              <w:t xml:space="preserve">Gasto </w:t>
            </w:r>
            <w:r>
              <w:rPr>
                <w:b/>
                <w:sz w:val="20"/>
                <w:szCs w:val="24"/>
              </w:rPr>
              <w:t>electoral</w:t>
            </w:r>
            <w:r w:rsidRPr="00F54DDC">
              <w:rPr>
                <w:b/>
                <w:sz w:val="20"/>
                <w:szCs w:val="24"/>
              </w:rPr>
              <w:t xml:space="preserve"> por capítulos</w:t>
            </w:r>
          </w:p>
        </w:tc>
      </w:tr>
      <w:tr w:rsidR="000922F0" w:rsidRPr="00166BFB" w14:paraId="46D1CBC9"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2D4EA112" w14:textId="77777777" w:rsidR="000922F0" w:rsidRPr="00166BFB" w:rsidRDefault="000922F0" w:rsidP="00406788">
            <w:pPr>
              <w:pStyle w:val="Prrafodelista"/>
              <w:widowControl w:val="0"/>
              <w:spacing w:before="20" w:after="20" w:line="305" w:lineRule="auto"/>
              <w:ind w:left="0"/>
              <w:contextualSpacing w:val="0"/>
              <w:jc w:val="center"/>
              <w:rPr>
                <w:b/>
                <w:color w:val="FFFFFF" w:themeColor="background1"/>
                <w:sz w:val="18"/>
                <w:szCs w:val="23"/>
              </w:rPr>
            </w:pPr>
            <w:r w:rsidRPr="00166BFB">
              <w:rPr>
                <w:b/>
                <w:color w:val="FFFFFF" w:themeColor="background1"/>
                <w:sz w:val="18"/>
                <w:szCs w:val="23"/>
              </w:rPr>
              <w:t>Capítulo</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3C85EC15" w14:textId="77777777" w:rsidR="000922F0" w:rsidRPr="00166BFB" w:rsidRDefault="000922F0" w:rsidP="00406788">
            <w:pPr>
              <w:pStyle w:val="Prrafodelista"/>
              <w:widowControl w:val="0"/>
              <w:spacing w:before="20" w:after="20" w:line="305" w:lineRule="auto"/>
              <w:ind w:left="0"/>
              <w:contextualSpacing w:val="0"/>
              <w:jc w:val="center"/>
              <w:rPr>
                <w:b/>
                <w:color w:val="FFFFFF" w:themeColor="background1"/>
                <w:sz w:val="18"/>
                <w:szCs w:val="23"/>
              </w:rPr>
            </w:pPr>
            <w:r w:rsidRPr="00166BFB">
              <w:rPr>
                <w:b/>
                <w:color w:val="FFFFFF" w:themeColor="background1"/>
                <w:sz w:val="18"/>
                <w:szCs w:val="23"/>
              </w:rPr>
              <w:t>Descripción</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78BEB279" w14:textId="77777777" w:rsidR="000922F0" w:rsidRPr="00166BFB" w:rsidRDefault="000922F0" w:rsidP="00406788">
            <w:pPr>
              <w:pStyle w:val="Prrafodelista"/>
              <w:widowControl w:val="0"/>
              <w:spacing w:before="20" w:after="20" w:line="305" w:lineRule="auto"/>
              <w:ind w:left="0"/>
              <w:contextualSpacing w:val="0"/>
              <w:jc w:val="center"/>
              <w:rPr>
                <w:b/>
                <w:color w:val="FFFFFF" w:themeColor="background1"/>
                <w:sz w:val="18"/>
                <w:szCs w:val="23"/>
              </w:rPr>
            </w:pPr>
            <w:r w:rsidRPr="00166BFB">
              <w:rPr>
                <w:b/>
                <w:color w:val="FFFFFF" w:themeColor="background1"/>
                <w:sz w:val="18"/>
                <w:szCs w:val="23"/>
              </w:rPr>
              <w:t>Importe</w:t>
            </w:r>
          </w:p>
        </w:tc>
      </w:tr>
      <w:tr w:rsidR="000922F0" w:rsidRPr="00F54DDC" w14:paraId="31DAA679"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83B35C" w14:textId="77777777" w:rsidR="000922F0" w:rsidRPr="00F54DDC" w:rsidRDefault="000922F0" w:rsidP="00406788">
            <w:pPr>
              <w:pStyle w:val="Prrafodelista"/>
              <w:widowControl w:val="0"/>
              <w:spacing w:before="20" w:after="20" w:line="305" w:lineRule="auto"/>
              <w:ind w:left="0"/>
              <w:contextualSpacing w:val="0"/>
              <w:jc w:val="center"/>
              <w:rPr>
                <w:b/>
                <w:sz w:val="20"/>
                <w:szCs w:val="24"/>
              </w:rPr>
            </w:pPr>
            <w:r w:rsidRPr="00F54DDC">
              <w:rPr>
                <w:b/>
                <w:sz w:val="20"/>
                <w:szCs w:val="24"/>
              </w:rPr>
              <w:t>1000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4CC5A" w14:textId="77777777" w:rsidR="000922F0" w:rsidRPr="00F54DDC" w:rsidRDefault="000922F0" w:rsidP="00406788">
            <w:pPr>
              <w:pStyle w:val="Prrafodelista"/>
              <w:widowControl w:val="0"/>
              <w:spacing w:before="20" w:after="20" w:line="305" w:lineRule="auto"/>
              <w:ind w:left="0"/>
              <w:contextualSpacing w:val="0"/>
              <w:rPr>
                <w:sz w:val="20"/>
                <w:szCs w:val="24"/>
              </w:rPr>
            </w:pPr>
            <w:r w:rsidRPr="00F54DDC">
              <w:rPr>
                <w:sz w:val="20"/>
                <w:szCs w:val="24"/>
              </w:rPr>
              <w:t>Servicios personales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A08352" w14:textId="5272075F" w:rsidR="000922F0" w:rsidRPr="000922F0" w:rsidRDefault="000922F0" w:rsidP="00406788">
            <w:pPr>
              <w:pStyle w:val="Prrafodelista"/>
              <w:widowControl w:val="0"/>
              <w:spacing w:before="20" w:after="20" w:line="305" w:lineRule="auto"/>
              <w:ind w:left="0"/>
              <w:contextualSpacing w:val="0"/>
              <w:jc w:val="right"/>
              <w:rPr>
                <w:b/>
                <w:bCs/>
                <w:sz w:val="20"/>
                <w:szCs w:val="24"/>
              </w:rPr>
            </w:pPr>
            <w:r w:rsidRPr="000922F0">
              <w:rPr>
                <w:b/>
                <w:bCs/>
                <w:sz w:val="20"/>
                <w:szCs w:val="24"/>
              </w:rPr>
              <w:t>$174’394,314.44</w:t>
            </w:r>
          </w:p>
        </w:tc>
      </w:tr>
      <w:tr w:rsidR="000922F0" w:rsidRPr="00F54DDC" w14:paraId="1A9B24F5"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146F3" w14:textId="77777777" w:rsidR="000922F0" w:rsidRPr="00F54DDC" w:rsidRDefault="000922F0" w:rsidP="00406788">
            <w:pPr>
              <w:pStyle w:val="Prrafodelista"/>
              <w:widowControl w:val="0"/>
              <w:spacing w:before="20" w:after="20" w:line="305" w:lineRule="auto"/>
              <w:ind w:left="0"/>
              <w:contextualSpacing w:val="0"/>
              <w:jc w:val="center"/>
              <w:rPr>
                <w:b/>
                <w:sz w:val="20"/>
                <w:szCs w:val="24"/>
              </w:rPr>
            </w:pPr>
            <w:r w:rsidRPr="00F54DDC">
              <w:rPr>
                <w:b/>
                <w:sz w:val="20"/>
                <w:szCs w:val="24"/>
              </w:rPr>
              <w:t>2000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7BADB1" w14:textId="77777777" w:rsidR="000922F0" w:rsidRPr="00F54DDC" w:rsidRDefault="000922F0" w:rsidP="00406788">
            <w:pPr>
              <w:pStyle w:val="Prrafodelista"/>
              <w:widowControl w:val="0"/>
              <w:spacing w:before="20" w:after="20" w:line="305" w:lineRule="auto"/>
              <w:ind w:left="0"/>
              <w:contextualSpacing w:val="0"/>
              <w:rPr>
                <w:sz w:val="20"/>
                <w:szCs w:val="24"/>
              </w:rPr>
            </w:pPr>
            <w:r w:rsidRPr="00F54DDC">
              <w:rPr>
                <w:sz w:val="20"/>
                <w:szCs w:val="24"/>
              </w:rPr>
              <w:t>Materiales y suministros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C36234" w14:textId="41F1699F" w:rsidR="000922F0" w:rsidRPr="000922F0" w:rsidRDefault="000922F0" w:rsidP="00406788">
            <w:pPr>
              <w:pStyle w:val="Prrafodelista"/>
              <w:widowControl w:val="0"/>
              <w:spacing w:before="20" w:after="20" w:line="305" w:lineRule="auto"/>
              <w:ind w:left="0"/>
              <w:contextualSpacing w:val="0"/>
              <w:jc w:val="right"/>
              <w:rPr>
                <w:b/>
                <w:bCs/>
                <w:sz w:val="20"/>
                <w:szCs w:val="24"/>
              </w:rPr>
            </w:pPr>
            <w:r w:rsidRPr="000922F0">
              <w:rPr>
                <w:b/>
                <w:bCs/>
                <w:sz w:val="20"/>
                <w:szCs w:val="24"/>
              </w:rPr>
              <w:t>$17’853,661.07</w:t>
            </w:r>
          </w:p>
        </w:tc>
      </w:tr>
      <w:tr w:rsidR="000922F0" w:rsidRPr="00F54DDC" w14:paraId="240E5B6F"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E58A18" w14:textId="77777777" w:rsidR="000922F0" w:rsidRPr="00F54DDC" w:rsidRDefault="000922F0" w:rsidP="00406788">
            <w:pPr>
              <w:pStyle w:val="Prrafodelista"/>
              <w:widowControl w:val="0"/>
              <w:spacing w:before="20" w:after="20" w:line="305" w:lineRule="auto"/>
              <w:ind w:left="0"/>
              <w:contextualSpacing w:val="0"/>
              <w:jc w:val="center"/>
              <w:rPr>
                <w:b/>
                <w:sz w:val="20"/>
                <w:szCs w:val="24"/>
              </w:rPr>
            </w:pPr>
            <w:r w:rsidRPr="00F54DDC">
              <w:rPr>
                <w:b/>
                <w:sz w:val="20"/>
                <w:szCs w:val="24"/>
              </w:rPr>
              <w:t>3000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EF9250" w14:textId="77777777" w:rsidR="000922F0" w:rsidRPr="00F54DDC" w:rsidRDefault="000922F0" w:rsidP="00406788">
            <w:pPr>
              <w:pStyle w:val="Prrafodelista"/>
              <w:widowControl w:val="0"/>
              <w:spacing w:before="20" w:after="20" w:line="305" w:lineRule="auto"/>
              <w:ind w:left="0"/>
              <w:contextualSpacing w:val="0"/>
              <w:rPr>
                <w:sz w:val="20"/>
                <w:szCs w:val="24"/>
              </w:rPr>
            </w:pPr>
            <w:r w:rsidRPr="00F54DDC">
              <w:rPr>
                <w:sz w:val="20"/>
                <w:szCs w:val="24"/>
              </w:rPr>
              <w:t>Servicios generales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CCC781" w14:textId="438D7907" w:rsidR="000922F0" w:rsidRPr="000922F0" w:rsidRDefault="000922F0" w:rsidP="00406788">
            <w:pPr>
              <w:pStyle w:val="Prrafodelista"/>
              <w:widowControl w:val="0"/>
              <w:spacing w:before="20" w:after="20" w:line="305" w:lineRule="auto"/>
              <w:ind w:left="0"/>
              <w:contextualSpacing w:val="0"/>
              <w:jc w:val="right"/>
              <w:rPr>
                <w:b/>
                <w:bCs/>
                <w:sz w:val="20"/>
                <w:szCs w:val="24"/>
              </w:rPr>
            </w:pPr>
            <w:r w:rsidRPr="000922F0">
              <w:rPr>
                <w:b/>
                <w:bCs/>
                <w:sz w:val="20"/>
                <w:szCs w:val="24"/>
              </w:rPr>
              <w:t>$115’156,272.87</w:t>
            </w:r>
          </w:p>
        </w:tc>
      </w:tr>
      <w:tr w:rsidR="000922F0" w:rsidRPr="00F54DDC" w14:paraId="5DC93593"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D6744F" w14:textId="77777777" w:rsidR="000922F0" w:rsidRPr="00F54DDC" w:rsidRDefault="000922F0" w:rsidP="00406788">
            <w:pPr>
              <w:pStyle w:val="Prrafodelista"/>
              <w:widowControl w:val="0"/>
              <w:spacing w:before="20" w:after="20" w:line="305" w:lineRule="auto"/>
              <w:ind w:left="0"/>
              <w:contextualSpacing w:val="0"/>
              <w:jc w:val="center"/>
              <w:rPr>
                <w:b/>
                <w:sz w:val="20"/>
                <w:szCs w:val="24"/>
              </w:rPr>
            </w:pPr>
            <w:r w:rsidRPr="00F54DDC">
              <w:rPr>
                <w:b/>
                <w:sz w:val="20"/>
                <w:szCs w:val="24"/>
              </w:rPr>
              <w:t>4000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38E360" w14:textId="77777777" w:rsidR="000922F0" w:rsidRPr="00F54DDC" w:rsidRDefault="000922F0" w:rsidP="00406788">
            <w:pPr>
              <w:pStyle w:val="Prrafodelista"/>
              <w:widowControl w:val="0"/>
              <w:spacing w:before="20" w:after="20" w:line="305" w:lineRule="auto"/>
              <w:ind w:left="0"/>
              <w:contextualSpacing w:val="0"/>
              <w:rPr>
                <w:sz w:val="20"/>
                <w:szCs w:val="24"/>
              </w:rPr>
            </w:pPr>
            <w:r w:rsidRPr="000922F0">
              <w:rPr>
                <w:sz w:val="20"/>
                <w:szCs w:val="24"/>
              </w:rPr>
              <w:t>Transferencias, asignaciones, subsidios y otras ayudas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77AA32" w14:textId="7CE21F7F" w:rsidR="000922F0" w:rsidRPr="000922F0" w:rsidRDefault="000922F0" w:rsidP="00406788">
            <w:pPr>
              <w:pStyle w:val="Prrafodelista"/>
              <w:widowControl w:val="0"/>
              <w:spacing w:before="20" w:after="20" w:line="305" w:lineRule="auto"/>
              <w:ind w:left="0"/>
              <w:contextualSpacing w:val="0"/>
              <w:jc w:val="right"/>
              <w:rPr>
                <w:b/>
                <w:bCs/>
                <w:sz w:val="20"/>
                <w:szCs w:val="24"/>
              </w:rPr>
            </w:pPr>
            <w:r w:rsidRPr="000922F0">
              <w:rPr>
                <w:b/>
                <w:bCs/>
                <w:spacing w:val="-6"/>
                <w:sz w:val="20"/>
                <w:szCs w:val="20"/>
              </w:rPr>
              <w:t>$31’557,830.72</w:t>
            </w:r>
          </w:p>
        </w:tc>
      </w:tr>
      <w:tr w:rsidR="000922F0" w:rsidRPr="00F54DDC" w14:paraId="7ACE884D"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193A72" w14:textId="77777777" w:rsidR="000922F0" w:rsidRPr="00F54DDC" w:rsidRDefault="000922F0" w:rsidP="00406788">
            <w:pPr>
              <w:pStyle w:val="Prrafodelista"/>
              <w:widowControl w:val="0"/>
              <w:spacing w:before="20" w:after="20" w:line="305" w:lineRule="auto"/>
              <w:ind w:left="0"/>
              <w:contextualSpacing w:val="0"/>
              <w:jc w:val="center"/>
              <w:rPr>
                <w:b/>
                <w:sz w:val="20"/>
                <w:szCs w:val="24"/>
              </w:rPr>
            </w:pPr>
            <w:r w:rsidRPr="00F54DDC">
              <w:rPr>
                <w:b/>
                <w:sz w:val="20"/>
                <w:szCs w:val="24"/>
              </w:rPr>
              <w:t>5000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E3EC6C" w14:textId="77777777" w:rsidR="000922F0" w:rsidRPr="00F54DDC" w:rsidRDefault="000922F0" w:rsidP="00406788">
            <w:pPr>
              <w:pStyle w:val="Prrafodelista"/>
              <w:widowControl w:val="0"/>
              <w:spacing w:before="20" w:after="20" w:line="305" w:lineRule="auto"/>
              <w:ind w:left="0"/>
              <w:contextualSpacing w:val="0"/>
              <w:rPr>
                <w:sz w:val="20"/>
                <w:szCs w:val="24"/>
              </w:rPr>
            </w:pPr>
            <w:r w:rsidRPr="00F54DDC">
              <w:rPr>
                <w:sz w:val="20"/>
                <w:szCs w:val="24"/>
              </w:rPr>
              <w:t>Equipamiento</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1D03C" w14:textId="2D819E4C" w:rsidR="000922F0" w:rsidRPr="000922F0" w:rsidRDefault="000922F0" w:rsidP="00406788">
            <w:pPr>
              <w:pStyle w:val="Prrafodelista"/>
              <w:widowControl w:val="0"/>
              <w:spacing w:before="20" w:after="20" w:line="305" w:lineRule="auto"/>
              <w:ind w:left="0"/>
              <w:contextualSpacing w:val="0"/>
              <w:jc w:val="right"/>
              <w:rPr>
                <w:b/>
                <w:bCs/>
                <w:sz w:val="20"/>
                <w:szCs w:val="24"/>
              </w:rPr>
            </w:pPr>
            <w:r w:rsidRPr="000922F0">
              <w:rPr>
                <w:b/>
                <w:bCs/>
                <w:sz w:val="20"/>
                <w:szCs w:val="24"/>
              </w:rPr>
              <w:t>$11’443,593.74</w:t>
            </w:r>
          </w:p>
        </w:tc>
      </w:tr>
      <w:tr w:rsidR="000922F0" w:rsidRPr="00F54DDC" w14:paraId="1F784A9A" w14:textId="77777777" w:rsidTr="00116065">
        <w:trPr>
          <w:jc w:val="center"/>
        </w:trPr>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474394" w14:textId="2708BB16" w:rsidR="000922F0" w:rsidRPr="00F54DDC" w:rsidRDefault="000922F0" w:rsidP="00406788">
            <w:pPr>
              <w:pStyle w:val="Prrafodelista"/>
              <w:widowControl w:val="0"/>
              <w:spacing w:before="20" w:after="20" w:line="305" w:lineRule="auto"/>
              <w:ind w:left="0"/>
              <w:contextualSpacing w:val="0"/>
              <w:jc w:val="center"/>
              <w:rPr>
                <w:b/>
                <w:sz w:val="20"/>
                <w:szCs w:val="24"/>
              </w:rPr>
            </w:pPr>
            <w:r w:rsidRPr="000922F0">
              <w:rPr>
                <w:b/>
                <w:sz w:val="20"/>
                <w:szCs w:val="24"/>
              </w:rPr>
              <w:t>8000</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85192" w14:textId="78B9599B" w:rsidR="000922F0" w:rsidRPr="00F54DDC" w:rsidRDefault="000922F0" w:rsidP="00406788">
            <w:pPr>
              <w:pStyle w:val="Prrafodelista"/>
              <w:widowControl w:val="0"/>
              <w:spacing w:before="20" w:after="20" w:line="305" w:lineRule="auto"/>
              <w:ind w:left="0"/>
              <w:contextualSpacing w:val="0"/>
              <w:rPr>
                <w:sz w:val="20"/>
                <w:szCs w:val="24"/>
              </w:rPr>
            </w:pPr>
            <w:r w:rsidRPr="000922F0">
              <w:rPr>
                <w:sz w:val="20"/>
                <w:szCs w:val="24"/>
              </w:rPr>
              <w:t>Participaciones y Aportaciones</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5E087B" w14:textId="6C569F3A" w:rsidR="000922F0" w:rsidRPr="000922F0" w:rsidRDefault="000922F0" w:rsidP="00406788">
            <w:pPr>
              <w:pStyle w:val="Prrafodelista"/>
              <w:widowControl w:val="0"/>
              <w:spacing w:before="20" w:after="20" w:line="305" w:lineRule="auto"/>
              <w:ind w:left="0"/>
              <w:contextualSpacing w:val="0"/>
              <w:jc w:val="right"/>
              <w:rPr>
                <w:b/>
                <w:bCs/>
                <w:sz w:val="20"/>
                <w:szCs w:val="24"/>
              </w:rPr>
            </w:pPr>
            <w:r w:rsidRPr="000922F0">
              <w:rPr>
                <w:b/>
                <w:bCs/>
                <w:sz w:val="20"/>
                <w:szCs w:val="24"/>
              </w:rPr>
              <w:t>$8’340,055.71</w:t>
            </w:r>
          </w:p>
        </w:tc>
      </w:tr>
      <w:tr w:rsidR="000922F0" w:rsidRPr="00F54DDC" w14:paraId="18C77BF4" w14:textId="77777777" w:rsidTr="00116065">
        <w:trPr>
          <w:jc w:val="center"/>
        </w:trPr>
        <w:tc>
          <w:tcPr>
            <w:tcW w:w="6294" w:type="dxa"/>
            <w:gridSpan w:val="2"/>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604FF193" w14:textId="026BDBA4" w:rsidR="000922F0" w:rsidRPr="00F54DDC" w:rsidRDefault="000922F0" w:rsidP="00406788">
            <w:pPr>
              <w:pStyle w:val="Prrafodelista"/>
              <w:widowControl w:val="0"/>
              <w:spacing w:before="20" w:after="20" w:line="305" w:lineRule="auto"/>
              <w:ind w:left="0"/>
              <w:contextualSpacing w:val="0"/>
              <w:jc w:val="right"/>
              <w:rPr>
                <w:b/>
                <w:sz w:val="20"/>
                <w:szCs w:val="24"/>
              </w:rPr>
            </w:pPr>
            <w:r w:rsidRPr="00F54DDC">
              <w:rPr>
                <w:b/>
                <w:sz w:val="20"/>
                <w:szCs w:val="24"/>
              </w:rPr>
              <w:t xml:space="preserve">Total, Gasto </w:t>
            </w:r>
            <w:r w:rsidR="00727D65">
              <w:rPr>
                <w:b/>
                <w:sz w:val="20"/>
                <w:szCs w:val="24"/>
              </w:rPr>
              <w:t>Electoral</w:t>
            </w:r>
          </w:p>
        </w:tc>
        <w:tc>
          <w:tcPr>
            <w:tcW w:w="2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F37B20" w14:textId="2345A797" w:rsidR="000922F0" w:rsidRPr="00086821" w:rsidRDefault="000E3BC0" w:rsidP="00406788">
            <w:pPr>
              <w:pStyle w:val="Prrafodelista"/>
              <w:widowControl w:val="0"/>
              <w:spacing w:before="20" w:after="20" w:line="305" w:lineRule="auto"/>
              <w:ind w:left="0"/>
              <w:contextualSpacing w:val="0"/>
              <w:jc w:val="right"/>
              <w:rPr>
                <w:b/>
                <w:sz w:val="20"/>
                <w:szCs w:val="24"/>
              </w:rPr>
            </w:pPr>
            <w:r>
              <w:rPr>
                <w:b/>
                <w:sz w:val="20"/>
                <w:szCs w:val="24"/>
              </w:rPr>
              <w:t>$</w:t>
            </w:r>
            <w:r w:rsidRPr="000E3BC0">
              <w:rPr>
                <w:b/>
                <w:sz w:val="20"/>
                <w:szCs w:val="24"/>
              </w:rPr>
              <w:t>358,745,728.55</w:t>
            </w:r>
          </w:p>
        </w:tc>
      </w:tr>
    </w:tbl>
    <w:p w14:paraId="161B1C71" w14:textId="77777777" w:rsidR="00820D41" w:rsidRDefault="00820D41" w:rsidP="00164F4D">
      <w:pPr>
        <w:rPr>
          <w:sz w:val="23"/>
          <w:szCs w:val="23"/>
        </w:rPr>
      </w:pPr>
    </w:p>
    <w:p w14:paraId="42B14E5E" w14:textId="59057A1B" w:rsidR="00116065" w:rsidRDefault="00116065" w:rsidP="00116065">
      <w:pPr>
        <w:pStyle w:val="Ttulo3"/>
      </w:pPr>
      <w:r>
        <w:t xml:space="preserve">Gasto total </w:t>
      </w:r>
    </w:p>
    <w:p w14:paraId="6BD6083F" w14:textId="375998B4" w:rsidR="00116065" w:rsidRDefault="00727D65" w:rsidP="00164F4D">
      <w:pPr>
        <w:rPr>
          <w:sz w:val="23"/>
          <w:szCs w:val="23"/>
        </w:rPr>
      </w:pPr>
      <w:r>
        <w:rPr>
          <w:sz w:val="23"/>
          <w:szCs w:val="23"/>
        </w:rPr>
        <w:t>A partir de las cantidades señaladas en los apartados anteriores, durante el ejercicio fiscal 2024, el gasto ordinario y el electoral del Instituto queda conformado por los siguientes totales:</w:t>
      </w:r>
    </w:p>
    <w:tbl>
      <w:tblPr>
        <w:tblStyle w:val="Tablaconcuadrcula"/>
        <w:tblW w:w="0" w:type="auto"/>
        <w:jc w:val="center"/>
        <w:tblLook w:val="04A0" w:firstRow="1" w:lastRow="0" w:firstColumn="1" w:lastColumn="0" w:noHBand="0" w:noVBand="1"/>
      </w:tblPr>
      <w:tblGrid>
        <w:gridCol w:w="605"/>
        <w:gridCol w:w="961"/>
        <w:gridCol w:w="2512"/>
        <w:gridCol w:w="1555"/>
        <w:gridCol w:w="1697"/>
        <w:gridCol w:w="1508"/>
      </w:tblGrid>
      <w:tr w:rsidR="00727D65" w:rsidRPr="00F54DDC" w14:paraId="6BE99CF5" w14:textId="0EC054FF" w:rsidTr="00727D65">
        <w:trPr>
          <w:jc w:val="center"/>
        </w:trPr>
        <w:tc>
          <w:tcPr>
            <w:tcW w:w="1505" w:type="dxa"/>
            <w:gridSpan w:val="2"/>
            <w:tcBorders>
              <w:top w:val="nil"/>
              <w:left w:val="nil"/>
              <w:bottom w:val="single" w:sz="4" w:space="0" w:color="A6A6A6" w:themeColor="background1" w:themeShade="A6"/>
              <w:right w:val="nil"/>
            </w:tcBorders>
          </w:tcPr>
          <w:p w14:paraId="3D78F314" w14:textId="77777777" w:rsidR="00727D65" w:rsidRPr="00F54DDC" w:rsidRDefault="00727D65" w:rsidP="00910183">
            <w:pPr>
              <w:pStyle w:val="Prrafodelista"/>
              <w:widowControl w:val="0"/>
              <w:spacing w:before="120" w:after="120" w:line="305" w:lineRule="auto"/>
              <w:ind w:left="0"/>
              <w:contextualSpacing w:val="0"/>
              <w:jc w:val="center"/>
              <w:rPr>
                <w:b/>
                <w:sz w:val="20"/>
                <w:szCs w:val="24"/>
              </w:rPr>
            </w:pPr>
          </w:p>
        </w:tc>
        <w:tc>
          <w:tcPr>
            <w:tcW w:w="6283" w:type="dxa"/>
            <w:gridSpan w:val="3"/>
            <w:tcBorders>
              <w:top w:val="nil"/>
              <w:left w:val="nil"/>
              <w:bottom w:val="single" w:sz="4" w:space="0" w:color="A6A6A6" w:themeColor="background1" w:themeShade="A6"/>
              <w:right w:val="nil"/>
            </w:tcBorders>
            <w:shd w:val="clear" w:color="auto" w:fill="auto"/>
            <w:vAlign w:val="center"/>
          </w:tcPr>
          <w:p w14:paraId="2E72245C" w14:textId="6E1C7DDA" w:rsidR="00727D65" w:rsidRPr="00F54DDC" w:rsidRDefault="00727D65" w:rsidP="00910183">
            <w:pPr>
              <w:pStyle w:val="Prrafodelista"/>
              <w:widowControl w:val="0"/>
              <w:spacing w:before="120" w:after="120" w:line="305" w:lineRule="auto"/>
              <w:ind w:left="0"/>
              <w:contextualSpacing w:val="0"/>
              <w:jc w:val="center"/>
              <w:rPr>
                <w:b/>
                <w:sz w:val="18"/>
                <w:szCs w:val="23"/>
              </w:rPr>
            </w:pPr>
            <w:r w:rsidRPr="00F54DDC">
              <w:rPr>
                <w:b/>
                <w:sz w:val="20"/>
                <w:szCs w:val="24"/>
              </w:rPr>
              <w:t xml:space="preserve">Gasto </w:t>
            </w:r>
            <w:r>
              <w:rPr>
                <w:b/>
                <w:sz w:val="20"/>
                <w:szCs w:val="24"/>
              </w:rPr>
              <w:t>total</w:t>
            </w:r>
            <w:r w:rsidRPr="00F54DDC">
              <w:rPr>
                <w:b/>
                <w:sz w:val="20"/>
                <w:szCs w:val="24"/>
              </w:rPr>
              <w:t xml:space="preserve"> por capítulos</w:t>
            </w:r>
          </w:p>
        </w:tc>
        <w:tc>
          <w:tcPr>
            <w:tcW w:w="1050" w:type="dxa"/>
            <w:tcBorders>
              <w:top w:val="nil"/>
              <w:left w:val="nil"/>
              <w:bottom w:val="single" w:sz="4" w:space="0" w:color="A6A6A6" w:themeColor="background1" w:themeShade="A6"/>
              <w:right w:val="nil"/>
            </w:tcBorders>
          </w:tcPr>
          <w:p w14:paraId="03896E31" w14:textId="77777777" w:rsidR="00727D65" w:rsidRPr="00F54DDC" w:rsidRDefault="00727D65" w:rsidP="00910183">
            <w:pPr>
              <w:pStyle w:val="Prrafodelista"/>
              <w:widowControl w:val="0"/>
              <w:spacing w:before="120" w:after="120" w:line="305" w:lineRule="auto"/>
              <w:ind w:left="0"/>
              <w:contextualSpacing w:val="0"/>
              <w:jc w:val="center"/>
              <w:rPr>
                <w:b/>
                <w:sz w:val="20"/>
                <w:szCs w:val="24"/>
              </w:rPr>
            </w:pPr>
          </w:p>
        </w:tc>
      </w:tr>
      <w:tr w:rsidR="00B771AC" w:rsidRPr="00166BFB" w14:paraId="6C80E0B7" w14:textId="4A550014" w:rsidTr="00B771AC">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7C376467" w14:textId="6055347B" w:rsidR="00727D65" w:rsidRPr="00B771AC" w:rsidRDefault="00727D65"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Cap.</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7413B7EE" w14:textId="77777777" w:rsidR="00727D65" w:rsidRPr="00B771AC" w:rsidRDefault="00727D65"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Descripción</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26DC582E" w14:textId="400BCD86" w:rsidR="00727D65" w:rsidRPr="00B771AC" w:rsidRDefault="00727D65"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Gasto Ordinario</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338410AF" w14:textId="33D94616" w:rsidR="00727D65" w:rsidRPr="00B771AC" w:rsidRDefault="00727D65"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Gasto Electoral</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39F0D489" w14:textId="32720C54" w:rsidR="00727D65" w:rsidRPr="00B771AC" w:rsidRDefault="00727D65"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Total</w:t>
            </w:r>
          </w:p>
        </w:tc>
      </w:tr>
      <w:tr w:rsidR="00B771AC" w:rsidRPr="00F54DDC" w14:paraId="113C28E3" w14:textId="67165A5E" w:rsidTr="00B771AC">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39AFD6" w14:textId="77777777" w:rsidR="00727D65" w:rsidRPr="00B771AC" w:rsidRDefault="00727D65" w:rsidP="00727D65">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1000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1B792F" w14:textId="77777777" w:rsidR="00727D65" w:rsidRPr="000218D9" w:rsidRDefault="00727D65" w:rsidP="00727D65">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Servicios personales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16CC71" w14:textId="596EFD5B"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$112,078,224.89</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4F51D" w14:textId="6E2FA696"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$174’394,314.44</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95B6BE" w14:textId="3517733A" w:rsidR="00727D65" w:rsidRPr="00B771AC" w:rsidRDefault="000218D9" w:rsidP="00727D65">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r w:rsidR="00B771AC" w:rsidRPr="00B771AC">
              <w:rPr>
                <w:b/>
                <w:bCs/>
                <w:spacing w:val="-14"/>
                <w:sz w:val="20"/>
                <w:szCs w:val="20"/>
              </w:rPr>
              <w:t>286</w:t>
            </w:r>
            <w:r>
              <w:rPr>
                <w:b/>
                <w:bCs/>
                <w:spacing w:val="-14"/>
                <w:sz w:val="20"/>
                <w:szCs w:val="20"/>
              </w:rPr>
              <w:t>’</w:t>
            </w:r>
            <w:r w:rsidR="00B771AC" w:rsidRPr="00B771AC">
              <w:rPr>
                <w:b/>
                <w:bCs/>
                <w:spacing w:val="-14"/>
                <w:sz w:val="20"/>
                <w:szCs w:val="20"/>
              </w:rPr>
              <w:t>472,539.33</w:t>
            </w:r>
          </w:p>
        </w:tc>
      </w:tr>
      <w:tr w:rsidR="00B771AC" w:rsidRPr="00F54DDC" w14:paraId="67301869" w14:textId="0D9074C3" w:rsidTr="00B771AC">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F94DA7" w14:textId="77777777" w:rsidR="00727D65" w:rsidRPr="00B771AC" w:rsidRDefault="00727D65" w:rsidP="00727D65">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2000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24DA8F" w14:textId="77777777" w:rsidR="00727D65" w:rsidRPr="000218D9" w:rsidRDefault="00727D65" w:rsidP="00727D65">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Materiales y suministros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75190A" w14:textId="11FA79AF"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$10,170,188.00</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16017" w14:textId="46ADDFF2"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$17’853,661.07</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C193B" w14:textId="0E764005" w:rsidR="00727D65" w:rsidRPr="00B771AC" w:rsidRDefault="000218D9" w:rsidP="00727D65">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r w:rsidR="00B771AC" w:rsidRPr="00B771AC">
              <w:rPr>
                <w:b/>
                <w:bCs/>
                <w:spacing w:val="-14"/>
                <w:sz w:val="20"/>
                <w:szCs w:val="20"/>
              </w:rPr>
              <w:t>28</w:t>
            </w:r>
            <w:r>
              <w:rPr>
                <w:b/>
                <w:bCs/>
                <w:spacing w:val="-14"/>
                <w:sz w:val="20"/>
                <w:szCs w:val="20"/>
              </w:rPr>
              <w:t>’</w:t>
            </w:r>
            <w:r w:rsidR="00B771AC" w:rsidRPr="00B771AC">
              <w:rPr>
                <w:b/>
                <w:bCs/>
                <w:spacing w:val="-14"/>
                <w:sz w:val="20"/>
                <w:szCs w:val="20"/>
              </w:rPr>
              <w:t>023,849.07</w:t>
            </w:r>
          </w:p>
        </w:tc>
      </w:tr>
      <w:tr w:rsidR="00B771AC" w:rsidRPr="00F54DDC" w14:paraId="39D2681B" w14:textId="0BC0D5B6" w:rsidTr="00B771AC">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256DFB" w14:textId="77777777" w:rsidR="00727D65" w:rsidRPr="00B771AC" w:rsidRDefault="00727D65" w:rsidP="00727D65">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3000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F8F700" w14:textId="77777777" w:rsidR="00727D65" w:rsidRPr="000218D9" w:rsidRDefault="00727D65" w:rsidP="00727D65">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Servicios generales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A426AD" w14:textId="511AD815"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$26,622,423.71</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28730C" w14:textId="024E4B1C"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$115’156,272.87</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36288" w14:textId="7E34884D" w:rsidR="00727D65" w:rsidRPr="00B771AC" w:rsidRDefault="000218D9" w:rsidP="00727D65">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r w:rsidR="00B771AC" w:rsidRPr="00B771AC">
              <w:rPr>
                <w:b/>
                <w:bCs/>
                <w:spacing w:val="-14"/>
                <w:sz w:val="20"/>
                <w:szCs w:val="20"/>
              </w:rPr>
              <w:t>141</w:t>
            </w:r>
            <w:r>
              <w:rPr>
                <w:b/>
                <w:bCs/>
                <w:spacing w:val="-14"/>
                <w:sz w:val="20"/>
                <w:szCs w:val="20"/>
              </w:rPr>
              <w:t>’</w:t>
            </w:r>
            <w:r w:rsidR="00B771AC" w:rsidRPr="00B771AC">
              <w:rPr>
                <w:b/>
                <w:bCs/>
                <w:spacing w:val="-14"/>
                <w:sz w:val="20"/>
                <w:szCs w:val="20"/>
              </w:rPr>
              <w:t>778,696.58</w:t>
            </w:r>
          </w:p>
        </w:tc>
      </w:tr>
      <w:tr w:rsidR="00B771AC" w:rsidRPr="00F54DDC" w14:paraId="4435C53E" w14:textId="6B77FD2E" w:rsidTr="00B771AC">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097FE" w14:textId="77777777" w:rsidR="00727D65" w:rsidRPr="00B771AC" w:rsidRDefault="00727D65" w:rsidP="00727D65">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4000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3D05A" w14:textId="77777777" w:rsidR="00727D65" w:rsidRPr="000218D9" w:rsidRDefault="00727D65" w:rsidP="00727D65">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Transferencias, asignaciones, subsidios y otras ayudas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0B2343" w14:textId="0DE08F99"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$62,508,780.12</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5CE7CE" w14:textId="046C627E"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$31’557,830.72</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38BEA0" w14:textId="60E8746A" w:rsidR="00727D65" w:rsidRPr="00B771AC" w:rsidRDefault="00B771AC"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94,066,610.84</w:t>
            </w:r>
          </w:p>
        </w:tc>
      </w:tr>
      <w:tr w:rsidR="00B771AC" w:rsidRPr="00F54DDC" w14:paraId="02926F40" w14:textId="1CF5F624" w:rsidTr="00B771AC">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DCBB94" w14:textId="77777777" w:rsidR="00727D65" w:rsidRPr="00B771AC" w:rsidRDefault="00727D65" w:rsidP="00727D65">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5000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1517B8" w14:textId="77777777" w:rsidR="00727D65" w:rsidRPr="000218D9" w:rsidRDefault="00727D65" w:rsidP="00727D65">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Equipamiento</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CB79F" w14:textId="5EAAA61B" w:rsidR="00727D65" w:rsidRPr="00B771AC" w:rsidRDefault="00B771AC" w:rsidP="00727D65">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3BF0D1" w14:textId="3F54909D" w:rsidR="00727D65" w:rsidRPr="00B771AC" w:rsidRDefault="00727D65"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$11’443,593.74</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F079DA" w14:textId="7C6ADC08" w:rsidR="00727D65" w:rsidRPr="00B771AC" w:rsidRDefault="00B771AC"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$11’443,593.74</w:t>
            </w:r>
          </w:p>
        </w:tc>
      </w:tr>
      <w:tr w:rsidR="00B771AC" w:rsidRPr="00F54DDC" w14:paraId="160A49F4" w14:textId="7E7F7190" w:rsidTr="00B771AC">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C29E40" w14:textId="77777777" w:rsidR="00727D65" w:rsidRPr="00B771AC" w:rsidRDefault="00727D65" w:rsidP="00727D65">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8000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DD957" w14:textId="77777777" w:rsidR="00727D65" w:rsidRPr="000218D9" w:rsidRDefault="00727D65" w:rsidP="00727D65">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Participaciones y Aportaciones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F206E8" w14:textId="53B33B84" w:rsidR="00727D65" w:rsidRPr="00B771AC" w:rsidRDefault="00B771AC" w:rsidP="00727D65">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7B226" w14:textId="5DD0497A" w:rsidR="00727D65" w:rsidRPr="00B771AC" w:rsidRDefault="00B771AC"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$8’340,055.71</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4AB8D" w14:textId="1A9FC5BC" w:rsidR="00727D65" w:rsidRPr="00B771AC" w:rsidRDefault="00B771AC" w:rsidP="00727D65">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$8’340,055.71</w:t>
            </w:r>
          </w:p>
        </w:tc>
      </w:tr>
      <w:tr w:rsidR="000218D9" w:rsidRPr="00F54DDC" w14:paraId="2F1116C6" w14:textId="51A6455F" w:rsidTr="00B771AC">
        <w:trPr>
          <w:jc w:val="center"/>
        </w:trPr>
        <w:tc>
          <w:tcPr>
            <w:tcW w:w="4469" w:type="dxa"/>
            <w:gridSpan w:val="3"/>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23C3C991" w14:textId="77777777" w:rsidR="00727D65" w:rsidRPr="00B771AC" w:rsidRDefault="00727D65" w:rsidP="00727D65">
            <w:pPr>
              <w:pStyle w:val="Prrafodelista"/>
              <w:widowControl w:val="0"/>
              <w:spacing w:before="60" w:after="60" w:line="305" w:lineRule="auto"/>
              <w:ind w:left="0"/>
              <w:contextualSpacing w:val="0"/>
              <w:jc w:val="right"/>
              <w:rPr>
                <w:b/>
                <w:spacing w:val="-14"/>
                <w:sz w:val="20"/>
                <w:szCs w:val="20"/>
              </w:rPr>
            </w:pPr>
            <w:r w:rsidRPr="00B771AC">
              <w:rPr>
                <w:b/>
                <w:spacing w:val="-14"/>
                <w:sz w:val="20"/>
                <w:szCs w:val="20"/>
              </w:rPr>
              <w:t>Total, Gasto Corriente</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7996CA7" w14:textId="0A4E5A35" w:rsidR="00727D65" w:rsidRPr="00B771AC" w:rsidRDefault="00B771AC" w:rsidP="00727D65">
            <w:pPr>
              <w:pStyle w:val="Prrafodelista"/>
              <w:widowControl w:val="0"/>
              <w:spacing w:before="60" w:after="60" w:line="305" w:lineRule="auto"/>
              <w:ind w:left="0"/>
              <w:contextualSpacing w:val="0"/>
              <w:jc w:val="right"/>
              <w:rPr>
                <w:b/>
                <w:spacing w:val="-14"/>
                <w:sz w:val="20"/>
                <w:szCs w:val="20"/>
              </w:rPr>
            </w:pPr>
            <w:r w:rsidRPr="00B771AC">
              <w:rPr>
                <w:b/>
                <w:spacing w:val="-14"/>
                <w:sz w:val="20"/>
                <w:szCs w:val="20"/>
              </w:rPr>
              <w:t>$211’379,616.72</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91894CC" w14:textId="0C977675" w:rsidR="00727D65" w:rsidRPr="00B771AC" w:rsidRDefault="00727D65" w:rsidP="00727D65">
            <w:pPr>
              <w:pStyle w:val="Prrafodelista"/>
              <w:widowControl w:val="0"/>
              <w:spacing w:before="60" w:after="60" w:line="305" w:lineRule="auto"/>
              <w:ind w:left="0"/>
              <w:contextualSpacing w:val="0"/>
              <w:jc w:val="right"/>
              <w:rPr>
                <w:b/>
                <w:spacing w:val="-14"/>
                <w:sz w:val="20"/>
                <w:szCs w:val="20"/>
              </w:rPr>
            </w:pPr>
            <w:r w:rsidRPr="00B771AC">
              <w:rPr>
                <w:b/>
                <w:spacing w:val="-14"/>
                <w:sz w:val="20"/>
                <w:szCs w:val="20"/>
              </w:rPr>
              <w:t>$358</w:t>
            </w:r>
            <w:r w:rsidR="000218D9">
              <w:rPr>
                <w:b/>
                <w:spacing w:val="-14"/>
                <w:sz w:val="20"/>
                <w:szCs w:val="20"/>
              </w:rPr>
              <w:t>’</w:t>
            </w:r>
            <w:r w:rsidRPr="00B771AC">
              <w:rPr>
                <w:b/>
                <w:spacing w:val="-14"/>
                <w:sz w:val="20"/>
                <w:szCs w:val="20"/>
              </w:rPr>
              <w:t>745,728.55</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C01ECE" w14:textId="51A2406A" w:rsidR="00727D65" w:rsidRPr="00B771AC" w:rsidRDefault="00B771AC" w:rsidP="00727D65">
            <w:pPr>
              <w:pStyle w:val="Prrafodelista"/>
              <w:widowControl w:val="0"/>
              <w:spacing w:before="60" w:after="60" w:line="305" w:lineRule="auto"/>
              <w:ind w:left="0"/>
              <w:contextualSpacing w:val="0"/>
              <w:jc w:val="right"/>
              <w:rPr>
                <w:b/>
                <w:spacing w:val="-14"/>
                <w:sz w:val="20"/>
                <w:szCs w:val="20"/>
              </w:rPr>
            </w:pPr>
            <w:r w:rsidRPr="00B771AC">
              <w:rPr>
                <w:b/>
                <w:spacing w:val="-14"/>
                <w:sz w:val="20"/>
                <w:szCs w:val="20"/>
              </w:rPr>
              <w:t>$570</w:t>
            </w:r>
            <w:r w:rsidR="000218D9">
              <w:rPr>
                <w:b/>
                <w:spacing w:val="-14"/>
                <w:sz w:val="20"/>
                <w:szCs w:val="20"/>
              </w:rPr>
              <w:t>’</w:t>
            </w:r>
            <w:r w:rsidRPr="00B771AC">
              <w:rPr>
                <w:b/>
                <w:spacing w:val="-14"/>
                <w:sz w:val="20"/>
                <w:szCs w:val="20"/>
              </w:rPr>
              <w:t>125,345.27</w:t>
            </w:r>
          </w:p>
        </w:tc>
      </w:tr>
    </w:tbl>
    <w:p w14:paraId="3DB2F6D0" w14:textId="53CA3961" w:rsidR="00740B50" w:rsidRDefault="00740B50" w:rsidP="00074901">
      <w:pPr>
        <w:spacing w:before="0" w:after="0"/>
        <w:rPr>
          <w:sz w:val="23"/>
          <w:szCs w:val="23"/>
        </w:rPr>
      </w:pPr>
      <w:r w:rsidRPr="00467726">
        <w:rPr>
          <w:sz w:val="23"/>
          <w:szCs w:val="23"/>
        </w:rPr>
        <w:t>Sobre la base de las consideraciones señaladas, este Consejo Estatal emite el siguiente:</w:t>
      </w:r>
    </w:p>
    <w:p w14:paraId="10081994" w14:textId="77777777" w:rsidR="00074901" w:rsidRDefault="00074901" w:rsidP="00074901">
      <w:pPr>
        <w:spacing w:before="0" w:after="0"/>
        <w:rPr>
          <w:sz w:val="23"/>
          <w:szCs w:val="23"/>
        </w:rPr>
      </w:pPr>
    </w:p>
    <w:p w14:paraId="0DE55AA2" w14:textId="77777777" w:rsidR="00074901" w:rsidRPr="00467726" w:rsidRDefault="00074901" w:rsidP="00074901">
      <w:pPr>
        <w:spacing w:before="0" w:after="0"/>
        <w:rPr>
          <w:sz w:val="23"/>
          <w:szCs w:val="23"/>
        </w:rPr>
      </w:pPr>
    </w:p>
    <w:p w14:paraId="1AE87B66" w14:textId="55EEE12F" w:rsidR="00740B50" w:rsidRDefault="00740B50" w:rsidP="00074901">
      <w:pPr>
        <w:pStyle w:val="Ttulo1"/>
        <w:spacing w:before="0" w:after="0"/>
        <w:rPr>
          <w:sz w:val="24"/>
          <w:szCs w:val="24"/>
        </w:rPr>
      </w:pPr>
      <w:r w:rsidRPr="00074901">
        <w:rPr>
          <w:sz w:val="24"/>
          <w:szCs w:val="24"/>
        </w:rPr>
        <w:t>Acuerdo</w:t>
      </w:r>
    </w:p>
    <w:p w14:paraId="4841A788" w14:textId="77777777" w:rsidR="00074901" w:rsidRPr="00074901" w:rsidRDefault="00074901" w:rsidP="00074901">
      <w:pPr>
        <w:spacing w:before="0" w:after="0"/>
      </w:pPr>
    </w:p>
    <w:p w14:paraId="7A3C5DD2" w14:textId="402B29CB" w:rsidR="007B1ADF" w:rsidRDefault="00306BF5" w:rsidP="00074901">
      <w:pPr>
        <w:pStyle w:val="Puntos"/>
        <w:spacing w:after="0" w:line="300" w:lineRule="auto"/>
        <w:ind w:left="0"/>
        <w:rPr>
          <w:sz w:val="23"/>
          <w:szCs w:val="23"/>
        </w:rPr>
      </w:pPr>
      <w:r w:rsidRPr="007320CC">
        <w:rPr>
          <w:b/>
          <w:sz w:val="23"/>
          <w:szCs w:val="23"/>
        </w:rPr>
        <w:t xml:space="preserve">Primero. </w:t>
      </w:r>
      <w:r w:rsidR="007B1ADF">
        <w:rPr>
          <w:sz w:val="23"/>
          <w:szCs w:val="23"/>
        </w:rPr>
        <w:t xml:space="preserve">Se </w:t>
      </w:r>
      <w:r w:rsidR="00FC17F1" w:rsidRPr="007320CC">
        <w:rPr>
          <w:sz w:val="23"/>
          <w:szCs w:val="23"/>
        </w:rPr>
        <w:t>aprueba el Anteproyecto de Presupuesto de Egresos del Instituto Electoral y de Participación Ciudadana de Tabasco para el ejercicio 202</w:t>
      </w:r>
      <w:r w:rsidR="00232AF2" w:rsidRPr="007320CC">
        <w:rPr>
          <w:sz w:val="23"/>
          <w:szCs w:val="23"/>
        </w:rPr>
        <w:t>4</w:t>
      </w:r>
      <w:r w:rsidR="00780A4F">
        <w:rPr>
          <w:sz w:val="23"/>
          <w:szCs w:val="23"/>
        </w:rPr>
        <w:t>,</w:t>
      </w:r>
      <w:r w:rsidR="007B1ADF" w:rsidRPr="007B1ADF">
        <w:rPr>
          <w:sz w:val="23"/>
          <w:szCs w:val="23"/>
        </w:rPr>
        <w:t xml:space="preserve"> mismo que se integra </w:t>
      </w:r>
      <w:r w:rsidR="007B1ADF">
        <w:rPr>
          <w:sz w:val="23"/>
          <w:szCs w:val="23"/>
        </w:rPr>
        <w:t xml:space="preserve">por </w:t>
      </w:r>
      <w:r w:rsidR="007B1ADF" w:rsidRPr="007B1ADF">
        <w:rPr>
          <w:sz w:val="23"/>
          <w:szCs w:val="23"/>
        </w:rPr>
        <w:t xml:space="preserve">los siguientes rubros: </w:t>
      </w:r>
    </w:p>
    <w:p w14:paraId="52EF2AA9" w14:textId="77777777" w:rsidR="00074901" w:rsidRDefault="00074901" w:rsidP="00074901">
      <w:pPr>
        <w:pStyle w:val="Puntos"/>
        <w:spacing w:after="0" w:line="300" w:lineRule="auto"/>
        <w:ind w:left="0"/>
        <w:rPr>
          <w:sz w:val="23"/>
          <w:szCs w:val="23"/>
        </w:rPr>
      </w:pPr>
    </w:p>
    <w:tbl>
      <w:tblPr>
        <w:tblStyle w:val="Tablaconcuadrcula"/>
        <w:tblW w:w="0" w:type="auto"/>
        <w:jc w:val="center"/>
        <w:tblLook w:val="04A0" w:firstRow="1" w:lastRow="0" w:firstColumn="1" w:lastColumn="0" w:noHBand="0" w:noVBand="1"/>
      </w:tblPr>
      <w:tblGrid>
        <w:gridCol w:w="605"/>
        <w:gridCol w:w="961"/>
        <w:gridCol w:w="2512"/>
        <w:gridCol w:w="1555"/>
        <w:gridCol w:w="1697"/>
        <w:gridCol w:w="1508"/>
      </w:tblGrid>
      <w:tr w:rsidR="000218D9" w:rsidRPr="00F54DDC" w14:paraId="7A2559BE" w14:textId="77777777" w:rsidTr="00910183">
        <w:trPr>
          <w:jc w:val="center"/>
        </w:trPr>
        <w:tc>
          <w:tcPr>
            <w:tcW w:w="1505" w:type="dxa"/>
            <w:gridSpan w:val="2"/>
            <w:tcBorders>
              <w:top w:val="nil"/>
              <w:left w:val="nil"/>
              <w:bottom w:val="single" w:sz="4" w:space="0" w:color="A6A6A6" w:themeColor="background1" w:themeShade="A6"/>
              <w:right w:val="nil"/>
            </w:tcBorders>
          </w:tcPr>
          <w:p w14:paraId="7D98BE1D" w14:textId="77777777" w:rsidR="000218D9" w:rsidRPr="00F54DDC" w:rsidRDefault="000218D9" w:rsidP="00074901">
            <w:pPr>
              <w:pStyle w:val="Prrafodelista"/>
              <w:widowControl w:val="0"/>
              <w:spacing w:before="0" w:after="0" w:line="305" w:lineRule="auto"/>
              <w:ind w:left="0"/>
              <w:contextualSpacing w:val="0"/>
              <w:jc w:val="center"/>
              <w:rPr>
                <w:b/>
                <w:sz w:val="20"/>
                <w:szCs w:val="24"/>
              </w:rPr>
            </w:pPr>
          </w:p>
        </w:tc>
        <w:tc>
          <w:tcPr>
            <w:tcW w:w="6283" w:type="dxa"/>
            <w:gridSpan w:val="3"/>
            <w:tcBorders>
              <w:top w:val="nil"/>
              <w:left w:val="nil"/>
              <w:bottom w:val="single" w:sz="4" w:space="0" w:color="A6A6A6" w:themeColor="background1" w:themeShade="A6"/>
              <w:right w:val="nil"/>
            </w:tcBorders>
            <w:shd w:val="clear" w:color="auto" w:fill="auto"/>
            <w:vAlign w:val="center"/>
          </w:tcPr>
          <w:p w14:paraId="67C261A8" w14:textId="77777777" w:rsidR="000218D9" w:rsidRPr="00F54DDC" w:rsidRDefault="000218D9" w:rsidP="00074901">
            <w:pPr>
              <w:pStyle w:val="Prrafodelista"/>
              <w:widowControl w:val="0"/>
              <w:spacing w:before="0" w:after="0" w:line="305" w:lineRule="auto"/>
              <w:ind w:left="0"/>
              <w:contextualSpacing w:val="0"/>
              <w:jc w:val="center"/>
              <w:rPr>
                <w:b/>
                <w:sz w:val="18"/>
                <w:szCs w:val="23"/>
              </w:rPr>
            </w:pPr>
            <w:r w:rsidRPr="00F54DDC">
              <w:rPr>
                <w:b/>
                <w:sz w:val="20"/>
                <w:szCs w:val="24"/>
              </w:rPr>
              <w:t xml:space="preserve">Gasto </w:t>
            </w:r>
            <w:r>
              <w:rPr>
                <w:b/>
                <w:sz w:val="20"/>
                <w:szCs w:val="24"/>
              </w:rPr>
              <w:t>total</w:t>
            </w:r>
            <w:r w:rsidRPr="00F54DDC">
              <w:rPr>
                <w:b/>
                <w:sz w:val="20"/>
                <w:szCs w:val="24"/>
              </w:rPr>
              <w:t xml:space="preserve"> por capítulos</w:t>
            </w:r>
          </w:p>
        </w:tc>
        <w:tc>
          <w:tcPr>
            <w:tcW w:w="1050" w:type="dxa"/>
            <w:tcBorders>
              <w:top w:val="nil"/>
              <w:left w:val="nil"/>
              <w:bottom w:val="single" w:sz="4" w:space="0" w:color="A6A6A6" w:themeColor="background1" w:themeShade="A6"/>
              <w:right w:val="nil"/>
            </w:tcBorders>
          </w:tcPr>
          <w:p w14:paraId="27296571" w14:textId="77777777" w:rsidR="000218D9" w:rsidRPr="00F54DDC" w:rsidRDefault="000218D9" w:rsidP="00074901">
            <w:pPr>
              <w:pStyle w:val="Prrafodelista"/>
              <w:widowControl w:val="0"/>
              <w:spacing w:before="0" w:after="0" w:line="305" w:lineRule="auto"/>
              <w:ind w:left="0"/>
              <w:contextualSpacing w:val="0"/>
              <w:jc w:val="center"/>
              <w:rPr>
                <w:b/>
                <w:sz w:val="20"/>
                <w:szCs w:val="24"/>
              </w:rPr>
            </w:pPr>
          </w:p>
        </w:tc>
      </w:tr>
      <w:tr w:rsidR="000218D9" w:rsidRPr="00166BFB" w14:paraId="568D40BA" w14:textId="77777777" w:rsidTr="00910183">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05F0C8FC" w14:textId="77777777" w:rsidR="000218D9" w:rsidRPr="00B771AC" w:rsidRDefault="000218D9"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Cap.</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015B21E0" w14:textId="77777777" w:rsidR="000218D9" w:rsidRPr="00B771AC" w:rsidRDefault="000218D9"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Descripción</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202F35F0" w14:textId="77777777" w:rsidR="000218D9" w:rsidRPr="00B771AC" w:rsidRDefault="000218D9"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Gasto Ordinario</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4E350E6E" w14:textId="77777777" w:rsidR="000218D9" w:rsidRPr="00B771AC" w:rsidRDefault="000218D9"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Gasto Electoral</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647779EC" w14:textId="77777777" w:rsidR="000218D9" w:rsidRPr="00B771AC" w:rsidRDefault="000218D9" w:rsidP="00910183">
            <w:pPr>
              <w:pStyle w:val="Prrafodelista"/>
              <w:widowControl w:val="0"/>
              <w:spacing w:before="120" w:after="120" w:line="305" w:lineRule="auto"/>
              <w:ind w:left="0"/>
              <w:contextualSpacing w:val="0"/>
              <w:jc w:val="center"/>
              <w:rPr>
                <w:b/>
                <w:color w:val="FFFFFF" w:themeColor="background1"/>
                <w:spacing w:val="-14"/>
                <w:sz w:val="20"/>
                <w:szCs w:val="20"/>
              </w:rPr>
            </w:pPr>
            <w:r w:rsidRPr="00B771AC">
              <w:rPr>
                <w:b/>
                <w:color w:val="FFFFFF" w:themeColor="background1"/>
                <w:spacing w:val="-14"/>
                <w:sz w:val="20"/>
                <w:szCs w:val="20"/>
              </w:rPr>
              <w:t>Total</w:t>
            </w:r>
          </w:p>
        </w:tc>
      </w:tr>
      <w:tr w:rsidR="000218D9" w:rsidRPr="00F54DDC" w14:paraId="7500BC26" w14:textId="77777777" w:rsidTr="00910183">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F9124A" w14:textId="77777777" w:rsidR="000218D9" w:rsidRPr="00B771AC" w:rsidRDefault="000218D9" w:rsidP="00910183">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1000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F57E2" w14:textId="77777777" w:rsidR="000218D9" w:rsidRPr="000218D9" w:rsidRDefault="000218D9" w:rsidP="00910183">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Servicios personales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1B3903"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$112,078,224.89</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6725F8"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$174’394,314.44</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287AED"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r w:rsidRPr="00B771AC">
              <w:rPr>
                <w:b/>
                <w:bCs/>
                <w:spacing w:val="-14"/>
                <w:sz w:val="20"/>
                <w:szCs w:val="20"/>
              </w:rPr>
              <w:t>286</w:t>
            </w:r>
            <w:r>
              <w:rPr>
                <w:b/>
                <w:bCs/>
                <w:spacing w:val="-14"/>
                <w:sz w:val="20"/>
                <w:szCs w:val="20"/>
              </w:rPr>
              <w:t>’</w:t>
            </w:r>
            <w:r w:rsidRPr="00B771AC">
              <w:rPr>
                <w:b/>
                <w:bCs/>
                <w:spacing w:val="-14"/>
                <w:sz w:val="20"/>
                <w:szCs w:val="20"/>
              </w:rPr>
              <w:t>472,539.33</w:t>
            </w:r>
          </w:p>
        </w:tc>
      </w:tr>
      <w:tr w:rsidR="000218D9" w:rsidRPr="00F54DDC" w14:paraId="345E673B" w14:textId="77777777" w:rsidTr="00910183">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3EE6C8" w14:textId="77777777" w:rsidR="000218D9" w:rsidRPr="00B771AC" w:rsidRDefault="000218D9" w:rsidP="00910183">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2000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284C90" w14:textId="77777777" w:rsidR="000218D9" w:rsidRPr="000218D9" w:rsidRDefault="000218D9" w:rsidP="00910183">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Materiales y suministros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E1C37"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$10,170,188.00</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5D0CAD"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$17’853,661.07</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C0025"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r w:rsidRPr="00B771AC">
              <w:rPr>
                <w:b/>
                <w:bCs/>
                <w:spacing w:val="-14"/>
                <w:sz w:val="20"/>
                <w:szCs w:val="20"/>
              </w:rPr>
              <w:t>28</w:t>
            </w:r>
            <w:r>
              <w:rPr>
                <w:b/>
                <w:bCs/>
                <w:spacing w:val="-14"/>
                <w:sz w:val="20"/>
                <w:szCs w:val="20"/>
              </w:rPr>
              <w:t>’</w:t>
            </w:r>
            <w:r w:rsidRPr="00B771AC">
              <w:rPr>
                <w:b/>
                <w:bCs/>
                <w:spacing w:val="-14"/>
                <w:sz w:val="20"/>
                <w:szCs w:val="20"/>
              </w:rPr>
              <w:t>023,849.07</w:t>
            </w:r>
          </w:p>
        </w:tc>
      </w:tr>
      <w:tr w:rsidR="000218D9" w:rsidRPr="00F54DDC" w14:paraId="79D8F04A" w14:textId="77777777" w:rsidTr="00910183">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B0978" w14:textId="77777777" w:rsidR="000218D9" w:rsidRPr="00B771AC" w:rsidRDefault="000218D9" w:rsidP="00910183">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3000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96FB90" w14:textId="77777777" w:rsidR="000218D9" w:rsidRPr="000218D9" w:rsidRDefault="000218D9" w:rsidP="00910183">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Servicios generales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D9B47"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$26,622,423.71</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AD613"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$115’156,272.87</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73643B"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r w:rsidRPr="00B771AC">
              <w:rPr>
                <w:b/>
                <w:bCs/>
                <w:spacing w:val="-14"/>
                <w:sz w:val="20"/>
                <w:szCs w:val="20"/>
              </w:rPr>
              <w:t>141</w:t>
            </w:r>
            <w:r>
              <w:rPr>
                <w:b/>
                <w:bCs/>
                <w:spacing w:val="-14"/>
                <w:sz w:val="20"/>
                <w:szCs w:val="20"/>
              </w:rPr>
              <w:t>’</w:t>
            </w:r>
            <w:r w:rsidRPr="00B771AC">
              <w:rPr>
                <w:b/>
                <w:bCs/>
                <w:spacing w:val="-14"/>
                <w:sz w:val="20"/>
                <w:szCs w:val="20"/>
              </w:rPr>
              <w:t>778,696.58</w:t>
            </w:r>
          </w:p>
        </w:tc>
      </w:tr>
      <w:tr w:rsidR="000218D9" w:rsidRPr="00F54DDC" w14:paraId="5A3AEF92" w14:textId="77777777" w:rsidTr="00910183">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74451" w14:textId="77777777" w:rsidR="000218D9" w:rsidRPr="00B771AC" w:rsidRDefault="000218D9" w:rsidP="00910183">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4000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48D99" w14:textId="77777777" w:rsidR="000218D9" w:rsidRPr="000218D9" w:rsidRDefault="000218D9" w:rsidP="00910183">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Transferencias, asignaciones, subsidios y otras ayudas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C90CEF"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$62,508,780.12</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020B4F"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$31’557,830.72</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78B169"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94,066,610.84</w:t>
            </w:r>
          </w:p>
        </w:tc>
      </w:tr>
      <w:tr w:rsidR="000218D9" w:rsidRPr="00F54DDC" w14:paraId="568A0CCD" w14:textId="77777777" w:rsidTr="00910183">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5997E" w14:textId="77777777" w:rsidR="000218D9" w:rsidRPr="00B771AC" w:rsidRDefault="000218D9" w:rsidP="00910183">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5000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DE4E5D" w14:textId="77777777" w:rsidR="000218D9" w:rsidRPr="000218D9" w:rsidRDefault="000218D9" w:rsidP="00910183">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Equipamiento</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712C97"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C8586C"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$11’443,593.74</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51095"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$11’443,593.74</w:t>
            </w:r>
          </w:p>
        </w:tc>
      </w:tr>
      <w:tr w:rsidR="000218D9" w:rsidRPr="00F54DDC" w14:paraId="49F13707" w14:textId="77777777" w:rsidTr="00910183">
        <w:trPr>
          <w:jc w:val="center"/>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1A0B3D" w14:textId="77777777" w:rsidR="000218D9" w:rsidRPr="00B771AC" w:rsidRDefault="000218D9" w:rsidP="00910183">
            <w:pPr>
              <w:pStyle w:val="Prrafodelista"/>
              <w:widowControl w:val="0"/>
              <w:spacing w:before="60" w:after="60" w:line="305" w:lineRule="auto"/>
              <w:ind w:left="0"/>
              <w:contextualSpacing w:val="0"/>
              <w:jc w:val="center"/>
              <w:rPr>
                <w:b/>
                <w:spacing w:val="-14"/>
                <w:sz w:val="20"/>
                <w:szCs w:val="20"/>
              </w:rPr>
            </w:pPr>
            <w:r w:rsidRPr="00B771AC">
              <w:rPr>
                <w:b/>
                <w:spacing w:val="-14"/>
                <w:sz w:val="20"/>
                <w:szCs w:val="20"/>
              </w:rPr>
              <w:t>8000</w:t>
            </w:r>
          </w:p>
        </w:tc>
        <w:tc>
          <w:tcPr>
            <w:tcW w:w="4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2DD2D0" w14:textId="77777777" w:rsidR="000218D9" w:rsidRPr="000218D9" w:rsidRDefault="000218D9" w:rsidP="00910183">
            <w:pPr>
              <w:pStyle w:val="Prrafodelista"/>
              <w:widowControl w:val="0"/>
              <w:spacing w:before="60" w:after="60" w:line="305" w:lineRule="auto"/>
              <w:ind w:left="0"/>
              <w:contextualSpacing w:val="0"/>
              <w:rPr>
                <w:b/>
                <w:bCs/>
                <w:spacing w:val="-14"/>
                <w:sz w:val="20"/>
                <w:szCs w:val="20"/>
              </w:rPr>
            </w:pPr>
            <w:r w:rsidRPr="000218D9">
              <w:rPr>
                <w:b/>
                <w:bCs/>
                <w:spacing w:val="-14"/>
                <w:sz w:val="20"/>
                <w:szCs w:val="20"/>
              </w:rPr>
              <w:t>Participaciones y Aportaciones</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D637B"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Pr>
                <w:b/>
                <w:bCs/>
                <w:spacing w:val="-14"/>
                <w:sz w:val="20"/>
                <w:szCs w:val="20"/>
              </w:rPr>
              <w:t>-</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E516E"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$8’340,055.71</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6CA71" w14:textId="77777777" w:rsidR="000218D9" w:rsidRPr="00B771AC" w:rsidRDefault="000218D9" w:rsidP="00910183">
            <w:pPr>
              <w:pStyle w:val="Prrafodelista"/>
              <w:widowControl w:val="0"/>
              <w:spacing w:before="60" w:after="60" w:line="305" w:lineRule="auto"/>
              <w:ind w:left="0"/>
              <w:contextualSpacing w:val="0"/>
              <w:jc w:val="right"/>
              <w:rPr>
                <w:b/>
                <w:bCs/>
                <w:spacing w:val="-14"/>
                <w:sz w:val="20"/>
                <w:szCs w:val="20"/>
              </w:rPr>
            </w:pPr>
            <w:r w:rsidRPr="00B771AC">
              <w:rPr>
                <w:b/>
                <w:bCs/>
                <w:spacing w:val="-14"/>
                <w:sz w:val="20"/>
                <w:szCs w:val="20"/>
              </w:rPr>
              <w:t>$8’340,055.71</w:t>
            </w:r>
          </w:p>
        </w:tc>
      </w:tr>
      <w:tr w:rsidR="000218D9" w:rsidRPr="00F54DDC" w14:paraId="4F6F484B" w14:textId="77777777" w:rsidTr="00910183">
        <w:trPr>
          <w:jc w:val="center"/>
        </w:trPr>
        <w:tc>
          <w:tcPr>
            <w:tcW w:w="4469" w:type="dxa"/>
            <w:gridSpan w:val="3"/>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45D8E9A0" w14:textId="77777777" w:rsidR="000218D9" w:rsidRPr="00B771AC" w:rsidRDefault="000218D9" w:rsidP="00910183">
            <w:pPr>
              <w:pStyle w:val="Prrafodelista"/>
              <w:widowControl w:val="0"/>
              <w:spacing w:before="60" w:after="60" w:line="305" w:lineRule="auto"/>
              <w:ind w:left="0"/>
              <w:contextualSpacing w:val="0"/>
              <w:jc w:val="right"/>
              <w:rPr>
                <w:b/>
                <w:spacing w:val="-14"/>
                <w:sz w:val="20"/>
                <w:szCs w:val="20"/>
              </w:rPr>
            </w:pPr>
            <w:r w:rsidRPr="00B771AC">
              <w:rPr>
                <w:b/>
                <w:spacing w:val="-14"/>
                <w:sz w:val="20"/>
                <w:szCs w:val="20"/>
              </w:rPr>
              <w:t>Total, Gasto Corriente</w:t>
            </w:r>
          </w:p>
        </w:tc>
        <w:tc>
          <w:tcPr>
            <w:tcW w:w="1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D87700D" w14:textId="77777777" w:rsidR="000218D9" w:rsidRPr="00B771AC" w:rsidRDefault="000218D9" w:rsidP="00910183">
            <w:pPr>
              <w:pStyle w:val="Prrafodelista"/>
              <w:widowControl w:val="0"/>
              <w:spacing w:before="60" w:after="60" w:line="305" w:lineRule="auto"/>
              <w:ind w:left="0"/>
              <w:contextualSpacing w:val="0"/>
              <w:jc w:val="right"/>
              <w:rPr>
                <w:b/>
                <w:spacing w:val="-14"/>
                <w:sz w:val="20"/>
                <w:szCs w:val="20"/>
              </w:rPr>
            </w:pPr>
            <w:r w:rsidRPr="00B771AC">
              <w:rPr>
                <w:b/>
                <w:spacing w:val="-14"/>
                <w:sz w:val="20"/>
                <w:szCs w:val="20"/>
              </w:rPr>
              <w:t>$211’379,616.72</w:t>
            </w:r>
          </w:p>
        </w:tc>
        <w:tc>
          <w:tcPr>
            <w:tcW w:w="17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FE25CCB" w14:textId="77777777" w:rsidR="000218D9" w:rsidRPr="00B771AC" w:rsidRDefault="000218D9" w:rsidP="00910183">
            <w:pPr>
              <w:pStyle w:val="Prrafodelista"/>
              <w:widowControl w:val="0"/>
              <w:spacing w:before="60" w:after="60" w:line="305" w:lineRule="auto"/>
              <w:ind w:left="0"/>
              <w:contextualSpacing w:val="0"/>
              <w:jc w:val="right"/>
              <w:rPr>
                <w:b/>
                <w:spacing w:val="-14"/>
                <w:sz w:val="20"/>
                <w:szCs w:val="20"/>
              </w:rPr>
            </w:pPr>
            <w:r w:rsidRPr="00B771AC">
              <w:rPr>
                <w:b/>
                <w:spacing w:val="-14"/>
                <w:sz w:val="20"/>
                <w:szCs w:val="20"/>
              </w:rPr>
              <w:t>$358</w:t>
            </w:r>
            <w:r>
              <w:rPr>
                <w:b/>
                <w:spacing w:val="-14"/>
                <w:sz w:val="20"/>
                <w:szCs w:val="20"/>
              </w:rPr>
              <w:t>’</w:t>
            </w:r>
            <w:r w:rsidRPr="00B771AC">
              <w:rPr>
                <w:b/>
                <w:spacing w:val="-14"/>
                <w:sz w:val="20"/>
                <w:szCs w:val="20"/>
              </w:rPr>
              <w:t>745,728.55</w:t>
            </w:r>
          </w:p>
        </w:tc>
        <w:tc>
          <w:tcPr>
            <w:tcW w:w="1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A0EA8D1" w14:textId="77777777" w:rsidR="000218D9" w:rsidRPr="00B771AC" w:rsidRDefault="000218D9" w:rsidP="00910183">
            <w:pPr>
              <w:pStyle w:val="Prrafodelista"/>
              <w:widowControl w:val="0"/>
              <w:spacing w:before="60" w:after="60" w:line="305" w:lineRule="auto"/>
              <w:ind w:left="0"/>
              <w:contextualSpacing w:val="0"/>
              <w:jc w:val="right"/>
              <w:rPr>
                <w:b/>
                <w:spacing w:val="-14"/>
                <w:sz w:val="20"/>
                <w:szCs w:val="20"/>
              </w:rPr>
            </w:pPr>
            <w:r w:rsidRPr="00B771AC">
              <w:rPr>
                <w:b/>
                <w:spacing w:val="-14"/>
                <w:sz w:val="20"/>
                <w:szCs w:val="20"/>
              </w:rPr>
              <w:t>$570</w:t>
            </w:r>
            <w:r>
              <w:rPr>
                <w:b/>
                <w:spacing w:val="-14"/>
                <w:sz w:val="20"/>
                <w:szCs w:val="20"/>
              </w:rPr>
              <w:t>’</w:t>
            </w:r>
            <w:r w:rsidRPr="00B771AC">
              <w:rPr>
                <w:b/>
                <w:spacing w:val="-14"/>
                <w:sz w:val="20"/>
                <w:szCs w:val="20"/>
              </w:rPr>
              <w:t>125,345.27</w:t>
            </w:r>
          </w:p>
        </w:tc>
      </w:tr>
    </w:tbl>
    <w:p w14:paraId="20A391B3" w14:textId="47F53BCE" w:rsidR="00232AF2" w:rsidRPr="007320CC" w:rsidRDefault="005526F5" w:rsidP="00164F4D">
      <w:pPr>
        <w:pStyle w:val="Puntos"/>
        <w:spacing w:line="300" w:lineRule="auto"/>
        <w:ind w:left="0"/>
        <w:rPr>
          <w:sz w:val="23"/>
          <w:szCs w:val="23"/>
        </w:rPr>
      </w:pPr>
      <w:r w:rsidRPr="007320CC">
        <w:rPr>
          <w:b/>
          <w:sz w:val="23"/>
          <w:szCs w:val="23"/>
        </w:rPr>
        <w:lastRenderedPageBreak/>
        <w:t>Segundo</w:t>
      </w:r>
      <w:r w:rsidR="00740B50" w:rsidRPr="007320CC">
        <w:rPr>
          <w:b/>
          <w:sz w:val="23"/>
          <w:szCs w:val="23"/>
        </w:rPr>
        <w:t xml:space="preserve">. </w:t>
      </w:r>
      <w:r w:rsidR="00232AF2" w:rsidRPr="007320CC">
        <w:rPr>
          <w:sz w:val="23"/>
          <w:szCs w:val="23"/>
        </w:rPr>
        <w:t>De acuerdo con los artículos 9, apartado C, fracción II de la Constitución Local y 115, numeral 1, fracción XXXII de la Ley Electoral y de Partidos Políticos del Estado de Tabasco, remítase una copia certificada del presente acuerdo al titular del Poder Ejecutivo, para su inclusión en el Proyecto General de Egresos del Estado. Asimismo, al Poder Legislativo del Estado de Tabasco, para los mismos efectos.</w:t>
      </w:r>
    </w:p>
    <w:p w14:paraId="0240BF94" w14:textId="219E72D3" w:rsidR="00232AF2" w:rsidRPr="00DC1E6B" w:rsidRDefault="00232AF2" w:rsidP="00164F4D">
      <w:pPr>
        <w:pStyle w:val="Puntos"/>
        <w:spacing w:line="300" w:lineRule="auto"/>
        <w:ind w:left="0"/>
        <w:rPr>
          <w:color w:val="FF0000"/>
          <w:sz w:val="23"/>
          <w:szCs w:val="23"/>
        </w:rPr>
      </w:pPr>
      <w:r w:rsidRPr="007320CC">
        <w:rPr>
          <w:b/>
          <w:sz w:val="23"/>
          <w:szCs w:val="23"/>
        </w:rPr>
        <w:t xml:space="preserve">Tercero. </w:t>
      </w:r>
      <w:r w:rsidRPr="00265AF1">
        <w:rPr>
          <w:sz w:val="23"/>
          <w:szCs w:val="23"/>
        </w:rPr>
        <w:t xml:space="preserve">Una vez aprobado el presupuesto de egresos de este Instituto, por parte de la Legislatura local, </w:t>
      </w:r>
      <w:r w:rsidR="000218D9" w:rsidRPr="00265AF1">
        <w:rPr>
          <w:sz w:val="23"/>
          <w:szCs w:val="23"/>
        </w:rPr>
        <w:t xml:space="preserve">el órgano electoral </w:t>
      </w:r>
      <w:r w:rsidRPr="00265AF1">
        <w:rPr>
          <w:sz w:val="23"/>
          <w:szCs w:val="23"/>
        </w:rPr>
        <w:t xml:space="preserve">podrá </w:t>
      </w:r>
      <w:r w:rsidR="00EA4DCD" w:rsidRPr="00265AF1">
        <w:rPr>
          <w:sz w:val="23"/>
          <w:szCs w:val="23"/>
        </w:rPr>
        <w:t>realizar</w:t>
      </w:r>
      <w:r w:rsidRPr="00265AF1">
        <w:rPr>
          <w:sz w:val="23"/>
          <w:szCs w:val="23"/>
        </w:rPr>
        <w:t xml:space="preserve"> los ajustes y las adecuaciones presupuestarias (transferencias, reducciones, cancelaciones)</w:t>
      </w:r>
      <w:r w:rsidR="00303799" w:rsidRPr="00265AF1">
        <w:rPr>
          <w:sz w:val="23"/>
          <w:szCs w:val="23"/>
        </w:rPr>
        <w:t xml:space="preserve"> </w:t>
      </w:r>
      <w:r w:rsidRPr="00265AF1">
        <w:rPr>
          <w:sz w:val="23"/>
          <w:szCs w:val="23"/>
        </w:rPr>
        <w:t>siempre y cuando exista justificación para ello.</w:t>
      </w:r>
    </w:p>
    <w:p w14:paraId="3C51A77F" w14:textId="52A76CEA" w:rsidR="00740B50" w:rsidRPr="007320CC" w:rsidRDefault="00232AF2" w:rsidP="00164F4D">
      <w:pPr>
        <w:pStyle w:val="Puntos"/>
        <w:spacing w:line="300" w:lineRule="auto"/>
        <w:ind w:left="0"/>
        <w:rPr>
          <w:sz w:val="23"/>
          <w:szCs w:val="23"/>
        </w:rPr>
      </w:pPr>
      <w:r w:rsidRPr="007320CC">
        <w:rPr>
          <w:b/>
          <w:sz w:val="23"/>
          <w:szCs w:val="23"/>
        </w:rPr>
        <w:t xml:space="preserve">Cuarto. </w:t>
      </w:r>
      <w:r w:rsidR="00740B50" w:rsidRPr="007320CC">
        <w:rPr>
          <w:sz w:val="23"/>
          <w:szCs w:val="23"/>
        </w:rPr>
        <w:t xml:space="preserve">Se instruye a la Secretaría Ejecutiva de este Instituto para que, </w:t>
      </w:r>
      <w:r w:rsidR="000C2864">
        <w:rPr>
          <w:sz w:val="23"/>
          <w:szCs w:val="23"/>
        </w:rPr>
        <w:t xml:space="preserve">por conducto </w:t>
      </w:r>
      <w:r w:rsidR="00740B50" w:rsidRPr="007320CC">
        <w:rPr>
          <w:sz w:val="23"/>
          <w:szCs w:val="23"/>
        </w:rPr>
        <w:t>de la Coordinación de Vinculación con el Instituto Nacional Electoral, notifique el presente acuerdo al citado organismo nacional, a través de su Unidad Técnica de Vinculación con los Organismos Públicos Locales, para los efectos correspondientes.</w:t>
      </w:r>
    </w:p>
    <w:p w14:paraId="15006572" w14:textId="6278A9EF" w:rsidR="00232AF2" w:rsidRPr="007320CC" w:rsidRDefault="00232AF2" w:rsidP="00164F4D">
      <w:pPr>
        <w:pStyle w:val="Puntos"/>
        <w:spacing w:line="300" w:lineRule="auto"/>
        <w:ind w:left="0"/>
        <w:rPr>
          <w:sz w:val="23"/>
          <w:szCs w:val="23"/>
        </w:rPr>
      </w:pPr>
      <w:r w:rsidRPr="007320CC">
        <w:rPr>
          <w:b/>
          <w:bCs/>
          <w:sz w:val="23"/>
          <w:szCs w:val="23"/>
        </w:rPr>
        <w:t>Quinto</w:t>
      </w:r>
      <w:r w:rsidR="00740B50" w:rsidRPr="007320CC">
        <w:rPr>
          <w:b/>
          <w:bCs/>
          <w:sz w:val="23"/>
          <w:szCs w:val="23"/>
        </w:rPr>
        <w:t>.</w:t>
      </w:r>
      <w:r w:rsidR="00740B50" w:rsidRPr="007320CC">
        <w:rPr>
          <w:sz w:val="23"/>
          <w:szCs w:val="23"/>
        </w:rPr>
        <w:t xml:space="preserve"> </w:t>
      </w:r>
      <w:r w:rsidRPr="007320CC">
        <w:rPr>
          <w:sz w:val="23"/>
          <w:szCs w:val="23"/>
        </w:rPr>
        <w:t>Publíquese en el Periódico Oficial del Estado, y en la página de internet del Instituto, de conformidad con lo dispuesto en el artículo 114 de la Ley Electoral y de Partidos Políticos del Estado de Tabasco.</w:t>
      </w:r>
    </w:p>
    <w:p w14:paraId="0722141C" w14:textId="127FF5CF" w:rsidR="00074901" w:rsidRPr="007320CC" w:rsidRDefault="00074901" w:rsidP="00074901">
      <w:pPr>
        <w:pStyle w:val="Puntos"/>
        <w:spacing w:line="288" w:lineRule="auto"/>
        <w:ind w:left="0"/>
        <w:rPr>
          <w:sz w:val="23"/>
          <w:szCs w:val="23"/>
        </w:rPr>
      </w:pPr>
      <w:r w:rsidRPr="007320CC">
        <w:rPr>
          <w:sz w:val="23"/>
          <w:szCs w:val="23"/>
        </w:rPr>
        <w:t>El presente acuerdo fue</w:t>
      </w:r>
      <w:r>
        <w:rPr>
          <w:sz w:val="23"/>
          <w:szCs w:val="23"/>
        </w:rPr>
        <w:t xml:space="preserve"> aprobado</w:t>
      </w:r>
      <w:r w:rsidRPr="007320CC">
        <w:rPr>
          <w:sz w:val="23"/>
          <w:szCs w:val="23"/>
        </w:rPr>
        <w:t xml:space="preserve"> en sesión </w:t>
      </w:r>
      <w:r>
        <w:rPr>
          <w:sz w:val="23"/>
          <w:szCs w:val="23"/>
        </w:rPr>
        <w:t>extraordinaria</w:t>
      </w:r>
      <w:r w:rsidRPr="007320CC">
        <w:rPr>
          <w:sz w:val="23"/>
          <w:szCs w:val="23"/>
        </w:rPr>
        <w:t xml:space="preserve"> efectuada el </w:t>
      </w:r>
      <w:r>
        <w:rPr>
          <w:sz w:val="23"/>
          <w:szCs w:val="23"/>
        </w:rPr>
        <w:t>veintisiete</w:t>
      </w:r>
      <w:r w:rsidRPr="007320CC">
        <w:rPr>
          <w:sz w:val="23"/>
          <w:szCs w:val="23"/>
        </w:rPr>
        <w:t xml:space="preserve"> de </w:t>
      </w:r>
      <w:r>
        <w:rPr>
          <w:sz w:val="23"/>
          <w:szCs w:val="23"/>
        </w:rPr>
        <w:t>octubre</w:t>
      </w:r>
      <w:r w:rsidRPr="007320CC">
        <w:rPr>
          <w:sz w:val="23"/>
          <w:szCs w:val="23"/>
        </w:rPr>
        <w:t xml:space="preserve"> del año dos mil veintitrés, por votación </w:t>
      </w:r>
      <w:r>
        <w:rPr>
          <w:sz w:val="23"/>
          <w:szCs w:val="23"/>
        </w:rPr>
        <w:t xml:space="preserve">unánime </w:t>
      </w:r>
      <w:r w:rsidRPr="007320CC">
        <w:rPr>
          <w:sz w:val="23"/>
          <w:szCs w:val="23"/>
        </w:rPr>
        <w:t xml:space="preserve">de las y los Consejeros Electorales del Consejo Estatal del Instituto Electoral y de Participación Ciudadana de Tabasco: Licda. María Elvia Magaña Sandoval, </w:t>
      </w:r>
      <w:r>
        <w:rPr>
          <w:sz w:val="23"/>
          <w:szCs w:val="23"/>
        </w:rPr>
        <w:t xml:space="preserve">Lic. Vladimir Hernández Venegas, </w:t>
      </w:r>
      <w:r w:rsidRPr="007320CC">
        <w:rPr>
          <w:sz w:val="23"/>
          <w:szCs w:val="23"/>
        </w:rPr>
        <w:t>la Consejera Presidenta, Mtra. Elizabeth Nava Gutiérrez</w:t>
      </w:r>
      <w:r>
        <w:rPr>
          <w:sz w:val="23"/>
          <w:szCs w:val="23"/>
        </w:rPr>
        <w:t xml:space="preserve"> y con el voto concurrente de los Consejeros </w:t>
      </w:r>
      <w:r w:rsidRPr="007320CC">
        <w:rPr>
          <w:sz w:val="23"/>
          <w:szCs w:val="23"/>
        </w:rPr>
        <w:t>M.D. Víctor Humberto Mejía Naranjo, Mtro. Juan Correa López</w:t>
      </w:r>
      <w:r>
        <w:rPr>
          <w:sz w:val="23"/>
          <w:szCs w:val="23"/>
        </w:rPr>
        <w:t xml:space="preserve">, </w:t>
      </w:r>
      <w:r w:rsidRPr="007320CC">
        <w:rPr>
          <w:sz w:val="23"/>
          <w:szCs w:val="23"/>
        </w:rPr>
        <w:t>Lic. Hernán González Sala</w:t>
      </w:r>
      <w:r>
        <w:rPr>
          <w:sz w:val="23"/>
          <w:szCs w:val="23"/>
        </w:rPr>
        <w:t xml:space="preserve"> y </w:t>
      </w:r>
      <w:r w:rsidR="005B6233">
        <w:rPr>
          <w:sz w:val="23"/>
          <w:szCs w:val="23"/>
        </w:rPr>
        <w:t xml:space="preserve">Dra. </w:t>
      </w:r>
      <w:bookmarkStart w:id="2" w:name="_GoBack"/>
      <w:bookmarkEnd w:id="2"/>
      <w:proofErr w:type="spellStart"/>
      <w:r w:rsidRPr="007320CC">
        <w:rPr>
          <w:sz w:val="23"/>
          <w:szCs w:val="23"/>
        </w:rPr>
        <w:t>Rosselvy</w:t>
      </w:r>
      <w:proofErr w:type="spellEnd"/>
      <w:r w:rsidRPr="007320CC">
        <w:rPr>
          <w:sz w:val="23"/>
          <w:szCs w:val="23"/>
        </w:rPr>
        <w:t xml:space="preserve"> del Carmen Domínguez Arévalo.</w:t>
      </w:r>
    </w:p>
    <w:p w14:paraId="5946733D" w14:textId="77777777" w:rsidR="00C92A82" w:rsidRPr="00467726" w:rsidRDefault="00C92A82" w:rsidP="00740B50">
      <w:pPr>
        <w:pStyle w:val="Puntos"/>
        <w:spacing w:line="288" w:lineRule="auto"/>
        <w:ind w:left="0"/>
        <w:rPr>
          <w:sz w:val="23"/>
          <w:szCs w:val="23"/>
        </w:rPr>
      </w:pPr>
    </w:p>
    <w:p w14:paraId="13003BE9" w14:textId="77777777" w:rsidR="00740B50" w:rsidRPr="00467726" w:rsidRDefault="00740B50" w:rsidP="00740B5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467726" w14:paraId="2300726E" w14:textId="77777777" w:rsidTr="007E2B43">
        <w:tc>
          <w:tcPr>
            <w:tcW w:w="4395" w:type="dxa"/>
          </w:tcPr>
          <w:p w14:paraId="52563203" w14:textId="77777777" w:rsidR="00740B50" w:rsidRPr="00467726" w:rsidRDefault="00740B50" w:rsidP="00740B50">
            <w:pPr>
              <w:widowControl w:val="0"/>
              <w:spacing w:before="0" w:after="0" w:line="288" w:lineRule="auto"/>
              <w:jc w:val="center"/>
              <w:rPr>
                <w:b/>
                <w:spacing w:val="-10"/>
                <w:sz w:val="23"/>
                <w:szCs w:val="23"/>
              </w:rPr>
            </w:pPr>
            <w:r w:rsidRPr="00467726">
              <w:rPr>
                <w:b/>
                <w:spacing w:val="-10"/>
                <w:sz w:val="23"/>
                <w:szCs w:val="23"/>
              </w:rPr>
              <w:t>MTRA. ELIZABETH NAVA GUTIÉRREZ</w:t>
            </w:r>
          </w:p>
          <w:p w14:paraId="4FC98756" w14:textId="77777777" w:rsidR="00740B50" w:rsidRPr="00467726" w:rsidRDefault="00740B50" w:rsidP="00740B50">
            <w:pPr>
              <w:widowControl w:val="0"/>
              <w:spacing w:before="0" w:after="0" w:line="288" w:lineRule="auto"/>
              <w:jc w:val="center"/>
              <w:rPr>
                <w:b/>
                <w:sz w:val="23"/>
                <w:szCs w:val="23"/>
              </w:rPr>
            </w:pPr>
            <w:r w:rsidRPr="00467726">
              <w:rPr>
                <w:b/>
                <w:spacing w:val="-10"/>
                <w:sz w:val="23"/>
                <w:szCs w:val="23"/>
              </w:rPr>
              <w:t>CONSEJERA PRESIDENTA</w:t>
            </w:r>
          </w:p>
        </w:tc>
        <w:tc>
          <w:tcPr>
            <w:tcW w:w="278" w:type="dxa"/>
          </w:tcPr>
          <w:p w14:paraId="0159DDD1" w14:textId="77777777" w:rsidR="00740B50" w:rsidRPr="00467726" w:rsidRDefault="00740B50" w:rsidP="00740B50">
            <w:pPr>
              <w:widowControl w:val="0"/>
              <w:spacing w:before="0" w:after="0" w:line="288" w:lineRule="auto"/>
              <w:rPr>
                <w:b/>
                <w:sz w:val="23"/>
                <w:szCs w:val="23"/>
              </w:rPr>
            </w:pPr>
          </w:p>
        </w:tc>
        <w:tc>
          <w:tcPr>
            <w:tcW w:w="4400" w:type="dxa"/>
          </w:tcPr>
          <w:p w14:paraId="6F9F39CB" w14:textId="77777777" w:rsidR="00740B50" w:rsidRPr="00467726" w:rsidRDefault="00740B50" w:rsidP="00740B50">
            <w:pPr>
              <w:widowControl w:val="0"/>
              <w:spacing w:before="0" w:after="0" w:line="288" w:lineRule="auto"/>
              <w:jc w:val="center"/>
              <w:rPr>
                <w:b/>
                <w:spacing w:val="-10"/>
                <w:sz w:val="23"/>
                <w:szCs w:val="23"/>
              </w:rPr>
            </w:pPr>
            <w:r w:rsidRPr="00467726">
              <w:rPr>
                <w:b/>
                <w:spacing w:val="-10"/>
                <w:sz w:val="23"/>
                <w:szCs w:val="23"/>
              </w:rPr>
              <w:t>LIC. JORGE ALBERTO ZAVALA FRÍAS</w:t>
            </w:r>
          </w:p>
          <w:p w14:paraId="4A791AA8" w14:textId="77777777" w:rsidR="00740B50" w:rsidRPr="00467726" w:rsidRDefault="00740B50" w:rsidP="00740B50">
            <w:pPr>
              <w:widowControl w:val="0"/>
              <w:spacing w:before="0" w:after="0" w:line="288" w:lineRule="auto"/>
              <w:jc w:val="center"/>
              <w:rPr>
                <w:b/>
                <w:sz w:val="23"/>
                <w:szCs w:val="23"/>
              </w:rPr>
            </w:pPr>
            <w:r w:rsidRPr="00467726">
              <w:rPr>
                <w:b/>
                <w:spacing w:val="-10"/>
                <w:sz w:val="23"/>
                <w:szCs w:val="23"/>
              </w:rPr>
              <w:t>SECRETARIO DEL CONSEJO</w:t>
            </w:r>
          </w:p>
        </w:tc>
      </w:tr>
    </w:tbl>
    <w:p w14:paraId="15D39B25" w14:textId="77777777" w:rsidR="0004782D" w:rsidRPr="00467726" w:rsidRDefault="0004782D" w:rsidP="0004782D"/>
    <w:sectPr w:rsidR="0004782D" w:rsidRPr="00467726" w:rsidSect="00074901">
      <w:headerReference w:type="default" r:id="rId8"/>
      <w:footerReference w:type="default" r:id="rId9"/>
      <w:pgSz w:w="12240" w:h="15840" w:code="1"/>
      <w:pgMar w:top="2835" w:right="1701" w:bottom="1134"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3F8BB" w14:textId="77777777" w:rsidR="00A27C21" w:rsidRDefault="00A27C21" w:rsidP="00681E3C">
      <w:pPr>
        <w:spacing w:before="0" w:after="0" w:line="240" w:lineRule="auto"/>
      </w:pPr>
      <w:r>
        <w:separator/>
      </w:r>
    </w:p>
  </w:endnote>
  <w:endnote w:type="continuationSeparator" w:id="0">
    <w:p w14:paraId="01431780" w14:textId="77777777" w:rsidR="00A27C21" w:rsidRDefault="00A27C21"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202769409"/>
      <w:docPartObj>
        <w:docPartGallery w:val="Page Numbers (Bottom of Page)"/>
        <w:docPartUnique/>
      </w:docPartObj>
    </w:sdtPr>
    <w:sdtEndPr/>
    <w:sdtContent>
      <w:sdt>
        <w:sdtPr>
          <w:rPr>
            <w:color w:val="993366"/>
            <w:sz w:val="20"/>
            <w:szCs w:val="20"/>
          </w:rPr>
          <w:id w:val="-1769616900"/>
          <w:docPartObj>
            <w:docPartGallery w:val="Page Numbers (Top of Page)"/>
            <w:docPartUnique/>
          </w:docPartObj>
        </w:sdtPr>
        <w:sdtEndPr/>
        <w:sdtContent>
          <w:p w14:paraId="6BC7EC49" w14:textId="1CB44D70"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5B6233">
              <w:rPr>
                <w:b/>
                <w:bCs/>
                <w:noProof/>
                <w:color w:val="993366"/>
              </w:rPr>
              <w:t>8</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5B6233">
              <w:rPr>
                <w:b/>
                <w:bCs/>
                <w:noProof/>
                <w:color w:val="993366"/>
              </w:rPr>
              <w:t>10</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36EF6" w14:textId="77777777" w:rsidR="00A27C21" w:rsidRDefault="00A27C21" w:rsidP="00681E3C">
      <w:pPr>
        <w:spacing w:before="0" w:after="0" w:line="240" w:lineRule="auto"/>
      </w:pPr>
      <w:r>
        <w:separator/>
      </w:r>
    </w:p>
  </w:footnote>
  <w:footnote w:type="continuationSeparator" w:id="0">
    <w:p w14:paraId="1EF9FB57" w14:textId="77777777" w:rsidR="00A27C21" w:rsidRDefault="00A27C21" w:rsidP="00681E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1B190722" w:rsidR="007D607B" w:rsidRPr="00074901" w:rsidRDefault="00074901" w:rsidP="00074901">
    <w:pPr>
      <w:pStyle w:val="Encabezado"/>
      <w:jc w:val="right"/>
      <w:rPr>
        <w:b/>
        <w:sz w:val="24"/>
        <w:szCs w:val="24"/>
      </w:rPr>
    </w:pPr>
    <w:r w:rsidRPr="00074901">
      <w:rPr>
        <w:b/>
        <w:sz w:val="24"/>
        <w:szCs w:val="24"/>
      </w:rPr>
      <w:t>CE/2023/037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38E2A26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21B56AF"/>
    <w:multiLevelType w:val="multilevel"/>
    <w:tmpl w:val="4ECAF0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218D9"/>
    <w:rsid w:val="0004782D"/>
    <w:rsid w:val="0005177B"/>
    <w:rsid w:val="00074901"/>
    <w:rsid w:val="00077B25"/>
    <w:rsid w:val="000815FB"/>
    <w:rsid w:val="000922F0"/>
    <w:rsid w:val="000A0507"/>
    <w:rsid w:val="000A18F6"/>
    <w:rsid w:val="000C2864"/>
    <w:rsid w:val="000E3BC0"/>
    <w:rsid w:val="000F74C4"/>
    <w:rsid w:val="00116065"/>
    <w:rsid w:val="00164F4D"/>
    <w:rsid w:val="00172E64"/>
    <w:rsid w:val="00182427"/>
    <w:rsid w:val="001A59A8"/>
    <w:rsid w:val="001B2468"/>
    <w:rsid w:val="001B38A4"/>
    <w:rsid w:val="001D7A74"/>
    <w:rsid w:val="001F2AC7"/>
    <w:rsid w:val="00211D0D"/>
    <w:rsid w:val="00212E1F"/>
    <w:rsid w:val="00232AF2"/>
    <w:rsid w:val="00265AF1"/>
    <w:rsid w:val="002919A2"/>
    <w:rsid w:val="00293CAB"/>
    <w:rsid w:val="00293FB8"/>
    <w:rsid w:val="002A535D"/>
    <w:rsid w:val="002B03C8"/>
    <w:rsid w:val="002E7982"/>
    <w:rsid w:val="002F302C"/>
    <w:rsid w:val="00303799"/>
    <w:rsid w:val="00306BF5"/>
    <w:rsid w:val="0031142D"/>
    <w:rsid w:val="00325119"/>
    <w:rsid w:val="003265AE"/>
    <w:rsid w:val="00352396"/>
    <w:rsid w:val="003569A1"/>
    <w:rsid w:val="00385C98"/>
    <w:rsid w:val="00385C9A"/>
    <w:rsid w:val="003B3E4B"/>
    <w:rsid w:val="003B43C0"/>
    <w:rsid w:val="003B4764"/>
    <w:rsid w:val="003C30DA"/>
    <w:rsid w:val="003E350C"/>
    <w:rsid w:val="003E73B9"/>
    <w:rsid w:val="003F0318"/>
    <w:rsid w:val="00406788"/>
    <w:rsid w:val="00424169"/>
    <w:rsid w:val="004277AD"/>
    <w:rsid w:val="0046065C"/>
    <w:rsid w:val="00467726"/>
    <w:rsid w:val="00473506"/>
    <w:rsid w:val="00480FEA"/>
    <w:rsid w:val="00496081"/>
    <w:rsid w:val="004A0B95"/>
    <w:rsid w:val="004D0C00"/>
    <w:rsid w:val="004F333C"/>
    <w:rsid w:val="004F3882"/>
    <w:rsid w:val="00506E2B"/>
    <w:rsid w:val="005204DB"/>
    <w:rsid w:val="00526625"/>
    <w:rsid w:val="005526F5"/>
    <w:rsid w:val="00555E47"/>
    <w:rsid w:val="00570B79"/>
    <w:rsid w:val="005B0866"/>
    <w:rsid w:val="005B5704"/>
    <w:rsid w:val="005B6233"/>
    <w:rsid w:val="005C401A"/>
    <w:rsid w:val="005F3536"/>
    <w:rsid w:val="0060319A"/>
    <w:rsid w:val="00605CA8"/>
    <w:rsid w:val="00624745"/>
    <w:rsid w:val="00630311"/>
    <w:rsid w:val="00675723"/>
    <w:rsid w:val="00681E3C"/>
    <w:rsid w:val="006B141E"/>
    <w:rsid w:val="006E7BD2"/>
    <w:rsid w:val="007113D2"/>
    <w:rsid w:val="007127D1"/>
    <w:rsid w:val="0072072F"/>
    <w:rsid w:val="00727D65"/>
    <w:rsid w:val="007320CC"/>
    <w:rsid w:val="0073465C"/>
    <w:rsid w:val="00740B50"/>
    <w:rsid w:val="00751B62"/>
    <w:rsid w:val="00761920"/>
    <w:rsid w:val="00770170"/>
    <w:rsid w:val="00773E93"/>
    <w:rsid w:val="00776E3E"/>
    <w:rsid w:val="00780A4F"/>
    <w:rsid w:val="007930C7"/>
    <w:rsid w:val="007B125F"/>
    <w:rsid w:val="007B1ADF"/>
    <w:rsid w:val="007C26B9"/>
    <w:rsid w:val="007D607B"/>
    <w:rsid w:val="007E7B89"/>
    <w:rsid w:val="00820D41"/>
    <w:rsid w:val="00830B60"/>
    <w:rsid w:val="0084107C"/>
    <w:rsid w:val="00876C23"/>
    <w:rsid w:val="008836C7"/>
    <w:rsid w:val="00893645"/>
    <w:rsid w:val="008B7A59"/>
    <w:rsid w:val="008F0665"/>
    <w:rsid w:val="009400E9"/>
    <w:rsid w:val="00953C5B"/>
    <w:rsid w:val="009622E1"/>
    <w:rsid w:val="00977672"/>
    <w:rsid w:val="009802F6"/>
    <w:rsid w:val="009840D5"/>
    <w:rsid w:val="00991ACC"/>
    <w:rsid w:val="009D17B3"/>
    <w:rsid w:val="00A12CF5"/>
    <w:rsid w:val="00A25D5A"/>
    <w:rsid w:val="00A27C21"/>
    <w:rsid w:val="00A50899"/>
    <w:rsid w:val="00A545FA"/>
    <w:rsid w:val="00A5775D"/>
    <w:rsid w:val="00A83921"/>
    <w:rsid w:val="00AB2F50"/>
    <w:rsid w:val="00AB7C96"/>
    <w:rsid w:val="00AD229F"/>
    <w:rsid w:val="00AD61D2"/>
    <w:rsid w:val="00AD698A"/>
    <w:rsid w:val="00AE2D54"/>
    <w:rsid w:val="00AE3C8E"/>
    <w:rsid w:val="00B005BB"/>
    <w:rsid w:val="00B039AF"/>
    <w:rsid w:val="00B042DC"/>
    <w:rsid w:val="00B04A89"/>
    <w:rsid w:val="00B066E3"/>
    <w:rsid w:val="00B106A6"/>
    <w:rsid w:val="00B51FD9"/>
    <w:rsid w:val="00B57F0C"/>
    <w:rsid w:val="00B61801"/>
    <w:rsid w:val="00B771AC"/>
    <w:rsid w:val="00B80364"/>
    <w:rsid w:val="00B84658"/>
    <w:rsid w:val="00B87631"/>
    <w:rsid w:val="00BA06A1"/>
    <w:rsid w:val="00BA48EE"/>
    <w:rsid w:val="00BB7BBA"/>
    <w:rsid w:val="00BE212A"/>
    <w:rsid w:val="00BE455E"/>
    <w:rsid w:val="00BF1CFB"/>
    <w:rsid w:val="00C01498"/>
    <w:rsid w:val="00C209F5"/>
    <w:rsid w:val="00C242F4"/>
    <w:rsid w:val="00C46BF3"/>
    <w:rsid w:val="00C4775F"/>
    <w:rsid w:val="00C67DE0"/>
    <w:rsid w:val="00C92A82"/>
    <w:rsid w:val="00CA668B"/>
    <w:rsid w:val="00CC4C33"/>
    <w:rsid w:val="00CD2A64"/>
    <w:rsid w:val="00CD3D8F"/>
    <w:rsid w:val="00CD50E3"/>
    <w:rsid w:val="00CE5C39"/>
    <w:rsid w:val="00D21D22"/>
    <w:rsid w:val="00D471E1"/>
    <w:rsid w:val="00D55DB1"/>
    <w:rsid w:val="00D7628E"/>
    <w:rsid w:val="00D819B9"/>
    <w:rsid w:val="00DC1726"/>
    <w:rsid w:val="00DC1E6B"/>
    <w:rsid w:val="00DD0501"/>
    <w:rsid w:val="00DE11C3"/>
    <w:rsid w:val="00E024B4"/>
    <w:rsid w:val="00E024DE"/>
    <w:rsid w:val="00E1321E"/>
    <w:rsid w:val="00E1616B"/>
    <w:rsid w:val="00E27B12"/>
    <w:rsid w:val="00E31C73"/>
    <w:rsid w:val="00E36A66"/>
    <w:rsid w:val="00E6118E"/>
    <w:rsid w:val="00EA4DCD"/>
    <w:rsid w:val="00EC3A62"/>
    <w:rsid w:val="00EC6444"/>
    <w:rsid w:val="00EE54B4"/>
    <w:rsid w:val="00EF106D"/>
    <w:rsid w:val="00EF40C8"/>
    <w:rsid w:val="00EF58C3"/>
    <w:rsid w:val="00F17254"/>
    <w:rsid w:val="00F7019F"/>
    <w:rsid w:val="00F95F41"/>
    <w:rsid w:val="00F96DFE"/>
    <w:rsid w:val="00FA0FCA"/>
    <w:rsid w:val="00FB39DC"/>
    <w:rsid w:val="00FC17F1"/>
    <w:rsid w:val="00FD41CB"/>
    <w:rsid w:val="00FE0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BA06A1"/>
    <w:pPr>
      <w:numPr>
        <w:numId w:val="1"/>
      </w:numPr>
      <w:spacing w:before="480" w:after="360" w:line="295" w:lineRule="auto"/>
      <w:jc w:val="center"/>
      <w:outlineLvl w:val="0"/>
    </w:pPr>
    <w:rPr>
      <w:b/>
      <w:bCs/>
      <w:kern w:val="0"/>
      <w:sz w:val="28"/>
      <w:szCs w:val="23"/>
      <w14:ligatures w14:val="none"/>
    </w:rPr>
  </w:style>
  <w:style w:type="paragraph" w:styleId="Ttulo2">
    <w:name w:val="heading 2"/>
    <w:basedOn w:val="Normal"/>
    <w:next w:val="Normal"/>
    <w:link w:val="Ttulo2Car"/>
    <w:uiPriority w:val="9"/>
    <w:unhideWhenUsed/>
    <w:qFormat/>
    <w:rsid w:val="0046065C"/>
    <w:pPr>
      <w:keepNext/>
      <w:keepLines/>
      <w:numPr>
        <w:ilvl w:val="1"/>
        <w:numId w:val="1"/>
      </w:numPr>
      <w:spacing w:before="360" w:after="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A83921"/>
    <w:pPr>
      <w:keepNext/>
      <w:keepLines/>
      <w:numPr>
        <w:ilvl w:val="2"/>
        <w:numId w:val="1"/>
      </w:numPr>
      <w:spacing w:before="40" w:after="0" w:line="283" w:lineRule="auto"/>
      <w:outlineLvl w:val="2"/>
    </w:pPr>
    <w:rPr>
      <w:rFonts w:eastAsiaTheme="majorEastAsia"/>
      <w:b/>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06A1"/>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46065C"/>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A83921"/>
    <w:rPr>
      <w:rFonts w:ascii="Arial" w:eastAsiaTheme="majorEastAsia" w:hAnsi="Arial" w:cs="Arial"/>
      <w:b/>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A5775D"/>
    <w:pPr>
      <w:ind w:left="720"/>
      <w:contextualSpacing/>
    </w:pPr>
    <w:rPr>
      <w:kern w:val="0"/>
      <w:sz w:val="24"/>
      <w14:ligatures w14:val="none"/>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A5775D"/>
    <w:rPr>
      <w:rFonts w:ascii="Arial" w:hAnsi="Arial" w:cs="Arial"/>
      <w:kern w:val="0"/>
      <w:sz w:val="24"/>
      <w14:ligatures w14:val="none"/>
    </w:rPr>
  </w:style>
  <w:style w:type="paragraph" w:styleId="Textonotaalfinal">
    <w:name w:val="endnote text"/>
    <w:basedOn w:val="Normal"/>
    <w:link w:val="TextonotaalfinalCar"/>
    <w:uiPriority w:val="99"/>
    <w:semiHidden/>
    <w:unhideWhenUsed/>
    <w:rsid w:val="009D17B3"/>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7B3"/>
    <w:rPr>
      <w:rFonts w:ascii="Arial" w:hAnsi="Arial" w:cs="Arial"/>
      <w:sz w:val="20"/>
      <w:szCs w:val="20"/>
    </w:rPr>
  </w:style>
  <w:style w:type="character" w:styleId="Refdenotaalfinal">
    <w:name w:val="endnote reference"/>
    <w:basedOn w:val="Fuentedeprrafopredeter"/>
    <w:uiPriority w:val="99"/>
    <w:semiHidden/>
    <w:unhideWhenUsed/>
    <w:rsid w:val="009D1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22FA-A4F7-4D16-92DD-43171C17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2827</Words>
  <Characters>15551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4</cp:revision>
  <cp:lastPrinted>2023-10-27T22:38:00Z</cp:lastPrinted>
  <dcterms:created xsi:type="dcterms:W3CDTF">2023-10-27T22:22:00Z</dcterms:created>
  <dcterms:modified xsi:type="dcterms:W3CDTF">2023-10-27T22:41:00Z</dcterms:modified>
</cp:coreProperties>
</file>