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7F730" w14:textId="77777777" w:rsidR="003E2F6A" w:rsidRDefault="003E2F6A" w:rsidP="001347D7">
      <w:pPr>
        <w:keepNext/>
        <w:keepLines/>
        <w:tabs>
          <w:tab w:val="left" w:pos="4820"/>
        </w:tabs>
        <w:spacing w:before="240" w:line="276" w:lineRule="auto"/>
        <w:jc w:val="both"/>
        <w:rPr>
          <w:rFonts w:ascii="Arial" w:eastAsia="DengXian" w:hAnsi="Arial" w:cs="Arial"/>
          <w:b/>
          <w:bCs/>
          <w:sz w:val="24"/>
          <w:szCs w:val="24"/>
        </w:rPr>
      </w:pPr>
      <w:r w:rsidRPr="00B071F7">
        <w:rPr>
          <w:rFonts w:ascii="Arial" w:eastAsia="DengXian" w:hAnsi="Arial" w:cs="Arial"/>
          <w:b/>
          <w:bCs/>
          <w:sz w:val="24"/>
          <w:szCs w:val="24"/>
        </w:rPr>
        <w:t>INFORME QUE RINDE EL SECRETARIO EJECUTIVO, RESPECTO DE LA RECEPCIÓN Y TRÁMITE DE LOS MEDIOS DE IMPUGNACIÓN CORRESPONDIENTES AL MES DE ENERO DE 2026 EN CONTRA DE LOS ACTOS, OMISIONES O RESOLUCIONES DE LOS ÓRGANOS CENTRALES DEL INSTITUTO ELECTORAL Y DE PARTICIPACIÓN CIUDADANA DE TABASCO, ASÍ COMO DE LAS RESOLUCIONES DICTADAS POR LOS ÓRGANOS JURISDICCIONALES</w:t>
      </w:r>
    </w:p>
    <w:p w14:paraId="0BFE4023" w14:textId="77777777" w:rsidR="002E204D" w:rsidRDefault="002E204D" w:rsidP="001347D7">
      <w:pPr>
        <w:keepNext/>
        <w:keepLines/>
        <w:tabs>
          <w:tab w:val="left" w:pos="4820"/>
        </w:tabs>
        <w:spacing w:before="240" w:line="276" w:lineRule="auto"/>
        <w:jc w:val="both"/>
        <w:rPr>
          <w:rFonts w:ascii="Arial" w:eastAsia="DengXian" w:hAnsi="Arial" w:cs="Arial"/>
          <w:b/>
          <w:bCs/>
          <w:sz w:val="24"/>
          <w:szCs w:val="24"/>
        </w:rPr>
      </w:pPr>
    </w:p>
    <w:p w14:paraId="6FA7B861" w14:textId="68F2A887" w:rsidR="003E2F6A" w:rsidRPr="00B071F7" w:rsidRDefault="003E2F6A" w:rsidP="001347D7">
      <w:pPr>
        <w:keepNext/>
        <w:keepLines/>
        <w:tabs>
          <w:tab w:val="left" w:pos="4820"/>
        </w:tabs>
        <w:spacing w:before="240" w:line="276" w:lineRule="auto"/>
        <w:jc w:val="both"/>
        <w:rPr>
          <w:rFonts w:ascii="Arial" w:eastAsia="DengXian" w:hAnsi="Arial" w:cs="Arial"/>
        </w:rPr>
      </w:pPr>
      <w:r w:rsidRPr="00B071F7">
        <w:rPr>
          <w:rFonts w:ascii="Arial" w:eastAsia="DengXian" w:hAnsi="Arial" w:cs="Arial"/>
        </w:rPr>
        <w:t>En cumplimiento a lo establecido en el artículo 117, numeral 2, fracción IX y X de la Ley Electoral y de Partidos Políticos del Estado de Tabasco, rindo el informe correspondiente al mes de enero de los medios de impugnación presentados en contra de los actos, omisiones o resoluciones de los órganos centrales de este Instituto Estatal y las resoluciones que corresponden dictadas por los órganos jurisdiccionales, de conformidad con lo siguiente:</w:t>
      </w:r>
    </w:p>
    <w:p w14:paraId="4DCAF465" w14:textId="3D43DDFB" w:rsidR="003E2F6A" w:rsidRPr="00B071F7" w:rsidRDefault="003E2F6A" w:rsidP="001347D7">
      <w:pPr>
        <w:pStyle w:val="Prrafodelista"/>
        <w:keepNext/>
        <w:keepLines/>
        <w:numPr>
          <w:ilvl w:val="0"/>
          <w:numId w:val="5"/>
        </w:numPr>
        <w:tabs>
          <w:tab w:val="left" w:pos="4820"/>
        </w:tabs>
        <w:spacing w:before="240" w:after="160" w:line="276" w:lineRule="auto"/>
        <w:jc w:val="both"/>
        <w:rPr>
          <w:rFonts w:ascii="Arial" w:eastAsia="DengXian" w:hAnsi="Arial" w:cs="Arial"/>
          <w:b/>
          <w:bCs/>
          <w:color w:val="auto"/>
          <w:sz w:val="22"/>
          <w:szCs w:val="22"/>
        </w:rPr>
      </w:pPr>
      <w:r w:rsidRPr="00B071F7">
        <w:rPr>
          <w:rFonts w:ascii="Arial" w:eastAsia="DengXian" w:hAnsi="Arial" w:cs="Arial"/>
          <w:b/>
          <w:bCs/>
          <w:color w:val="auto"/>
          <w:sz w:val="22"/>
          <w:szCs w:val="22"/>
        </w:rPr>
        <w:t>Medios de Impugnación en Trámite</w:t>
      </w:r>
    </w:p>
    <w:p w14:paraId="449C3DB3" w14:textId="36289438" w:rsidR="003E2F6A" w:rsidRPr="00B071F7" w:rsidRDefault="003E2F6A" w:rsidP="001347D7">
      <w:pPr>
        <w:pStyle w:val="Prrafodelista"/>
        <w:keepNext/>
        <w:keepLines/>
        <w:numPr>
          <w:ilvl w:val="1"/>
          <w:numId w:val="5"/>
        </w:numPr>
        <w:tabs>
          <w:tab w:val="left" w:pos="4820"/>
        </w:tabs>
        <w:spacing w:before="240" w:after="160" w:line="276" w:lineRule="auto"/>
        <w:ind w:left="720"/>
        <w:jc w:val="both"/>
        <w:rPr>
          <w:rFonts w:ascii="Arial" w:eastAsia="DengXian" w:hAnsi="Arial" w:cs="Arial"/>
          <w:color w:val="auto"/>
          <w:sz w:val="22"/>
          <w:szCs w:val="22"/>
        </w:rPr>
      </w:pPr>
      <w:r w:rsidRPr="00B071F7">
        <w:rPr>
          <w:rFonts w:ascii="Arial" w:eastAsia="DengXian" w:hAnsi="Arial" w:cs="Arial"/>
          <w:b/>
          <w:color w:val="auto"/>
          <w:sz w:val="22"/>
          <w:szCs w:val="22"/>
        </w:rPr>
        <w:t>Ante el Tribunal Electoral de Tabasco</w:t>
      </w:r>
    </w:p>
    <w:p w14:paraId="38F7D891" w14:textId="39D61878" w:rsidR="003E2F6A" w:rsidRPr="00B071F7" w:rsidRDefault="003E2F6A" w:rsidP="001347D7">
      <w:pPr>
        <w:pStyle w:val="Prrafodelista"/>
        <w:keepNext/>
        <w:keepLines/>
        <w:numPr>
          <w:ilvl w:val="2"/>
          <w:numId w:val="5"/>
        </w:numPr>
        <w:tabs>
          <w:tab w:val="left" w:pos="4820"/>
        </w:tabs>
        <w:spacing w:before="240" w:after="160" w:line="276" w:lineRule="auto"/>
        <w:ind w:left="1077" w:hanging="1077"/>
        <w:jc w:val="both"/>
        <w:rPr>
          <w:rFonts w:ascii="Arial" w:eastAsia="DengXian" w:hAnsi="Arial" w:cs="Arial"/>
          <w:color w:val="auto"/>
          <w:sz w:val="22"/>
          <w:szCs w:val="22"/>
        </w:rPr>
      </w:pPr>
      <w:r w:rsidRPr="00B071F7">
        <w:rPr>
          <w:rFonts w:ascii="Arial" w:eastAsia="DengXian" w:hAnsi="Arial" w:cs="Arial"/>
          <w:color w:val="auto"/>
          <w:sz w:val="22"/>
          <w:szCs w:val="22"/>
        </w:rPr>
        <w:t>Recurso de Apelación TET-AP-008/2025-I interpuesto por el Partido Morena, a través de su Representante Propietario ante el Consejo Estatal de este Instituto en contra del Acuerdo CE/2025/091, mediante el cual se da respuesta a la consulta formulada por la asociación “Unión Democrática por Tabasco, A. C.”.</w:t>
      </w:r>
    </w:p>
    <w:p w14:paraId="173BF2AB" w14:textId="48471DCF" w:rsidR="003E2F6A" w:rsidRPr="00B071F7" w:rsidRDefault="003E2F6A" w:rsidP="001347D7">
      <w:pPr>
        <w:pStyle w:val="Prrafodelista"/>
        <w:keepNext/>
        <w:keepLines/>
        <w:numPr>
          <w:ilvl w:val="2"/>
          <w:numId w:val="5"/>
        </w:numPr>
        <w:tabs>
          <w:tab w:val="left" w:pos="4820"/>
        </w:tabs>
        <w:spacing w:before="240" w:after="160" w:line="276" w:lineRule="auto"/>
        <w:ind w:left="1077" w:hanging="1077"/>
        <w:jc w:val="both"/>
        <w:rPr>
          <w:rFonts w:ascii="Arial" w:eastAsia="DengXian" w:hAnsi="Arial" w:cs="Arial"/>
          <w:color w:val="auto"/>
          <w:sz w:val="22"/>
          <w:szCs w:val="22"/>
        </w:rPr>
      </w:pPr>
      <w:r w:rsidRPr="00B071F7">
        <w:rPr>
          <w:rFonts w:ascii="Arial" w:eastAsia="DengXian" w:hAnsi="Arial" w:cs="Arial"/>
          <w:color w:val="auto"/>
          <w:sz w:val="22"/>
          <w:szCs w:val="22"/>
        </w:rPr>
        <w:t xml:space="preserve">Recurso de Apelación TET-AP-001/2026-I interpuesto por el Partido de la Revolución Democrática Tabasco, en contra de la Resolución </w:t>
      </w:r>
      <w:r w:rsidR="001347D7" w:rsidRPr="00B071F7">
        <w:rPr>
          <w:rFonts w:ascii="Arial" w:eastAsia="DengXian" w:hAnsi="Arial" w:cs="Arial"/>
          <w:color w:val="auto"/>
          <w:sz w:val="22"/>
          <w:szCs w:val="22"/>
        </w:rPr>
        <w:t xml:space="preserve">emitida por el </w:t>
      </w:r>
      <w:r w:rsidRPr="00B071F7">
        <w:rPr>
          <w:rFonts w:ascii="Arial" w:eastAsia="DengXian" w:hAnsi="Arial" w:cs="Arial"/>
          <w:color w:val="auto"/>
          <w:sz w:val="22"/>
          <w:szCs w:val="22"/>
        </w:rPr>
        <w:t>Consejo Estatal por la que se declaró la inexistencia de actos de promoción personalizada y uso indebido de recursos públicos atribuibles a Javier May Rodríguez, Gobernador Constitucional del Estado de Tabasco con motivo del Procedimiento Especial Sancionador PES/007/2025.</w:t>
      </w:r>
    </w:p>
    <w:p w14:paraId="161BAFB7" w14:textId="5F4CAF02" w:rsidR="003E2F6A" w:rsidRDefault="003E2F6A" w:rsidP="001347D7">
      <w:pPr>
        <w:pStyle w:val="Prrafodelista"/>
        <w:keepNext/>
        <w:keepLines/>
        <w:numPr>
          <w:ilvl w:val="2"/>
          <w:numId w:val="5"/>
        </w:numPr>
        <w:tabs>
          <w:tab w:val="left" w:pos="4820"/>
        </w:tabs>
        <w:spacing w:before="240" w:after="160" w:line="276" w:lineRule="auto"/>
        <w:ind w:left="1077" w:hanging="1077"/>
        <w:jc w:val="both"/>
        <w:rPr>
          <w:rFonts w:ascii="Arial" w:eastAsia="DengXian" w:hAnsi="Arial" w:cs="Arial"/>
          <w:color w:val="auto"/>
          <w:sz w:val="22"/>
          <w:szCs w:val="22"/>
        </w:rPr>
      </w:pPr>
      <w:r w:rsidRPr="00B071F7">
        <w:rPr>
          <w:rFonts w:ascii="Arial" w:eastAsia="DengXian" w:hAnsi="Arial" w:cs="Arial"/>
          <w:color w:val="auto"/>
          <w:sz w:val="22"/>
          <w:szCs w:val="22"/>
        </w:rPr>
        <w:t>Recurso de Apelación MI-002/2026 interpuesto por el Partido Morena</w:t>
      </w:r>
      <w:r w:rsidR="001347D7" w:rsidRPr="00B071F7">
        <w:rPr>
          <w:rFonts w:ascii="Arial" w:eastAsia="DengXian" w:hAnsi="Arial" w:cs="Arial"/>
          <w:color w:val="auto"/>
          <w:sz w:val="22"/>
          <w:szCs w:val="22"/>
        </w:rPr>
        <w:t xml:space="preserve"> </w:t>
      </w:r>
      <w:r w:rsidRPr="00B071F7">
        <w:rPr>
          <w:rFonts w:ascii="Arial" w:eastAsia="DengXian" w:hAnsi="Arial" w:cs="Arial"/>
          <w:color w:val="auto"/>
          <w:sz w:val="22"/>
          <w:szCs w:val="22"/>
        </w:rPr>
        <w:t xml:space="preserve">en contra del </w:t>
      </w:r>
      <w:r w:rsidR="001347D7" w:rsidRPr="00B071F7">
        <w:rPr>
          <w:rFonts w:ascii="Arial" w:eastAsia="DengXian" w:hAnsi="Arial" w:cs="Arial"/>
          <w:color w:val="auto"/>
          <w:sz w:val="22"/>
          <w:szCs w:val="22"/>
        </w:rPr>
        <w:t>a</w:t>
      </w:r>
      <w:r w:rsidRPr="00B071F7">
        <w:rPr>
          <w:rFonts w:ascii="Arial" w:eastAsia="DengXian" w:hAnsi="Arial" w:cs="Arial"/>
          <w:color w:val="auto"/>
          <w:sz w:val="22"/>
          <w:szCs w:val="22"/>
        </w:rPr>
        <w:t>cuerdo, mediante el cual se declaró improcedente la solicitud de medidas cautelares en el Procedimiento Especial Sancionador PES/001/2026.</w:t>
      </w:r>
    </w:p>
    <w:p w14:paraId="4C9FAFBA" w14:textId="77777777" w:rsidR="002E204D" w:rsidRDefault="002E204D" w:rsidP="002E204D">
      <w:pPr>
        <w:keepNext/>
        <w:keepLines/>
        <w:tabs>
          <w:tab w:val="left" w:pos="4820"/>
        </w:tabs>
        <w:spacing w:before="240" w:line="276" w:lineRule="auto"/>
        <w:jc w:val="both"/>
        <w:rPr>
          <w:rFonts w:ascii="Arial" w:eastAsia="DengXian" w:hAnsi="Arial" w:cs="Arial"/>
        </w:rPr>
      </w:pPr>
    </w:p>
    <w:p w14:paraId="04D2404B" w14:textId="77777777" w:rsidR="002E204D" w:rsidRPr="002E204D" w:rsidRDefault="002E204D" w:rsidP="002E204D">
      <w:pPr>
        <w:keepNext/>
        <w:keepLines/>
        <w:tabs>
          <w:tab w:val="left" w:pos="4820"/>
        </w:tabs>
        <w:spacing w:before="240" w:line="276" w:lineRule="auto"/>
        <w:jc w:val="both"/>
        <w:rPr>
          <w:rFonts w:ascii="Arial" w:eastAsia="DengXian" w:hAnsi="Arial" w:cs="Arial"/>
        </w:rPr>
      </w:pPr>
    </w:p>
    <w:p w14:paraId="36CF203D" w14:textId="77777777" w:rsidR="003E2F6A" w:rsidRPr="00B071F7" w:rsidRDefault="003E2F6A" w:rsidP="001347D7">
      <w:pPr>
        <w:pStyle w:val="Prrafodelista"/>
        <w:keepNext/>
        <w:keepLines/>
        <w:numPr>
          <w:ilvl w:val="0"/>
          <w:numId w:val="5"/>
        </w:numPr>
        <w:tabs>
          <w:tab w:val="left" w:pos="4820"/>
        </w:tabs>
        <w:spacing w:before="240" w:after="160" w:line="276" w:lineRule="auto"/>
        <w:jc w:val="both"/>
        <w:rPr>
          <w:rFonts w:ascii="Arial" w:eastAsia="DengXian" w:hAnsi="Arial" w:cs="Arial"/>
          <w:color w:val="auto"/>
          <w:sz w:val="22"/>
          <w:szCs w:val="22"/>
        </w:rPr>
      </w:pPr>
      <w:r w:rsidRPr="00B071F7">
        <w:rPr>
          <w:rFonts w:ascii="Arial" w:eastAsia="DengXian" w:hAnsi="Arial" w:cs="Arial"/>
          <w:b/>
          <w:bCs/>
          <w:color w:val="auto"/>
          <w:sz w:val="22"/>
          <w:szCs w:val="22"/>
        </w:rPr>
        <w:lastRenderedPageBreak/>
        <w:t>Medios de impugnación resueltos</w:t>
      </w:r>
    </w:p>
    <w:p w14:paraId="43148439" w14:textId="77777777" w:rsidR="003E2F6A" w:rsidRPr="00B071F7" w:rsidRDefault="003E2F6A" w:rsidP="001347D7">
      <w:pPr>
        <w:pStyle w:val="Prrafodelista"/>
        <w:keepNext/>
        <w:keepLines/>
        <w:numPr>
          <w:ilvl w:val="1"/>
          <w:numId w:val="5"/>
        </w:numPr>
        <w:tabs>
          <w:tab w:val="left" w:pos="4820"/>
        </w:tabs>
        <w:spacing w:before="240" w:after="160" w:line="276" w:lineRule="auto"/>
        <w:ind w:left="567" w:hanging="587"/>
        <w:jc w:val="both"/>
        <w:rPr>
          <w:rFonts w:ascii="Arial" w:eastAsia="DengXian" w:hAnsi="Arial" w:cs="Arial"/>
          <w:color w:val="auto"/>
          <w:sz w:val="22"/>
          <w:szCs w:val="22"/>
        </w:rPr>
      </w:pPr>
      <w:r w:rsidRPr="00B071F7">
        <w:rPr>
          <w:rFonts w:ascii="Arial" w:eastAsia="DengXian" w:hAnsi="Arial" w:cs="Arial"/>
          <w:b/>
          <w:bCs/>
          <w:color w:val="auto"/>
          <w:sz w:val="22"/>
          <w:szCs w:val="22"/>
        </w:rPr>
        <w:t>Resueltos por el Tribunal Electoral de Tabasco</w:t>
      </w:r>
    </w:p>
    <w:p w14:paraId="0521642A" w14:textId="1C95C3B0" w:rsidR="003E2F6A" w:rsidRPr="00B071F7" w:rsidRDefault="003E2F6A" w:rsidP="001347D7">
      <w:pPr>
        <w:pStyle w:val="Prrafodelista"/>
        <w:keepNext/>
        <w:keepLines/>
        <w:numPr>
          <w:ilvl w:val="2"/>
          <w:numId w:val="5"/>
        </w:numPr>
        <w:tabs>
          <w:tab w:val="left" w:pos="4820"/>
        </w:tabs>
        <w:spacing w:before="240" w:after="160" w:line="276" w:lineRule="auto"/>
        <w:ind w:left="993" w:hanging="993"/>
        <w:jc w:val="both"/>
        <w:rPr>
          <w:rFonts w:ascii="Arial" w:eastAsia="DengXian" w:hAnsi="Arial" w:cs="Arial"/>
          <w:color w:val="auto"/>
          <w:sz w:val="22"/>
          <w:szCs w:val="22"/>
        </w:rPr>
      </w:pPr>
      <w:r w:rsidRPr="00B071F7">
        <w:rPr>
          <w:rFonts w:ascii="Arial" w:eastAsia="DengXian" w:hAnsi="Arial" w:cs="Arial"/>
          <w:color w:val="auto"/>
          <w:sz w:val="22"/>
          <w:szCs w:val="22"/>
        </w:rPr>
        <w:t xml:space="preserve">En sesión pública de fecha cinco de enero de dos mil veintiséis, el Pleno del Tribunal Electoral de Tabasco en el Recurso de Apelación TET-AP-007/2025-III interpuesto por el Partido Morena en contra del Acuerdo de improcedencia de fecha once de noviembre de dos mil veinticinco dictado en el Procedimiento Especial Sancionador PES/006/2025, </w:t>
      </w:r>
      <w:r w:rsidR="001347D7" w:rsidRPr="00B071F7">
        <w:rPr>
          <w:rFonts w:ascii="Arial" w:eastAsia="DengXian" w:hAnsi="Arial" w:cs="Arial"/>
          <w:color w:val="auto"/>
          <w:sz w:val="22"/>
          <w:szCs w:val="22"/>
        </w:rPr>
        <w:t xml:space="preserve">revocó </w:t>
      </w:r>
      <w:r w:rsidRPr="00B071F7">
        <w:rPr>
          <w:rFonts w:ascii="Arial" w:eastAsia="DengXian" w:hAnsi="Arial" w:cs="Arial"/>
          <w:color w:val="auto"/>
          <w:sz w:val="22"/>
          <w:szCs w:val="22"/>
        </w:rPr>
        <w:t>el acuerdo</w:t>
      </w:r>
      <w:r w:rsidR="001347D7" w:rsidRPr="00B071F7">
        <w:rPr>
          <w:rFonts w:ascii="Arial" w:eastAsia="DengXian" w:hAnsi="Arial" w:cs="Arial"/>
          <w:color w:val="auto"/>
          <w:sz w:val="22"/>
          <w:szCs w:val="22"/>
        </w:rPr>
        <w:t xml:space="preserve"> controvertido</w:t>
      </w:r>
      <w:r w:rsidRPr="00B071F7">
        <w:rPr>
          <w:rFonts w:ascii="Arial" w:eastAsia="DengXian" w:hAnsi="Arial" w:cs="Arial"/>
          <w:color w:val="auto"/>
          <w:sz w:val="22"/>
          <w:szCs w:val="22"/>
        </w:rPr>
        <w:t xml:space="preserve"> y ordenó a la Secretaría Ejecutiva </w:t>
      </w:r>
      <w:r w:rsidR="001347D7" w:rsidRPr="00B071F7">
        <w:rPr>
          <w:rFonts w:ascii="Arial" w:eastAsia="DengXian" w:hAnsi="Arial" w:cs="Arial"/>
          <w:color w:val="auto"/>
          <w:sz w:val="22"/>
          <w:szCs w:val="22"/>
        </w:rPr>
        <w:t xml:space="preserve">de este Instituto Electoral, </w:t>
      </w:r>
      <w:r w:rsidRPr="00B071F7">
        <w:rPr>
          <w:rFonts w:ascii="Arial" w:eastAsia="DengXian" w:hAnsi="Arial" w:cs="Arial"/>
          <w:color w:val="auto"/>
          <w:sz w:val="22"/>
          <w:szCs w:val="22"/>
        </w:rPr>
        <w:t>admitir la denuncia.</w:t>
      </w:r>
    </w:p>
    <w:p w14:paraId="0C788BDA" w14:textId="47CD9A63" w:rsidR="003E2F6A" w:rsidRPr="00B071F7" w:rsidRDefault="003E2F6A" w:rsidP="001347D7">
      <w:pPr>
        <w:pStyle w:val="Prrafodelista"/>
        <w:keepNext/>
        <w:keepLines/>
        <w:numPr>
          <w:ilvl w:val="2"/>
          <w:numId w:val="5"/>
        </w:numPr>
        <w:tabs>
          <w:tab w:val="left" w:pos="4820"/>
        </w:tabs>
        <w:spacing w:before="240" w:after="160" w:line="276" w:lineRule="auto"/>
        <w:ind w:left="993" w:hanging="993"/>
        <w:jc w:val="both"/>
        <w:rPr>
          <w:rFonts w:ascii="Arial" w:eastAsia="Times New Roman" w:hAnsi="Arial" w:cs="Arial"/>
          <w:sz w:val="22"/>
          <w:szCs w:val="22"/>
          <w:lang w:eastAsia="es-MX"/>
        </w:rPr>
      </w:pPr>
      <w:r w:rsidRPr="00B071F7">
        <w:rPr>
          <w:rFonts w:ascii="Arial" w:eastAsia="DengXian" w:hAnsi="Arial" w:cs="Arial"/>
          <w:color w:val="auto"/>
          <w:sz w:val="22"/>
          <w:szCs w:val="22"/>
        </w:rPr>
        <w:t xml:space="preserve">En sesión pública de fecha diecinueve de enero de dos mil veintiséis, el Pleno del Tribunal Electoral de Tabasco en el Recurso de Apelación TET-AP-009/2025-III, interpuesto por el Partido Morena en contra del acuerdo CE/2025/090, </w:t>
      </w:r>
      <w:r w:rsidR="001347D7" w:rsidRPr="00B071F7">
        <w:rPr>
          <w:rFonts w:ascii="Arial" w:eastAsia="DengXian" w:hAnsi="Arial" w:cs="Arial"/>
          <w:color w:val="auto"/>
          <w:sz w:val="22"/>
          <w:szCs w:val="22"/>
        </w:rPr>
        <w:t xml:space="preserve">por el que se ejecutaron </w:t>
      </w:r>
      <w:r w:rsidRPr="00B071F7">
        <w:rPr>
          <w:rFonts w:ascii="Arial" w:eastAsia="DengXian" w:hAnsi="Arial" w:cs="Arial"/>
          <w:color w:val="auto"/>
          <w:sz w:val="22"/>
          <w:szCs w:val="22"/>
        </w:rPr>
        <w:t xml:space="preserve">las sanciones determinadas a los Partidos Políticos PRI, PVEM, PT, MC y Morena por el Instituto Nacional Electoral en las Resoluciones INE/CG2006/2024 modificada mediante INE/CG46/2025; INE/CG155/2024 modificada a través de las resoluciones INE/CG307/2024 e INE/CG2490/2024; y la Resolución INE/CG2092/2024. </w:t>
      </w:r>
      <w:r w:rsidR="001347D7" w:rsidRPr="00B071F7">
        <w:rPr>
          <w:rFonts w:ascii="Arial" w:eastAsia="DengXian" w:hAnsi="Arial" w:cs="Arial"/>
          <w:color w:val="auto"/>
          <w:sz w:val="22"/>
          <w:szCs w:val="22"/>
        </w:rPr>
        <w:t xml:space="preserve">Declaró de </w:t>
      </w:r>
      <w:r w:rsidRPr="00B071F7">
        <w:rPr>
          <w:rFonts w:ascii="Arial" w:eastAsia="DengXian" w:hAnsi="Arial" w:cs="Arial"/>
          <w:color w:val="auto"/>
          <w:sz w:val="22"/>
          <w:szCs w:val="22"/>
        </w:rPr>
        <w:t>infundados e inoperantes los agravios expuestos por el actor, confirmando así, en lo que fue materia de impugnación, el acuerdo controvertido.</w:t>
      </w:r>
    </w:p>
    <w:p w14:paraId="6A8EC800" w14:textId="77777777" w:rsidR="003E2F6A" w:rsidRDefault="003E2F6A" w:rsidP="001347D7">
      <w:pPr>
        <w:keepNext/>
        <w:keepLines/>
        <w:tabs>
          <w:tab w:val="left" w:pos="4820"/>
        </w:tabs>
        <w:spacing w:before="240" w:line="276" w:lineRule="auto"/>
        <w:jc w:val="both"/>
        <w:rPr>
          <w:rFonts w:ascii="Arial" w:eastAsia="Times New Roman" w:hAnsi="Arial" w:cs="Arial"/>
          <w:lang w:eastAsia="es-MX"/>
        </w:rPr>
      </w:pPr>
    </w:p>
    <w:p w14:paraId="567184F4" w14:textId="77777777" w:rsidR="00B071F7" w:rsidRPr="00B071F7" w:rsidRDefault="00B071F7" w:rsidP="001347D7">
      <w:pPr>
        <w:keepNext/>
        <w:keepLines/>
        <w:tabs>
          <w:tab w:val="left" w:pos="4820"/>
        </w:tabs>
        <w:spacing w:before="240" w:line="276" w:lineRule="auto"/>
        <w:jc w:val="both"/>
        <w:rPr>
          <w:rFonts w:ascii="Arial" w:eastAsia="Times New Roman" w:hAnsi="Arial" w:cs="Arial"/>
          <w:lang w:eastAsia="es-MX"/>
        </w:rPr>
      </w:pPr>
    </w:p>
    <w:p w14:paraId="0799E5C4" w14:textId="77777777" w:rsidR="003E2F6A" w:rsidRPr="00B071F7" w:rsidRDefault="003E2F6A" w:rsidP="001347D7">
      <w:pPr>
        <w:spacing w:before="240" w:line="276" w:lineRule="auto"/>
        <w:jc w:val="center"/>
        <w:rPr>
          <w:rFonts w:ascii="Arial" w:hAnsi="Arial" w:cs="Arial"/>
          <w:b/>
        </w:rPr>
      </w:pPr>
      <w:r w:rsidRPr="00B071F7">
        <w:rPr>
          <w:rFonts w:ascii="Arial" w:hAnsi="Arial" w:cs="Arial"/>
          <w:b/>
        </w:rPr>
        <w:t>ATENTAMENTE</w:t>
      </w:r>
    </w:p>
    <w:p w14:paraId="36105331" w14:textId="77777777" w:rsidR="003E2F6A" w:rsidRPr="00B071F7" w:rsidRDefault="003E2F6A" w:rsidP="001347D7">
      <w:pPr>
        <w:spacing w:before="240" w:line="276" w:lineRule="auto"/>
        <w:jc w:val="center"/>
        <w:rPr>
          <w:rFonts w:ascii="Arial" w:hAnsi="Arial" w:cs="Arial"/>
          <w:b/>
        </w:rPr>
      </w:pPr>
    </w:p>
    <w:p w14:paraId="2B54411D" w14:textId="77777777" w:rsidR="003E2F6A" w:rsidRPr="00B071F7" w:rsidRDefault="003E2F6A" w:rsidP="001347D7">
      <w:pPr>
        <w:spacing w:before="240" w:line="276" w:lineRule="auto"/>
        <w:jc w:val="center"/>
        <w:rPr>
          <w:rFonts w:ascii="Arial" w:hAnsi="Arial" w:cs="Arial"/>
          <w:b/>
        </w:rPr>
      </w:pPr>
    </w:p>
    <w:p w14:paraId="5A52C5DB" w14:textId="77777777" w:rsidR="003E2F6A" w:rsidRPr="00B071F7" w:rsidRDefault="003E2F6A" w:rsidP="001347D7">
      <w:pPr>
        <w:spacing w:after="0" w:line="276" w:lineRule="auto"/>
        <w:jc w:val="center"/>
        <w:rPr>
          <w:rFonts w:ascii="Arial" w:hAnsi="Arial" w:cs="Arial"/>
          <w:b/>
        </w:rPr>
      </w:pPr>
      <w:r w:rsidRPr="00B071F7">
        <w:rPr>
          <w:rFonts w:ascii="Arial" w:hAnsi="Arial" w:cs="Arial"/>
          <w:b/>
        </w:rPr>
        <w:t>LIC. JORGE ALBERTO ZAVALA FRÍAS</w:t>
      </w:r>
    </w:p>
    <w:p w14:paraId="347D57F9" w14:textId="77777777" w:rsidR="003E2F6A" w:rsidRPr="00B071F7" w:rsidRDefault="003E2F6A" w:rsidP="001347D7">
      <w:pPr>
        <w:spacing w:after="0" w:line="276" w:lineRule="auto"/>
        <w:jc w:val="center"/>
        <w:rPr>
          <w:rFonts w:ascii="Arial" w:hAnsi="Arial" w:cs="Arial"/>
        </w:rPr>
      </w:pPr>
      <w:r w:rsidRPr="00B071F7">
        <w:rPr>
          <w:rFonts w:ascii="Arial" w:hAnsi="Arial" w:cs="Arial"/>
          <w:b/>
        </w:rPr>
        <w:t>SECRETARIO EJECUTIVO</w:t>
      </w:r>
    </w:p>
    <w:p w14:paraId="3A05BC6D" w14:textId="77777777" w:rsidR="003E2F6A" w:rsidRPr="00B071F7" w:rsidRDefault="003E2F6A" w:rsidP="001347D7">
      <w:pPr>
        <w:spacing w:before="240" w:line="276" w:lineRule="auto"/>
        <w:jc w:val="both"/>
        <w:rPr>
          <w:rFonts w:ascii="Arial" w:hAnsi="Arial" w:cs="Arial"/>
        </w:rPr>
      </w:pPr>
    </w:p>
    <w:sectPr w:rsidR="003E2F6A" w:rsidRPr="00B071F7" w:rsidSect="002E204D">
      <w:headerReference w:type="default" r:id="rId8"/>
      <w:footerReference w:type="default" r:id="rId9"/>
      <w:pgSz w:w="12240" w:h="15840" w:code="1"/>
      <w:pgMar w:top="2410" w:right="1608"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016A7" w14:textId="77777777" w:rsidR="00180986" w:rsidRDefault="00180986">
      <w:pPr>
        <w:spacing w:after="0" w:line="240" w:lineRule="auto"/>
      </w:pPr>
      <w:r>
        <w:separator/>
      </w:r>
    </w:p>
  </w:endnote>
  <w:endnote w:type="continuationSeparator" w:id="0">
    <w:p w14:paraId="7D9E1E85" w14:textId="77777777" w:rsidR="00180986" w:rsidRDefault="00180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sterama">
    <w:charset w:val="00"/>
    <w:family w:val="swiss"/>
    <w:pitch w:val="variable"/>
    <w:sig w:usb0="A11526FF" w:usb1="D000204B" w:usb2="00010000" w:usb3="00000000" w:csb0="0000019F" w:csb1="00000000"/>
    <w:embedRegular r:id="rId1" w:fontKey="{C776986A-4AF9-4EDB-A90D-F7FC5A2E95FB}"/>
    <w:embedBold r:id="rId2" w:fontKey="{69ACBA5B-863C-42BA-BE07-FFA91A5BA90E}"/>
    <w:embedItalic r:id="rId3" w:fontKey="{F9988684-65BC-4CC8-A430-C745BE893E00}"/>
  </w:font>
  <w:font w:name="Georgia">
    <w:panose1 w:val="02040502050405020303"/>
    <w:charset w:val="00"/>
    <w:family w:val="roman"/>
    <w:pitch w:val="variable"/>
    <w:sig w:usb0="00000287" w:usb1="00000000" w:usb2="00000000" w:usb3="00000000" w:csb0="0000009F" w:csb1="00000000"/>
    <w:embedRegular r:id="rId4" w:fontKey="{C34518C2-5070-4B8D-9D40-3021CB6E7BFC}"/>
  </w:font>
  <w:font w:name="Segoe UI">
    <w:panose1 w:val="020B0502040204020203"/>
    <w:charset w:val="00"/>
    <w:family w:val="swiss"/>
    <w:pitch w:val="variable"/>
    <w:sig w:usb0="E4002EFF" w:usb1="C000E47F" w:usb2="00000009" w:usb3="00000000" w:csb0="000001FF" w:csb1="00000000"/>
    <w:embedRegular r:id="rId5" w:fontKey="{3D7D043D-E57E-4D04-BAFD-662DFB14DD7A}"/>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577177830"/>
      <w:docPartObj>
        <w:docPartGallery w:val="Page Numbers (Bottom of Page)"/>
        <w:docPartUnique/>
      </w:docPartObj>
    </w:sdtPr>
    <w:sdtEndPr>
      <w:rPr>
        <w:rFonts w:ascii="Arial" w:hAnsi="Arial" w:cs="Arial"/>
        <w:b/>
        <w:color w:val="993366"/>
      </w:rPr>
    </w:sdtEndPr>
    <w:sdtContent>
      <w:sdt>
        <w:sdtPr>
          <w:rPr>
            <w:rFonts w:ascii="Arial" w:hAnsi="Arial" w:cs="Arial"/>
            <w:b/>
            <w:color w:val="993366"/>
            <w:sz w:val="24"/>
            <w:szCs w:val="24"/>
          </w:rPr>
          <w:id w:val="-1741631649"/>
          <w:docPartObj>
            <w:docPartGallery w:val="Page Numbers (Top of Page)"/>
            <w:docPartUnique/>
          </w:docPartObj>
        </w:sdtPr>
        <w:sdtContent>
          <w:p w14:paraId="514926DC" w14:textId="2E04E451" w:rsidR="00D16C3E" w:rsidRPr="00B071F7" w:rsidRDefault="00D16C3E">
            <w:pPr>
              <w:pStyle w:val="Piedepgina"/>
              <w:jc w:val="right"/>
              <w:rPr>
                <w:rFonts w:ascii="Arial" w:hAnsi="Arial" w:cs="Arial"/>
                <w:b/>
                <w:color w:val="993366"/>
                <w:sz w:val="24"/>
                <w:szCs w:val="24"/>
              </w:rPr>
            </w:pPr>
            <w:r w:rsidRPr="00B071F7">
              <w:rPr>
                <w:rFonts w:ascii="Arial" w:hAnsi="Arial" w:cs="Arial"/>
                <w:b/>
                <w:color w:val="993366"/>
                <w:sz w:val="24"/>
                <w:szCs w:val="24"/>
                <w:lang w:val="es-ES"/>
              </w:rPr>
              <w:t xml:space="preserve">Página </w:t>
            </w:r>
            <w:r w:rsidRPr="00B071F7">
              <w:rPr>
                <w:rFonts w:ascii="Arial" w:hAnsi="Arial" w:cs="Arial"/>
                <w:b/>
                <w:bCs/>
                <w:color w:val="993366"/>
                <w:sz w:val="24"/>
                <w:szCs w:val="24"/>
              </w:rPr>
              <w:fldChar w:fldCharType="begin"/>
            </w:r>
            <w:r w:rsidRPr="00B071F7">
              <w:rPr>
                <w:rFonts w:ascii="Arial" w:hAnsi="Arial" w:cs="Arial"/>
                <w:b/>
                <w:bCs/>
                <w:color w:val="993366"/>
                <w:sz w:val="24"/>
                <w:szCs w:val="24"/>
              </w:rPr>
              <w:instrText>PAGE</w:instrText>
            </w:r>
            <w:r w:rsidRPr="00B071F7">
              <w:rPr>
                <w:rFonts w:ascii="Arial" w:hAnsi="Arial" w:cs="Arial"/>
                <w:b/>
                <w:bCs/>
                <w:color w:val="993366"/>
                <w:sz w:val="24"/>
                <w:szCs w:val="24"/>
              </w:rPr>
              <w:fldChar w:fldCharType="separate"/>
            </w:r>
            <w:r w:rsidR="00875B3A" w:rsidRPr="00B071F7">
              <w:rPr>
                <w:rFonts w:ascii="Arial" w:hAnsi="Arial" w:cs="Arial"/>
                <w:b/>
                <w:bCs/>
                <w:noProof/>
                <w:color w:val="993366"/>
                <w:sz w:val="24"/>
                <w:szCs w:val="24"/>
              </w:rPr>
              <w:t>1</w:t>
            </w:r>
            <w:r w:rsidRPr="00B071F7">
              <w:rPr>
                <w:rFonts w:ascii="Arial" w:hAnsi="Arial" w:cs="Arial"/>
                <w:b/>
                <w:bCs/>
                <w:color w:val="993366"/>
                <w:sz w:val="24"/>
                <w:szCs w:val="24"/>
              </w:rPr>
              <w:fldChar w:fldCharType="end"/>
            </w:r>
            <w:r w:rsidRPr="00B071F7">
              <w:rPr>
                <w:rFonts w:ascii="Arial" w:hAnsi="Arial" w:cs="Arial"/>
                <w:b/>
                <w:color w:val="993366"/>
                <w:sz w:val="24"/>
                <w:szCs w:val="24"/>
                <w:lang w:val="es-ES"/>
              </w:rPr>
              <w:t xml:space="preserve"> de </w:t>
            </w:r>
            <w:r w:rsidRPr="00B071F7">
              <w:rPr>
                <w:rFonts w:ascii="Arial" w:hAnsi="Arial" w:cs="Arial"/>
                <w:b/>
                <w:bCs/>
                <w:color w:val="993366"/>
                <w:sz w:val="24"/>
                <w:szCs w:val="24"/>
              </w:rPr>
              <w:fldChar w:fldCharType="begin"/>
            </w:r>
            <w:r w:rsidRPr="00B071F7">
              <w:rPr>
                <w:rFonts w:ascii="Arial" w:hAnsi="Arial" w:cs="Arial"/>
                <w:b/>
                <w:bCs/>
                <w:color w:val="993366"/>
                <w:sz w:val="24"/>
                <w:szCs w:val="24"/>
              </w:rPr>
              <w:instrText>NUMPAGES</w:instrText>
            </w:r>
            <w:r w:rsidRPr="00B071F7">
              <w:rPr>
                <w:rFonts w:ascii="Arial" w:hAnsi="Arial" w:cs="Arial"/>
                <w:b/>
                <w:bCs/>
                <w:color w:val="993366"/>
                <w:sz w:val="24"/>
                <w:szCs w:val="24"/>
              </w:rPr>
              <w:fldChar w:fldCharType="separate"/>
            </w:r>
            <w:r w:rsidR="00875B3A" w:rsidRPr="00B071F7">
              <w:rPr>
                <w:rFonts w:ascii="Arial" w:hAnsi="Arial" w:cs="Arial"/>
                <w:b/>
                <w:bCs/>
                <w:noProof/>
                <w:color w:val="993366"/>
                <w:sz w:val="24"/>
                <w:szCs w:val="24"/>
              </w:rPr>
              <w:t>1</w:t>
            </w:r>
            <w:r w:rsidRPr="00B071F7">
              <w:rPr>
                <w:rFonts w:ascii="Arial" w:hAnsi="Arial" w:cs="Arial"/>
                <w:b/>
                <w:bCs/>
                <w:color w:val="993366"/>
                <w:sz w:val="24"/>
                <w:szCs w:val="24"/>
              </w:rPr>
              <w:fldChar w:fldCharType="end"/>
            </w:r>
          </w:p>
        </w:sdtContent>
      </w:sdt>
    </w:sdtContent>
  </w:sdt>
  <w:p w14:paraId="7E6494AB" w14:textId="77777777" w:rsidR="00D16C3E" w:rsidRDefault="00D16C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25B53" w14:textId="77777777" w:rsidR="00180986" w:rsidRDefault="00180986">
      <w:pPr>
        <w:spacing w:after="0" w:line="240" w:lineRule="auto"/>
      </w:pPr>
      <w:r>
        <w:separator/>
      </w:r>
    </w:p>
  </w:footnote>
  <w:footnote w:type="continuationSeparator" w:id="0">
    <w:p w14:paraId="103305B4" w14:textId="77777777" w:rsidR="00180986" w:rsidRDefault="00180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7183"/>
    </w:tblGrid>
    <w:tr w:rsidR="00D16C3E" w14:paraId="3E23DA36" w14:textId="77777777" w:rsidTr="004C4B79">
      <w:tc>
        <w:tcPr>
          <w:tcW w:w="1748" w:type="dxa"/>
          <w:tcBorders>
            <w:bottom w:val="single" w:sz="8" w:space="0" w:color="auto"/>
          </w:tcBorders>
        </w:tcPr>
        <w:p w14:paraId="6C2DEFBC" w14:textId="77777777" w:rsidR="00D16C3E" w:rsidRDefault="00D16C3E" w:rsidP="004C4B79">
          <w:pPr>
            <w:pStyle w:val="Encabezado"/>
            <w:jc w:val="center"/>
          </w:pPr>
          <w:r>
            <w:rPr>
              <w:noProof/>
              <w:lang w:eastAsia="es-MX"/>
            </w:rPr>
            <w:drawing>
              <wp:inline distT="0" distB="0" distL="0" distR="0" wp14:anchorId="54951437" wp14:editId="763562EF">
                <wp:extent cx="838200" cy="687887"/>
                <wp:effectExtent l="0" t="0" r="0" b="0"/>
                <wp:docPr id="460834723" name="Imagen 46083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687887"/>
                        </a:xfrm>
                        <a:prstGeom prst="rect">
                          <a:avLst/>
                        </a:prstGeom>
                      </pic:spPr>
                    </pic:pic>
                  </a:graphicData>
                </a:graphic>
              </wp:inline>
            </w:drawing>
          </w:r>
        </w:p>
      </w:tc>
      <w:tc>
        <w:tcPr>
          <w:tcW w:w="7183" w:type="dxa"/>
          <w:tcBorders>
            <w:bottom w:val="single" w:sz="8" w:space="0" w:color="auto"/>
          </w:tcBorders>
        </w:tcPr>
        <w:p w14:paraId="3952F23D" w14:textId="77777777" w:rsidR="00D16C3E" w:rsidRPr="000A3855" w:rsidRDefault="00D16C3E" w:rsidP="004C4B79">
          <w:pPr>
            <w:pStyle w:val="Encabezado"/>
            <w:spacing w:before="480"/>
            <w:jc w:val="right"/>
            <w:rPr>
              <w:rFonts w:ascii="Arial" w:hAnsi="Arial" w:cs="Arial"/>
              <w:b/>
              <w:bCs/>
            </w:rPr>
          </w:pPr>
          <w:r w:rsidRPr="000A3855">
            <w:rPr>
              <w:rFonts w:ascii="Arial" w:hAnsi="Arial" w:cs="Arial"/>
              <w:b/>
              <w:bCs/>
              <w:sz w:val="28"/>
              <w:szCs w:val="28"/>
            </w:rPr>
            <w:t>INSTITUTO ELECTORAL Y DE PARTICIPACIÓN CIUDADANA DE TABASCO</w:t>
          </w:r>
        </w:p>
      </w:tc>
    </w:tr>
    <w:tr w:rsidR="00D16C3E" w14:paraId="73471E4A" w14:textId="77777777" w:rsidTr="004C4B79">
      <w:tc>
        <w:tcPr>
          <w:tcW w:w="1748" w:type="dxa"/>
          <w:tcBorders>
            <w:top w:val="single" w:sz="8" w:space="0" w:color="auto"/>
          </w:tcBorders>
        </w:tcPr>
        <w:p w14:paraId="00773179" w14:textId="77777777" w:rsidR="00D16C3E" w:rsidRPr="000A3855" w:rsidRDefault="00D16C3E" w:rsidP="004C4B79">
          <w:pPr>
            <w:pStyle w:val="Encabezado"/>
            <w:jc w:val="center"/>
            <w:rPr>
              <w:rFonts w:ascii="Arial" w:hAnsi="Arial" w:cs="Arial"/>
              <w:noProof/>
            </w:rPr>
          </w:pPr>
          <w:r w:rsidRPr="000A3855">
            <w:rPr>
              <w:rFonts w:ascii="Arial" w:hAnsi="Arial" w:cs="Arial"/>
              <w:noProof/>
              <w:sz w:val="14"/>
              <w:szCs w:val="14"/>
            </w:rPr>
            <w:t>“Tu participación es nuestro compromiso”</w:t>
          </w:r>
        </w:p>
      </w:tc>
      <w:tc>
        <w:tcPr>
          <w:tcW w:w="7183" w:type="dxa"/>
          <w:tcBorders>
            <w:top w:val="single" w:sz="8" w:space="0" w:color="auto"/>
          </w:tcBorders>
        </w:tcPr>
        <w:p w14:paraId="77B198FD" w14:textId="77777777" w:rsidR="00D16C3E" w:rsidRPr="00322F64" w:rsidRDefault="00D16C3E" w:rsidP="004C4B79">
          <w:pPr>
            <w:pStyle w:val="Encabezado"/>
            <w:spacing w:before="60"/>
            <w:jc w:val="right"/>
            <w:rPr>
              <w:rFonts w:ascii="Arial" w:hAnsi="Arial" w:cs="Arial"/>
              <w:b/>
              <w:bCs/>
            </w:rPr>
          </w:pPr>
          <w:r w:rsidRPr="00322F64">
            <w:rPr>
              <w:rFonts w:ascii="Arial" w:hAnsi="Arial" w:cs="Arial"/>
              <w:b/>
              <w:bCs/>
            </w:rPr>
            <w:t>SECRETARÍA EJECUTIVA</w:t>
          </w:r>
        </w:p>
      </w:tc>
    </w:tr>
  </w:tbl>
  <w:p w14:paraId="0A61F658" w14:textId="77777777" w:rsidR="00D16C3E" w:rsidRDefault="00D16C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4D38"/>
    <w:multiLevelType w:val="multilevel"/>
    <w:tmpl w:val="07A8F210"/>
    <w:lvl w:ilvl="0">
      <w:start w:val="1"/>
      <w:numFmt w:val="decimal"/>
      <w:lvlText w:val="%1."/>
      <w:lvlJc w:val="left"/>
      <w:pPr>
        <w:ind w:left="450" w:hanging="450"/>
      </w:pPr>
      <w:rPr>
        <w:rFonts w:hint="default"/>
        <w:b/>
      </w:rPr>
    </w:lvl>
    <w:lvl w:ilvl="1">
      <w:start w:val="1"/>
      <w:numFmt w:val="decimal"/>
      <w:lvlText w:val="%1.%2."/>
      <w:lvlJc w:val="left"/>
      <w:pPr>
        <w:ind w:left="1296" w:hanging="720"/>
      </w:pPr>
      <w:rPr>
        <w:rFonts w:hint="default"/>
      </w:rPr>
    </w:lvl>
    <w:lvl w:ilvl="2">
      <w:start w:val="1"/>
      <w:numFmt w:val="decimal"/>
      <w:lvlText w:val="%1.%2.%3."/>
      <w:lvlJc w:val="left"/>
      <w:pPr>
        <w:ind w:left="1364" w:hanging="1080"/>
      </w:pPr>
      <w:rPr>
        <w:rFonts w:hint="default"/>
        <w:color w:val="auto"/>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D7C92B"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83682F"/>
    <w:multiLevelType w:val="multilevel"/>
    <w:tmpl w:val="CEA4F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5A5561A"/>
    <w:multiLevelType w:val="multilevel"/>
    <w:tmpl w:val="C07CE45E"/>
    <w:lvl w:ilvl="0">
      <w:start w:val="1"/>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15:restartNumberingAfterBreak="0">
    <w:nsid w:val="589A6520"/>
    <w:multiLevelType w:val="multilevel"/>
    <w:tmpl w:val="43DA6F1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59A97F5C"/>
    <w:multiLevelType w:val="multilevel"/>
    <w:tmpl w:val="3EA24C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49B66BA"/>
    <w:multiLevelType w:val="multilevel"/>
    <w:tmpl w:val="7818A33E"/>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BCE16BE"/>
    <w:multiLevelType w:val="multilevel"/>
    <w:tmpl w:val="3DE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A37166"/>
    <w:multiLevelType w:val="multilevel"/>
    <w:tmpl w:val="4186208E"/>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ascii="Arial" w:hAnsi="Arial" w:cs="Arial"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772B0A66"/>
    <w:multiLevelType w:val="multilevel"/>
    <w:tmpl w:val="FF7609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16cid:durableId="2009824782">
    <w:abstractNumId w:val="1"/>
  </w:num>
  <w:num w:numId="2" w16cid:durableId="861746212">
    <w:abstractNumId w:val="5"/>
  </w:num>
  <w:num w:numId="3" w16cid:durableId="1858959344">
    <w:abstractNumId w:val="4"/>
  </w:num>
  <w:num w:numId="4" w16cid:durableId="804082517">
    <w:abstractNumId w:val="6"/>
  </w:num>
  <w:num w:numId="5" w16cid:durableId="602763622">
    <w:abstractNumId w:val="0"/>
  </w:num>
  <w:num w:numId="6" w16cid:durableId="390929364">
    <w:abstractNumId w:val="3"/>
  </w:num>
  <w:num w:numId="7" w16cid:durableId="1405713799">
    <w:abstractNumId w:val="8"/>
  </w:num>
  <w:num w:numId="8" w16cid:durableId="619653945">
    <w:abstractNumId w:val="2"/>
  </w:num>
  <w:num w:numId="9" w16cid:durableId="1398670846">
    <w:abstractNumId w:val="7"/>
  </w:num>
  <w:num w:numId="10" w16cid:durableId="9995067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A01"/>
    <w:rsid w:val="00007BB3"/>
    <w:rsid w:val="00012BC5"/>
    <w:rsid w:val="000174FD"/>
    <w:rsid w:val="00025CEC"/>
    <w:rsid w:val="00026624"/>
    <w:rsid w:val="00026744"/>
    <w:rsid w:val="0002760A"/>
    <w:rsid w:val="00027981"/>
    <w:rsid w:val="00033C91"/>
    <w:rsid w:val="000375D6"/>
    <w:rsid w:val="000507A8"/>
    <w:rsid w:val="000510E3"/>
    <w:rsid w:val="000543A7"/>
    <w:rsid w:val="00065B25"/>
    <w:rsid w:val="00067D30"/>
    <w:rsid w:val="00072209"/>
    <w:rsid w:val="00072651"/>
    <w:rsid w:val="000736CA"/>
    <w:rsid w:val="000737B5"/>
    <w:rsid w:val="00073956"/>
    <w:rsid w:val="00073C83"/>
    <w:rsid w:val="00074E35"/>
    <w:rsid w:val="00075419"/>
    <w:rsid w:val="00076294"/>
    <w:rsid w:val="00085168"/>
    <w:rsid w:val="000871D4"/>
    <w:rsid w:val="000876DB"/>
    <w:rsid w:val="00090529"/>
    <w:rsid w:val="000937AA"/>
    <w:rsid w:val="0009566C"/>
    <w:rsid w:val="0009686D"/>
    <w:rsid w:val="000A1021"/>
    <w:rsid w:val="000A269E"/>
    <w:rsid w:val="000A47D1"/>
    <w:rsid w:val="000A6585"/>
    <w:rsid w:val="000B4C38"/>
    <w:rsid w:val="000B5EBE"/>
    <w:rsid w:val="000C5C7B"/>
    <w:rsid w:val="000D3139"/>
    <w:rsid w:val="000D3698"/>
    <w:rsid w:val="000D4A0B"/>
    <w:rsid w:val="000D7259"/>
    <w:rsid w:val="000E3FB7"/>
    <w:rsid w:val="000E6004"/>
    <w:rsid w:val="000F11DC"/>
    <w:rsid w:val="000F5DE4"/>
    <w:rsid w:val="00103056"/>
    <w:rsid w:val="00105BCF"/>
    <w:rsid w:val="00123B4D"/>
    <w:rsid w:val="001322F0"/>
    <w:rsid w:val="0013410C"/>
    <w:rsid w:val="001347D7"/>
    <w:rsid w:val="001361F9"/>
    <w:rsid w:val="00136E6E"/>
    <w:rsid w:val="00144B63"/>
    <w:rsid w:val="00150BEC"/>
    <w:rsid w:val="00156313"/>
    <w:rsid w:val="00157840"/>
    <w:rsid w:val="00160834"/>
    <w:rsid w:val="001678D8"/>
    <w:rsid w:val="00180836"/>
    <w:rsid w:val="00180986"/>
    <w:rsid w:val="00180A36"/>
    <w:rsid w:val="00186844"/>
    <w:rsid w:val="00191219"/>
    <w:rsid w:val="001A0208"/>
    <w:rsid w:val="001A14BD"/>
    <w:rsid w:val="001A2FBD"/>
    <w:rsid w:val="001A5368"/>
    <w:rsid w:val="001B3877"/>
    <w:rsid w:val="001B58D9"/>
    <w:rsid w:val="001B6063"/>
    <w:rsid w:val="001C32CE"/>
    <w:rsid w:val="001C3950"/>
    <w:rsid w:val="001C4ED7"/>
    <w:rsid w:val="001C511F"/>
    <w:rsid w:val="001C6A2C"/>
    <w:rsid w:val="001D50C3"/>
    <w:rsid w:val="001D5A74"/>
    <w:rsid w:val="001E19E2"/>
    <w:rsid w:val="001E20B2"/>
    <w:rsid w:val="001E5C28"/>
    <w:rsid w:val="001F3126"/>
    <w:rsid w:val="001F50E3"/>
    <w:rsid w:val="002021A9"/>
    <w:rsid w:val="002076CB"/>
    <w:rsid w:val="00212B64"/>
    <w:rsid w:val="0021411B"/>
    <w:rsid w:val="0021437C"/>
    <w:rsid w:val="00215BC3"/>
    <w:rsid w:val="00222F2D"/>
    <w:rsid w:val="002275F6"/>
    <w:rsid w:val="002354E7"/>
    <w:rsid w:val="002403FC"/>
    <w:rsid w:val="002415BD"/>
    <w:rsid w:val="002418F3"/>
    <w:rsid w:val="002458E8"/>
    <w:rsid w:val="00250189"/>
    <w:rsid w:val="00252505"/>
    <w:rsid w:val="0026256B"/>
    <w:rsid w:val="0026655B"/>
    <w:rsid w:val="00267418"/>
    <w:rsid w:val="00274C3F"/>
    <w:rsid w:val="0027508E"/>
    <w:rsid w:val="00276EA9"/>
    <w:rsid w:val="00276F6A"/>
    <w:rsid w:val="00281C8E"/>
    <w:rsid w:val="00283EE3"/>
    <w:rsid w:val="002847BD"/>
    <w:rsid w:val="00286ECE"/>
    <w:rsid w:val="002927B5"/>
    <w:rsid w:val="002948F6"/>
    <w:rsid w:val="0029554D"/>
    <w:rsid w:val="00296E2B"/>
    <w:rsid w:val="002A2702"/>
    <w:rsid w:val="002A3ED6"/>
    <w:rsid w:val="002A4FAB"/>
    <w:rsid w:val="002C0703"/>
    <w:rsid w:val="002C0958"/>
    <w:rsid w:val="002C0DC0"/>
    <w:rsid w:val="002C2FD1"/>
    <w:rsid w:val="002C699B"/>
    <w:rsid w:val="002C7A43"/>
    <w:rsid w:val="002D28BE"/>
    <w:rsid w:val="002D38FB"/>
    <w:rsid w:val="002D3D1A"/>
    <w:rsid w:val="002D588E"/>
    <w:rsid w:val="002E204D"/>
    <w:rsid w:val="002E3AE3"/>
    <w:rsid w:val="002E7845"/>
    <w:rsid w:val="002F020E"/>
    <w:rsid w:val="002F2651"/>
    <w:rsid w:val="002F589D"/>
    <w:rsid w:val="002F5F2D"/>
    <w:rsid w:val="0030050A"/>
    <w:rsid w:val="00306F70"/>
    <w:rsid w:val="00306FBF"/>
    <w:rsid w:val="00307FE0"/>
    <w:rsid w:val="0031391A"/>
    <w:rsid w:val="003139A4"/>
    <w:rsid w:val="00314D5B"/>
    <w:rsid w:val="00326EE8"/>
    <w:rsid w:val="003343DA"/>
    <w:rsid w:val="00337431"/>
    <w:rsid w:val="003505A7"/>
    <w:rsid w:val="003565FF"/>
    <w:rsid w:val="00357C9F"/>
    <w:rsid w:val="0036129A"/>
    <w:rsid w:val="0036456F"/>
    <w:rsid w:val="0036490A"/>
    <w:rsid w:val="00364F1A"/>
    <w:rsid w:val="003669F9"/>
    <w:rsid w:val="00372F37"/>
    <w:rsid w:val="003776C8"/>
    <w:rsid w:val="00377EC2"/>
    <w:rsid w:val="003827BC"/>
    <w:rsid w:val="00386AAD"/>
    <w:rsid w:val="00393C2B"/>
    <w:rsid w:val="003A4C8E"/>
    <w:rsid w:val="003A617E"/>
    <w:rsid w:val="003A6C33"/>
    <w:rsid w:val="003B238E"/>
    <w:rsid w:val="003B397C"/>
    <w:rsid w:val="003B735C"/>
    <w:rsid w:val="003C240A"/>
    <w:rsid w:val="003D02E6"/>
    <w:rsid w:val="003D1C78"/>
    <w:rsid w:val="003D2A99"/>
    <w:rsid w:val="003D46A4"/>
    <w:rsid w:val="003E2F6A"/>
    <w:rsid w:val="003F2143"/>
    <w:rsid w:val="003F2F41"/>
    <w:rsid w:val="003F32E5"/>
    <w:rsid w:val="003F547B"/>
    <w:rsid w:val="003F63FD"/>
    <w:rsid w:val="00401CA7"/>
    <w:rsid w:val="00402EEB"/>
    <w:rsid w:val="00403087"/>
    <w:rsid w:val="0041121D"/>
    <w:rsid w:val="0041268D"/>
    <w:rsid w:val="0041295E"/>
    <w:rsid w:val="00422720"/>
    <w:rsid w:val="004251C8"/>
    <w:rsid w:val="00427A95"/>
    <w:rsid w:val="004301A5"/>
    <w:rsid w:val="00430949"/>
    <w:rsid w:val="00431407"/>
    <w:rsid w:val="00432451"/>
    <w:rsid w:val="004372C0"/>
    <w:rsid w:val="004409C1"/>
    <w:rsid w:val="00440D7C"/>
    <w:rsid w:val="0044450F"/>
    <w:rsid w:val="0044525A"/>
    <w:rsid w:val="00445AE2"/>
    <w:rsid w:val="0044734C"/>
    <w:rsid w:val="0045327D"/>
    <w:rsid w:val="00456DD4"/>
    <w:rsid w:val="00457B22"/>
    <w:rsid w:val="00462532"/>
    <w:rsid w:val="00464612"/>
    <w:rsid w:val="004717C3"/>
    <w:rsid w:val="00475535"/>
    <w:rsid w:val="00477767"/>
    <w:rsid w:val="00477DA5"/>
    <w:rsid w:val="004810DA"/>
    <w:rsid w:val="00494208"/>
    <w:rsid w:val="0049577A"/>
    <w:rsid w:val="004A6978"/>
    <w:rsid w:val="004A740D"/>
    <w:rsid w:val="004A7E1C"/>
    <w:rsid w:val="004B5579"/>
    <w:rsid w:val="004C26CE"/>
    <w:rsid w:val="004C3CE7"/>
    <w:rsid w:val="004C4B79"/>
    <w:rsid w:val="004C77CA"/>
    <w:rsid w:val="004D22AC"/>
    <w:rsid w:val="004D76E1"/>
    <w:rsid w:val="004E3727"/>
    <w:rsid w:val="004F18B0"/>
    <w:rsid w:val="004F7A1F"/>
    <w:rsid w:val="005017DA"/>
    <w:rsid w:val="0050481D"/>
    <w:rsid w:val="00505D6E"/>
    <w:rsid w:val="005144C0"/>
    <w:rsid w:val="00515351"/>
    <w:rsid w:val="00517BE5"/>
    <w:rsid w:val="00517DFB"/>
    <w:rsid w:val="00523E26"/>
    <w:rsid w:val="005367CE"/>
    <w:rsid w:val="005404E2"/>
    <w:rsid w:val="00540D54"/>
    <w:rsid w:val="00544115"/>
    <w:rsid w:val="00564058"/>
    <w:rsid w:val="00565D47"/>
    <w:rsid w:val="00570245"/>
    <w:rsid w:val="00577911"/>
    <w:rsid w:val="00582315"/>
    <w:rsid w:val="00592ADE"/>
    <w:rsid w:val="00597DCB"/>
    <w:rsid w:val="005A74AF"/>
    <w:rsid w:val="005C17B2"/>
    <w:rsid w:val="005C424E"/>
    <w:rsid w:val="005D360A"/>
    <w:rsid w:val="005D68F3"/>
    <w:rsid w:val="005F4B5D"/>
    <w:rsid w:val="0061294A"/>
    <w:rsid w:val="00612DA2"/>
    <w:rsid w:val="006160F3"/>
    <w:rsid w:val="0063165C"/>
    <w:rsid w:val="00636E61"/>
    <w:rsid w:val="006512FD"/>
    <w:rsid w:val="006619D6"/>
    <w:rsid w:val="00661B0B"/>
    <w:rsid w:val="0066370C"/>
    <w:rsid w:val="00663E8E"/>
    <w:rsid w:val="006764C0"/>
    <w:rsid w:val="006813E1"/>
    <w:rsid w:val="006879C6"/>
    <w:rsid w:val="00687C41"/>
    <w:rsid w:val="006A1C24"/>
    <w:rsid w:val="006B7237"/>
    <w:rsid w:val="006C7B23"/>
    <w:rsid w:val="006D2254"/>
    <w:rsid w:val="006D7B19"/>
    <w:rsid w:val="006D7DCC"/>
    <w:rsid w:val="006E1D1E"/>
    <w:rsid w:val="006F4815"/>
    <w:rsid w:val="006F5C05"/>
    <w:rsid w:val="006F7129"/>
    <w:rsid w:val="00700571"/>
    <w:rsid w:val="00702561"/>
    <w:rsid w:val="0070393F"/>
    <w:rsid w:val="007045D3"/>
    <w:rsid w:val="00706F4F"/>
    <w:rsid w:val="00710B8C"/>
    <w:rsid w:val="00711200"/>
    <w:rsid w:val="00711594"/>
    <w:rsid w:val="00714C8D"/>
    <w:rsid w:val="00725A2C"/>
    <w:rsid w:val="00737FDE"/>
    <w:rsid w:val="00740D94"/>
    <w:rsid w:val="00743345"/>
    <w:rsid w:val="00751533"/>
    <w:rsid w:val="00756DA1"/>
    <w:rsid w:val="0076153C"/>
    <w:rsid w:val="007616B4"/>
    <w:rsid w:val="00765E83"/>
    <w:rsid w:val="00767BF7"/>
    <w:rsid w:val="00774B4B"/>
    <w:rsid w:val="00776019"/>
    <w:rsid w:val="0077610D"/>
    <w:rsid w:val="00787912"/>
    <w:rsid w:val="00790A51"/>
    <w:rsid w:val="007914B0"/>
    <w:rsid w:val="00797FF3"/>
    <w:rsid w:val="007A04EE"/>
    <w:rsid w:val="007A1080"/>
    <w:rsid w:val="007A2738"/>
    <w:rsid w:val="007A4C3F"/>
    <w:rsid w:val="007A6CE4"/>
    <w:rsid w:val="007B231D"/>
    <w:rsid w:val="007B772E"/>
    <w:rsid w:val="007C188A"/>
    <w:rsid w:val="007C1CAD"/>
    <w:rsid w:val="007C1DC1"/>
    <w:rsid w:val="007C394B"/>
    <w:rsid w:val="007D2722"/>
    <w:rsid w:val="007D3D64"/>
    <w:rsid w:val="007D400A"/>
    <w:rsid w:val="007E0646"/>
    <w:rsid w:val="007E1760"/>
    <w:rsid w:val="007E2C11"/>
    <w:rsid w:val="007E5280"/>
    <w:rsid w:val="007F10D3"/>
    <w:rsid w:val="007F1902"/>
    <w:rsid w:val="007F5BDD"/>
    <w:rsid w:val="007F673B"/>
    <w:rsid w:val="007F7F75"/>
    <w:rsid w:val="00805020"/>
    <w:rsid w:val="008063E4"/>
    <w:rsid w:val="00807DB7"/>
    <w:rsid w:val="008100A5"/>
    <w:rsid w:val="008156F7"/>
    <w:rsid w:val="00816686"/>
    <w:rsid w:val="008222E1"/>
    <w:rsid w:val="00824BCD"/>
    <w:rsid w:val="00827DE1"/>
    <w:rsid w:val="00850E77"/>
    <w:rsid w:val="00864626"/>
    <w:rsid w:val="0086558F"/>
    <w:rsid w:val="0087011B"/>
    <w:rsid w:val="0087159F"/>
    <w:rsid w:val="00872121"/>
    <w:rsid w:val="00875B3A"/>
    <w:rsid w:val="00883C94"/>
    <w:rsid w:val="008847D2"/>
    <w:rsid w:val="00885A3F"/>
    <w:rsid w:val="0089050D"/>
    <w:rsid w:val="00890907"/>
    <w:rsid w:val="00891CBB"/>
    <w:rsid w:val="008A099C"/>
    <w:rsid w:val="008A5AA0"/>
    <w:rsid w:val="008B02A6"/>
    <w:rsid w:val="008B1074"/>
    <w:rsid w:val="008B5FC7"/>
    <w:rsid w:val="008B6EDF"/>
    <w:rsid w:val="008C3A01"/>
    <w:rsid w:val="008C3B23"/>
    <w:rsid w:val="008D219A"/>
    <w:rsid w:val="008D393C"/>
    <w:rsid w:val="008D3C98"/>
    <w:rsid w:val="008D5E11"/>
    <w:rsid w:val="008D766C"/>
    <w:rsid w:val="008E26B7"/>
    <w:rsid w:val="008E4CA9"/>
    <w:rsid w:val="008E7BB3"/>
    <w:rsid w:val="008F1D00"/>
    <w:rsid w:val="008F2AC3"/>
    <w:rsid w:val="008F407A"/>
    <w:rsid w:val="008F7289"/>
    <w:rsid w:val="00911C62"/>
    <w:rsid w:val="00911EB9"/>
    <w:rsid w:val="00912B19"/>
    <w:rsid w:val="00916F4D"/>
    <w:rsid w:val="0092280E"/>
    <w:rsid w:val="00925FD2"/>
    <w:rsid w:val="00942485"/>
    <w:rsid w:val="009457A9"/>
    <w:rsid w:val="00951659"/>
    <w:rsid w:val="009545BF"/>
    <w:rsid w:val="0096120C"/>
    <w:rsid w:val="00971CFC"/>
    <w:rsid w:val="00972718"/>
    <w:rsid w:val="00972FC1"/>
    <w:rsid w:val="00973D4F"/>
    <w:rsid w:val="00983B96"/>
    <w:rsid w:val="00986FAC"/>
    <w:rsid w:val="00987A9C"/>
    <w:rsid w:val="009A089C"/>
    <w:rsid w:val="009C09CF"/>
    <w:rsid w:val="009C648E"/>
    <w:rsid w:val="009D3011"/>
    <w:rsid w:val="009D341C"/>
    <w:rsid w:val="009D4A5A"/>
    <w:rsid w:val="009E1678"/>
    <w:rsid w:val="009F03A1"/>
    <w:rsid w:val="009F0EE4"/>
    <w:rsid w:val="009F4874"/>
    <w:rsid w:val="00A015F8"/>
    <w:rsid w:val="00A052F9"/>
    <w:rsid w:val="00A11067"/>
    <w:rsid w:val="00A133B6"/>
    <w:rsid w:val="00A2012A"/>
    <w:rsid w:val="00A25B3D"/>
    <w:rsid w:val="00A2759E"/>
    <w:rsid w:val="00A311A4"/>
    <w:rsid w:val="00A342CA"/>
    <w:rsid w:val="00A37619"/>
    <w:rsid w:val="00A40DB0"/>
    <w:rsid w:val="00A4315C"/>
    <w:rsid w:val="00A44191"/>
    <w:rsid w:val="00A44429"/>
    <w:rsid w:val="00A62065"/>
    <w:rsid w:val="00A620E5"/>
    <w:rsid w:val="00A62DEF"/>
    <w:rsid w:val="00A636FC"/>
    <w:rsid w:val="00A658D5"/>
    <w:rsid w:val="00A6665D"/>
    <w:rsid w:val="00A736D9"/>
    <w:rsid w:val="00A74552"/>
    <w:rsid w:val="00A804A5"/>
    <w:rsid w:val="00A85F4B"/>
    <w:rsid w:val="00A91227"/>
    <w:rsid w:val="00A919D7"/>
    <w:rsid w:val="00AB3406"/>
    <w:rsid w:val="00AB4545"/>
    <w:rsid w:val="00AB587E"/>
    <w:rsid w:val="00AD053B"/>
    <w:rsid w:val="00AD0C2F"/>
    <w:rsid w:val="00AD3C79"/>
    <w:rsid w:val="00AD5220"/>
    <w:rsid w:val="00AD6D30"/>
    <w:rsid w:val="00AE24B5"/>
    <w:rsid w:val="00AE5CE6"/>
    <w:rsid w:val="00AF3A98"/>
    <w:rsid w:val="00AF57A6"/>
    <w:rsid w:val="00B0113B"/>
    <w:rsid w:val="00B05372"/>
    <w:rsid w:val="00B05633"/>
    <w:rsid w:val="00B0690F"/>
    <w:rsid w:val="00B071F7"/>
    <w:rsid w:val="00B1061A"/>
    <w:rsid w:val="00B12B38"/>
    <w:rsid w:val="00B15C7F"/>
    <w:rsid w:val="00B1768A"/>
    <w:rsid w:val="00B176C7"/>
    <w:rsid w:val="00B21FD8"/>
    <w:rsid w:val="00B23023"/>
    <w:rsid w:val="00B27D3D"/>
    <w:rsid w:val="00B36CB6"/>
    <w:rsid w:val="00B40CC9"/>
    <w:rsid w:val="00B41366"/>
    <w:rsid w:val="00B46BF5"/>
    <w:rsid w:val="00B53CAF"/>
    <w:rsid w:val="00B557C9"/>
    <w:rsid w:val="00B62F37"/>
    <w:rsid w:val="00B642A1"/>
    <w:rsid w:val="00B70E40"/>
    <w:rsid w:val="00B742CD"/>
    <w:rsid w:val="00B776DC"/>
    <w:rsid w:val="00B80333"/>
    <w:rsid w:val="00B80AD0"/>
    <w:rsid w:val="00B81328"/>
    <w:rsid w:val="00B90F36"/>
    <w:rsid w:val="00B90FB2"/>
    <w:rsid w:val="00B9255F"/>
    <w:rsid w:val="00B94150"/>
    <w:rsid w:val="00B94FA5"/>
    <w:rsid w:val="00BA23EA"/>
    <w:rsid w:val="00BB44D9"/>
    <w:rsid w:val="00BB7538"/>
    <w:rsid w:val="00BB7851"/>
    <w:rsid w:val="00BB7A2D"/>
    <w:rsid w:val="00BC3E8C"/>
    <w:rsid w:val="00BD2F8B"/>
    <w:rsid w:val="00BD724C"/>
    <w:rsid w:val="00BE4503"/>
    <w:rsid w:val="00BE5DFC"/>
    <w:rsid w:val="00BF24E2"/>
    <w:rsid w:val="00BF25CD"/>
    <w:rsid w:val="00BF364B"/>
    <w:rsid w:val="00C03BD8"/>
    <w:rsid w:val="00C051CB"/>
    <w:rsid w:val="00C11EF5"/>
    <w:rsid w:val="00C13AFF"/>
    <w:rsid w:val="00C161BD"/>
    <w:rsid w:val="00C20F30"/>
    <w:rsid w:val="00C24E92"/>
    <w:rsid w:val="00C35FC3"/>
    <w:rsid w:val="00C42E3A"/>
    <w:rsid w:val="00C45CEF"/>
    <w:rsid w:val="00C47261"/>
    <w:rsid w:val="00C47C7C"/>
    <w:rsid w:val="00C51E76"/>
    <w:rsid w:val="00C52CBE"/>
    <w:rsid w:val="00C6271B"/>
    <w:rsid w:val="00C7009D"/>
    <w:rsid w:val="00C70275"/>
    <w:rsid w:val="00C7659D"/>
    <w:rsid w:val="00C8605D"/>
    <w:rsid w:val="00C91500"/>
    <w:rsid w:val="00C92988"/>
    <w:rsid w:val="00C95F61"/>
    <w:rsid w:val="00C975CE"/>
    <w:rsid w:val="00CA3515"/>
    <w:rsid w:val="00CA3F85"/>
    <w:rsid w:val="00CA763F"/>
    <w:rsid w:val="00CA7C52"/>
    <w:rsid w:val="00CB2612"/>
    <w:rsid w:val="00CB38C7"/>
    <w:rsid w:val="00CC03E0"/>
    <w:rsid w:val="00CC55CF"/>
    <w:rsid w:val="00CD68AE"/>
    <w:rsid w:val="00CE1B84"/>
    <w:rsid w:val="00CE3176"/>
    <w:rsid w:val="00CE407D"/>
    <w:rsid w:val="00CE4C13"/>
    <w:rsid w:val="00CE709C"/>
    <w:rsid w:val="00D01625"/>
    <w:rsid w:val="00D016F8"/>
    <w:rsid w:val="00D030DD"/>
    <w:rsid w:val="00D0564C"/>
    <w:rsid w:val="00D11281"/>
    <w:rsid w:val="00D16C3E"/>
    <w:rsid w:val="00D22613"/>
    <w:rsid w:val="00D25ECA"/>
    <w:rsid w:val="00D271CD"/>
    <w:rsid w:val="00D30AA5"/>
    <w:rsid w:val="00D36312"/>
    <w:rsid w:val="00D40003"/>
    <w:rsid w:val="00D40033"/>
    <w:rsid w:val="00D42060"/>
    <w:rsid w:val="00D46C53"/>
    <w:rsid w:val="00D46DFC"/>
    <w:rsid w:val="00D542EC"/>
    <w:rsid w:val="00D61A89"/>
    <w:rsid w:val="00D70E08"/>
    <w:rsid w:val="00D771D5"/>
    <w:rsid w:val="00D8379A"/>
    <w:rsid w:val="00D8431A"/>
    <w:rsid w:val="00D87FDF"/>
    <w:rsid w:val="00D912C0"/>
    <w:rsid w:val="00D91DB8"/>
    <w:rsid w:val="00D926EA"/>
    <w:rsid w:val="00D94BA7"/>
    <w:rsid w:val="00DA16D6"/>
    <w:rsid w:val="00DA1FAE"/>
    <w:rsid w:val="00DA323A"/>
    <w:rsid w:val="00DA7846"/>
    <w:rsid w:val="00DB1F29"/>
    <w:rsid w:val="00DB5135"/>
    <w:rsid w:val="00DB5E73"/>
    <w:rsid w:val="00DC0A82"/>
    <w:rsid w:val="00DC1055"/>
    <w:rsid w:val="00DC1CBB"/>
    <w:rsid w:val="00DD1AC2"/>
    <w:rsid w:val="00DD5AAE"/>
    <w:rsid w:val="00DD5F73"/>
    <w:rsid w:val="00DD732C"/>
    <w:rsid w:val="00DE5C80"/>
    <w:rsid w:val="00DF41A5"/>
    <w:rsid w:val="00E0559E"/>
    <w:rsid w:val="00E058F5"/>
    <w:rsid w:val="00E06B1B"/>
    <w:rsid w:val="00E06D65"/>
    <w:rsid w:val="00E103CC"/>
    <w:rsid w:val="00E1523F"/>
    <w:rsid w:val="00E1579A"/>
    <w:rsid w:val="00E16CE2"/>
    <w:rsid w:val="00E3073E"/>
    <w:rsid w:val="00E3315C"/>
    <w:rsid w:val="00E339E0"/>
    <w:rsid w:val="00E36598"/>
    <w:rsid w:val="00E423DF"/>
    <w:rsid w:val="00E434CC"/>
    <w:rsid w:val="00E57329"/>
    <w:rsid w:val="00E61B14"/>
    <w:rsid w:val="00E6347D"/>
    <w:rsid w:val="00E64903"/>
    <w:rsid w:val="00E660AA"/>
    <w:rsid w:val="00E661CD"/>
    <w:rsid w:val="00E71593"/>
    <w:rsid w:val="00E72D68"/>
    <w:rsid w:val="00E75066"/>
    <w:rsid w:val="00E76128"/>
    <w:rsid w:val="00E80A8D"/>
    <w:rsid w:val="00E810B2"/>
    <w:rsid w:val="00E84802"/>
    <w:rsid w:val="00E86CF7"/>
    <w:rsid w:val="00E87020"/>
    <w:rsid w:val="00E9203E"/>
    <w:rsid w:val="00E9320B"/>
    <w:rsid w:val="00E970A1"/>
    <w:rsid w:val="00EA299E"/>
    <w:rsid w:val="00EA7A9B"/>
    <w:rsid w:val="00EB5A01"/>
    <w:rsid w:val="00EC002E"/>
    <w:rsid w:val="00EC2A51"/>
    <w:rsid w:val="00EC4CB8"/>
    <w:rsid w:val="00EC63B4"/>
    <w:rsid w:val="00EC69F6"/>
    <w:rsid w:val="00ED2E70"/>
    <w:rsid w:val="00ED7750"/>
    <w:rsid w:val="00EE1FC2"/>
    <w:rsid w:val="00EE33BA"/>
    <w:rsid w:val="00F018BA"/>
    <w:rsid w:val="00F027D1"/>
    <w:rsid w:val="00F0306A"/>
    <w:rsid w:val="00F03D01"/>
    <w:rsid w:val="00F0423E"/>
    <w:rsid w:val="00F04B66"/>
    <w:rsid w:val="00F04B6F"/>
    <w:rsid w:val="00F05E1D"/>
    <w:rsid w:val="00F10EA0"/>
    <w:rsid w:val="00F14171"/>
    <w:rsid w:val="00F1534B"/>
    <w:rsid w:val="00F20670"/>
    <w:rsid w:val="00F237B8"/>
    <w:rsid w:val="00F41BCE"/>
    <w:rsid w:val="00F41E42"/>
    <w:rsid w:val="00F54CBE"/>
    <w:rsid w:val="00F643CC"/>
    <w:rsid w:val="00F6679F"/>
    <w:rsid w:val="00F7129A"/>
    <w:rsid w:val="00F7398E"/>
    <w:rsid w:val="00F77D96"/>
    <w:rsid w:val="00F8065B"/>
    <w:rsid w:val="00F82EDC"/>
    <w:rsid w:val="00F87A16"/>
    <w:rsid w:val="00F90C26"/>
    <w:rsid w:val="00F913AC"/>
    <w:rsid w:val="00F915AE"/>
    <w:rsid w:val="00F960F3"/>
    <w:rsid w:val="00FA044F"/>
    <w:rsid w:val="00FA5232"/>
    <w:rsid w:val="00FB3E56"/>
    <w:rsid w:val="00FB46D3"/>
    <w:rsid w:val="00FC1384"/>
    <w:rsid w:val="00FC38FC"/>
    <w:rsid w:val="00FD26C8"/>
    <w:rsid w:val="00FD33D2"/>
    <w:rsid w:val="00FD3ECA"/>
    <w:rsid w:val="00FF7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EB9EA"/>
  <w15:chartTrackingRefBased/>
  <w15:docId w15:val="{194ADF10-BCE9-4AD7-892B-1B6A64F1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s-MX"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A01"/>
    <w:pPr>
      <w:spacing w:after="160" w:line="259" w:lineRule="auto"/>
    </w:pPr>
    <w:rPr>
      <w:rFonts w:eastAsiaTheme="minorHAnsi" w:cstheme="minorBidi"/>
    </w:rPr>
  </w:style>
  <w:style w:type="paragraph" w:styleId="Ttulo1">
    <w:name w:val="heading 1"/>
    <w:basedOn w:val="Normal"/>
    <w:next w:val="Normal"/>
    <w:link w:val="Ttulo1Car"/>
    <w:uiPriority w:val="9"/>
    <w:qFormat/>
    <w:rsid w:val="00CE4C13"/>
    <w:pPr>
      <w:keepNext/>
      <w:keepLines/>
      <w:spacing w:before="240"/>
      <w:outlineLvl w:val="0"/>
    </w:pPr>
    <w:rPr>
      <w:rFonts w:asciiTheme="majorHAnsi" w:eastAsiaTheme="majorEastAsia" w:hAnsiTheme="majorHAnsi" w:cstheme="majorBidi"/>
      <w:color w:val="411840" w:themeColor="accent1" w:themeShade="BF"/>
      <w:sz w:val="32"/>
      <w:szCs w:val="32"/>
    </w:rPr>
  </w:style>
  <w:style w:type="paragraph" w:styleId="Ttulo2">
    <w:name w:val="heading 2"/>
    <w:basedOn w:val="Normal"/>
    <w:next w:val="Normal"/>
    <w:link w:val="Ttulo2Car"/>
    <w:uiPriority w:val="9"/>
    <w:qFormat/>
    <w:rsid w:val="00CE4C13"/>
    <w:pPr>
      <w:keepNext/>
      <w:kinsoku w:val="0"/>
      <w:overflowPunct w:val="0"/>
      <w:outlineLvl w:val="1"/>
    </w:pPr>
    <w:rPr>
      <w:rFonts w:asciiTheme="majorHAnsi" w:hAnsiTheme="majorHAnsi"/>
      <w:b/>
      <w:bCs/>
      <w:szCs w:val="20"/>
    </w:rPr>
  </w:style>
  <w:style w:type="paragraph" w:styleId="Ttulo3">
    <w:name w:val="heading 3"/>
    <w:basedOn w:val="Normal"/>
    <w:next w:val="Normal"/>
    <w:link w:val="Ttulo3Car"/>
    <w:uiPriority w:val="9"/>
    <w:unhideWhenUsed/>
    <w:qFormat/>
    <w:rsid w:val="008C3A01"/>
    <w:pPr>
      <w:keepNext/>
      <w:keepLines/>
      <w:spacing w:before="40" w:after="0"/>
      <w:ind w:left="720" w:hanging="720"/>
      <w:outlineLvl w:val="2"/>
    </w:pPr>
    <w:rPr>
      <w:rFonts w:asciiTheme="majorHAnsi" w:eastAsiaTheme="majorEastAsia" w:hAnsiTheme="majorHAnsi" w:cstheme="majorBidi"/>
      <w:color w:val="2B102A" w:themeColor="accent1" w:themeShade="7F"/>
      <w:sz w:val="24"/>
      <w:szCs w:val="24"/>
    </w:rPr>
  </w:style>
  <w:style w:type="paragraph" w:styleId="Ttulo4">
    <w:name w:val="heading 4"/>
    <w:basedOn w:val="Normal"/>
    <w:next w:val="Normal"/>
    <w:link w:val="Ttulo4Car"/>
    <w:uiPriority w:val="9"/>
    <w:semiHidden/>
    <w:unhideWhenUsed/>
    <w:qFormat/>
    <w:rsid w:val="008C3A01"/>
    <w:pPr>
      <w:keepNext/>
      <w:keepLines/>
      <w:spacing w:before="40" w:after="0"/>
      <w:ind w:left="864" w:hanging="864"/>
      <w:outlineLvl w:val="3"/>
    </w:pPr>
    <w:rPr>
      <w:rFonts w:asciiTheme="majorHAnsi" w:eastAsiaTheme="majorEastAsia" w:hAnsiTheme="majorHAnsi" w:cstheme="majorBidi"/>
      <w:i/>
      <w:iCs/>
      <w:color w:val="411840" w:themeColor="accent1" w:themeShade="BF"/>
    </w:rPr>
  </w:style>
  <w:style w:type="paragraph" w:styleId="Ttulo5">
    <w:name w:val="heading 5"/>
    <w:basedOn w:val="Normal"/>
    <w:next w:val="Normal"/>
    <w:link w:val="Ttulo5Car"/>
    <w:uiPriority w:val="9"/>
    <w:semiHidden/>
    <w:unhideWhenUsed/>
    <w:qFormat/>
    <w:rsid w:val="008C3A01"/>
    <w:pPr>
      <w:keepNext/>
      <w:keepLines/>
      <w:spacing w:before="40" w:after="0"/>
      <w:ind w:left="1008" w:hanging="1008"/>
      <w:outlineLvl w:val="4"/>
    </w:pPr>
    <w:rPr>
      <w:rFonts w:asciiTheme="majorHAnsi" w:eastAsiaTheme="majorEastAsia" w:hAnsiTheme="majorHAnsi" w:cstheme="majorBidi"/>
      <w:color w:val="411840" w:themeColor="accent1" w:themeShade="BF"/>
    </w:rPr>
  </w:style>
  <w:style w:type="paragraph" w:styleId="Ttulo6">
    <w:name w:val="heading 6"/>
    <w:basedOn w:val="Normal"/>
    <w:next w:val="Normal"/>
    <w:link w:val="Ttulo6Car"/>
    <w:uiPriority w:val="9"/>
    <w:semiHidden/>
    <w:unhideWhenUsed/>
    <w:qFormat/>
    <w:rsid w:val="008C3A01"/>
    <w:pPr>
      <w:keepNext/>
      <w:keepLines/>
      <w:spacing w:before="40" w:after="0"/>
      <w:ind w:left="1152" w:hanging="1152"/>
      <w:outlineLvl w:val="5"/>
    </w:pPr>
    <w:rPr>
      <w:rFonts w:asciiTheme="majorHAnsi" w:eastAsiaTheme="majorEastAsia" w:hAnsiTheme="majorHAnsi" w:cstheme="majorBidi"/>
      <w:color w:val="2B102A" w:themeColor="accent1" w:themeShade="7F"/>
    </w:rPr>
  </w:style>
  <w:style w:type="paragraph" w:styleId="Ttulo7">
    <w:name w:val="heading 7"/>
    <w:basedOn w:val="Normal"/>
    <w:next w:val="Normal"/>
    <w:link w:val="Ttulo7Car"/>
    <w:uiPriority w:val="9"/>
    <w:semiHidden/>
    <w:unhideWhenUsed/>
    <w:qFormat/>
    <w:rsid w:val="008C3A01"/>
    <w:pPr>
      <w:keepNext/>
      <w:keepLines/>
      <w:spacing w:before="40" w:after="0"/>
      <w:ind w:left="1296" w:hanging="1296"/>
      <w:outlineLvl w:val="6"/>
    </w:pPr>
    <w:rPr>
      <w:rFonts w:asciiTheme="majorHAnsi" w:eastAsiaTheme="majorEastAsia" w:hAnsiTheme="majorHAnsi" w:cstheme="majorBidi"/>
      <w:i/>
      <w:iCs/>
      <w:color w:val="2B102A" w:themeColor="accent1" w:themeShade="7F"/>
    </w:rPr>
  </w:style>
  <w:style w:type="paragraph" w:styleId="Ttulo8">
    <w:name w:val="heading 8"/>
    <w:basedOn w:val="Normal"/>
    <w:next w:val="Normal"/>
    <w:link w:val="Ttulo8Car"/>
    <w:uiPriority w:val="9"/>
    <w:semiHidden/>
    <w:unhideWhenUsed/>
    <w:qFormat/>
    <w:rsid w:val="008C3A01"/>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3A01"/>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Ttulo1"/>
    <w:uiPriority w:val="1"/>
    <w:qFormat/>
    <w:rsid w:val="00CE4C13"/>
    <w:pPr>
      <w:keepNext w:val="0"/>
      <w:keepLines w:val="0"/>
      <w:kinsoku w:val="0"/>
      <w:overflowPunct w:val="0"/>
      <w:spacing w:before="0"/>
    </w:pPr>
    <w:rPr>
      <w:rFonts w:eastAsia="Times New Roman" w:cstheme="majorHAnsi"/>
      <w:b/>
      <w:caps/>
      <w:color w:val="D7C92B" w:themeColor="accent4"/>
      <w:spacing w:val="-80"/>
      <w:sz w:val="120"/>
      <w:szCs w:val="120"/>
    </w:rPr>
  </w:style>
  <w:style w:type="character" w:customStyle="1" w:styleId="Ttulo1Car">
    <w:name w:val="Título 1 Car"/>
    <w:basedOn w:val="Fuentedeprrafopredeter"/>
    <w:link w:val="Ttulo1"/>
    <w:uiPriority w:val="9"/>
    <w:rsid w:val="00CE4C13"/>
    <w:rPr>
      <w:rFonts w:asciiTheme="majorHAnsi" w:eastAsiaTheme="majorEastAsia" w:hAnsiTheme="majorHAnsi" w:cstheme="majorBidi"/>
      <w:color w:val="411840" w:themeColor="accent1" w:themeShade="BF"/>
      <w:sz w:val="32"/>
      <w:szCs w:val="32"/>
    </w:rPr>
  </w:style>
  <w:style w:type="paragraph" w:customStyle="1" w:styleId="Nombre">
    <w:name w:val="Nombre"/>
    <w:basedOn w:val="Normal"/>
    <w:uiPriority w:val="1"/>
    <w:qFormat/>
    <w:rsid w:val="00CE4C13"/>
    <w:rPr>
      <w:b/>
      <w:bCs/>
      <w:color w:val="582156" w:themeColor="accent1"/>
      <w:sz w:val="28"/>
      <w:szCs w:val="32"/>
    </w:rPr>
  </w:style>
  <w:style w:type="paragraph" w:customStyle="1" w:styleId="Direccin">
    <w:name w:val="Dirección"/>
    <w:basedOn w:val="Normal"/>
    <w:uiPriority w:val="1"/>
    <w:qFormat/>
    <w:rsid w:val="00CE4C13"/>
    <w:pPr>
      <w:spacing w:before="40"/>
      <w:contextualSpacing/>
    </w:pPr>
    <w:rPr>
      <w:rFonts w:cstheme="minorHAnsi"/>
      <w:sz w:val="20"/>
      <w:szCs w:val="20"/>
    </w:rPr>
  </w:style>
  <w:style w:type="paragraph" w:customStyle="1" w:styleId="Nombredelaempresa">
    <w:name w:val="Nombre de la empresa"/>
    <w:basedOn w:val="Normal"/>
    <w:uiPriority w:val="1"/>
    <w:qFormat/>
    <w:rsid w:val="00CE4C13"/>
    <w:rPr>
      <w:rFonts w:asciiTheme="majorHAnsi" w:hAnsiTheme="majorHAnsi"/>
      <w:b/>
      <w:color w:val="AA2170" w:themeColor="accent2"/>
    </w:rPr>
  </w:style>
  <w:style w:type="character" w:customStyle="1" w:styleId="Rosa">
    <w:name w:val="Rosa"/>
    <w:uiPriority w:val="1"/>
    <w:qFormat/>
    <w:rsid w:val="00CE4C13"/>
    <w:rPr>
      <w:color w:val="EB4252" w:themeColor="accent3"/>
    </w:rPr>
  </w:style>
  <w:style w:type="paragraph" w:customStyle="1" w:styleId="Anclajedegrficos">
    <w:name w:val="Anclaje de gráficos"/>
    <w:basedOn w:val="Normal"/>
    <w:uiPriority w:val="1"/>
    <w:qFormat/>
    <w:rsid w:val="00CE4C13"/>
    <w:rPr>
      <w:noProof/>
    </w:rPr>
  </w:style>
  <w:style w:type="character" w:customStyle="1" w:styleId="Ttulo2Car">
    <w:name w:val="Título 2 Car"/>
    <w:basedOn w:val="Fuentedeprrafopredeter"/>
    <w:link w:val="Ttulo2"/>
    <w:uiPriority w:val="9"/>
    <w:rsid w:val="00CE4C13"/>
    <w:rPr>
      <w:rFonts w:asciiTheme="majorHAnsi" w:hAnsiTheme="majorHAnsi"/>
      <w:b/>
      <w:bCs/>
      <w:color w:val="595959" w:themeColor="text2" w:themeTint="A6"/>
      <w:szCs w:val="20"/>
    </w:rPr>
  </w:style>
  <w:style w:type="paragraph" w:styleId="Textoindependiente">
    <w:name w:val="Body Text"/>
    <w:basedOn w:val="Normal"/>
    <w:link w:val="TextoindependienteCar"/>
    <w:uiPriority w:val="1"/>
    <w:semiHidden/>
    <w:qFormat/>
    <w:rsid w:val="00CE4C13"/>
    <w:rPr>
      <w:rFonts w:cs="Georgia"/>
    </w:rPr>
  </w:style>
  <w:style w:type="character" w:customStyle="1" w:styleId="TextoindependienteCar">
    <w:name w:val="Texto independiente Car"/>
    <w:basedOn w:val="Fuentedeprrafopredeter"/>
    <w:link w:val="Textoindependiente"/>
    <w:uiPriority w:val="1"/>
    <w:semiHidden/>
    <w:rsid w:val="00CE4C13"/>
    <w:rPr>
      <w:rFonts w:cs="Georgia"/>
    </w:rPr>
  </w:style>
  <w:style w:type="character" w:styleId="Textoennegrita">
    <w:name w:val="Strong"/>
    <w:basedOn w:val="Fuentedeprrafopredeter"/>
    <w:uiPriority w:val="22"/>
    <w:qFormat/>
    <w:rsid w:val="00CE4C13"/>
    <w:rPr>
      <w:b/>
      <w:bCs/>
      <w:color w:val="D7C92B" w:themeColor="accent4"/>
    </w:rPr>
  </w:style>
  <w:style w:type="paragraph" w:styleId="Prrafodelista">
    <w:name w:val="List Paragraph"/>
    <w:aliases w:val="AB List 1,Bullet Points,Bullet List,FooterText,numbered,Paragraphe de liste1,List Paragraph1,Bulletr List Paragraph,CNBV Parrafo1,Párrafo de lista1,Parrafo 1,Lista multicolor - Énfasis 11,Lista vistosa - Énfasis 11,Cita texto,Listas"/>
    <w:basedOn w:val="Textoindependiente"/>
    <w:link w:val="PrrafodelistaCar"/>
    <w:uiPriority w:val="34"/>
    <w:qFormat/>
    <w:rsid w:val="00CE4C13"/>
    <w:pPr>
      <w:numPr>
        <w:numId w:val="1"/>
      </w:numPr>
      <w:spacing w:after="120"/>
    </w:pPr>
    <w:rPr>
      <w:rFonts w:cs="Times New Roman"/>
      <w:color w:val="595959" w:themeColor="text2" w:themeTint="A6"/>
      <w:sz w:val="20"/>
      <w:szCs w:val="24"/>
    </w:rPr>
  </w:style>
  <w:style w:type="character" w:customStyle="1" w:styleId="Ttulo3Car">
    <w:name w:val="Título 3 Car"/>
    <w:basedOn w:val="Fuentedeprrafopredeter"/>
    <w:link w:val="Ttulo3"/>
    <w:uiPriority w:val="9"/>
    <w:rsid w:val="008C3A01"/>
    <w:rPr>
      <w:rFonts w:asciiTheme="majorHAnsi" w:eastAsiaTheme="majorEastAsia" w:hAnsiTheme="majorHAnsi" w:cstheme="majorBidi"/>
      <w:color w:val="2B102A" w:themeColor="accent1" w:themeShade="7F"/>
      <w:sz w:val="24"/>
      <w:szCs w:val="24"/>
    </w:rPr>
  </w:style>
  <w:style w:type="character" w:customStyle="1" w:styleId="Ttulo4Car">
    <w:name w:val="Título 4 Car"/>
    <w:basedOn w:val="Fuentedeprrafopredeter"/>
    <w:link w:val="Ttulo4"/>
    <w:uiPriority w:val="9"/>
    <w:semiHidden/>
    <w:rsid w:val="008C3A01"/>
    <w:rPr>
      <w:rFonts w:asciiTheme="majorHAnsi" w:eastAsiaTheme="majorEastAsia" w:hAnsiTheme="majorHAnsi" w:cstheme="majorBidi"/>
      <w:i/>
      <w:iCs/>
      <w:color w:val="411840" w:themeColor="accent1" w:themeShade="BF"/>
    </w:rPr>
  </w:style>
  <w:style w:type="character" w:customStyle="1" w:styleId="Ttulo5Car">
    <w:name w:val="Título 5 Car"/>
    <w:basedOn w:val="Fuentedeprrafopredeter"/>
    <w:link w:val="Ttulo5"/>
    <w:uiPriority w:val="9"/>
    <w:semiHidden/>
    <w:rsid w:val="008C3A01"/>
    <w:rPr>
      <w:rFonts w:asciiTheme="majorHAnsi" w:eastAsiaTheme="majorEastAsia" w:hAnsiTheme="majorHAnsi" w:cstheme="majorBidi"/>
      <w:color w:val="411840" w:themeColor="accent1" w:themeShade="BF"/>
    </w:rPr>
  </w:style>
  <w:style w:type="character" w:customStyle="1" w:styleId="Ttulo6Car">
    <w:name w:val="Título 6 Car"/>
    <w:basedOn w:val="Fuentedeprrafopredeter"/>
    <w:link w:val="Ttulo6"/>
    <w:uiPriority w:val="9"/>
    <w:semiHidden/>
    <w:rsid w:val="008C3A01"/>
    <w:rPr>
      <w:rFonts w:asciiTheme="majorHAnsi" w:eastAsiaTheme="majorEastAsia" w:hAnsiTheme="majorHAnsi" w:cstheme="majorBidi"/>
      <w:color w:val="2B102A" w:themeColor="accent1" w:themeShade="7F"/>
    </w:rPr>
  </w:style>
  <w:style w:type="character" w:customStyle="1" w:styleId="Ttulo7Car">
    <w:name w:val="Título 7 Car"/>
    <w:basedOn w:val="Fuentedeprrafopredeter"/>
    <w:link w:val="Ttulo7"/>
    <w:uiPriority w:val="9"/>
    <w:semiHidden/>
    <w:rsid w:val="008C3A01"/>
    <w:rPr>
      <w:rFonts w:asciiTheme="majorHAnsi" w:eastAsiaTheme="majorEastAsia" w:hAnsiTheme="majorHAnsi" w:cstheme="majorBidi"/>
      <w:i/>
      <w:iCs/>
      <w:color w:val="2B102A" w:themeColor="accent1" w:themeShade="7F"/>
    </w:rPr>
  </w:style>
  <w:style w:type="character" w:customStyle="1" w:styleId="Ttulo8Car">
    <w:name w:val="Título 8 Car"/>
    <w:basedOn w:val="Fuentedeprrafopredeter"/>
    <w:link w:val="Ttulo8"/>
    <w:uiPriority w:val="9"/>
    <w:semiHidden/>
    <w:rsid w:val="008C3A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3A01"/>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8C3A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A01"/>
    <w:rPr>
      <w:rFonts w:eastAsiaTheme="minorHAnsi" w:cstheme="minorBidi"/>
    </w:rPr>
  </w:style>
  <w:style w:type="paragraph" w:styleId="Piedepgina">
    <w:name w:val="footer"/>
    <w:basedOn w:val="Normal"/>
    <w:link w:val="PiedepginaCar"/>
    <w:uiPriority w:val="99"/>
    <w:unhideWhenUsed/>
    <w:rsid w:val="008C3A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A01"/>
    <w:rPr>
      <w:rFonts w:eastAsiaTheme="minorHAnsi" w:cstheme="minorBidi"/>
    </w:rPr>
  </w:style>
  <w:style w:type="table" w:styleId="Tablaconcuadrcula">
    <w:name w:val="Table Grid"/>
    <w:basedOn w:val="Tablanormal"/>
    <w:uiPriority w:val="39"/>
    <w:rsid w:val="008C3A01"/>
    <w:pPr>
      <w:spacing w:after="0"/>
    </w:pPr>
    <w:rPr>
      <w:rFonts w:eastAsia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AB List 1 Car,Bullet Points Car,Bullet List Car,FooterText Car,numbered Car,Paragraphe de liste1 Car,List Paragraph1 Car,Bulletr List Paragraph Car,CNBV Parrafo1 Car,Párrafo de lista1 Car,Parrafo 1 Car,Lista vistosa - Énfasis 11 Car"/>
    <w:link w:val="Prrafodelista"/>
    <w:uiPriority w:val="34"/>
    <w:qFormat/>
    <w:rsid w:val="008C3A01"/>
    <w:rPr>
      <w:color w:val="595959" w:themeColor="text2" w:themeTint="A6"/>
      <w:sz w:val="20"/>
      <w:szCs w:val="24"/>
    </w:rPr>
  </w:style>
  <w:style w:type="character" w:customStyle="1" w:styleId="textomasactos0">
    <w:name w:val="textomasactos0"/>
    <w:basedOn w:val="Fuentedeprrafopredeter"/>
    <w:rsid w:val="00582315"/>
  </w:style>
  <w:style w:type="paragraph" w:customStyle="1" w:styleId="ms-1">
    <w:name w:val="ms-1"/>
    <w:basedOn w:val="Normal"/>
    <w:rsid w:val="00663E8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49577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A"/>
    <w:rPr>
      <w:rFonts w:ascii="Segoe UI" w:eastAsiaTheme="minorHAnsi" w:hAnsi="Segoe UI" w:cs="Segoe UI"/>
      <w:sz w:val="18"/>
      <w:szCs w:val="18"/>
    </w:rPr>
  </w:style>
  <w:style w:type="character" w:styleId="Refdecomentario">
    <w:name w:val="annotation reference"/>
    <w:basedOn w:val="Fuentedeprrafopredeter"/>
    <w:uiPriority w:val="99"/>
    <w:semiHidden/>
    <w:unhideWhenUsed/>
    <w:rsid w:val="00F41E42"/>
    <w:rPr>
      <w:sz w:val="16"/>
      <w:szCs w:val="16"/>
    </w:rPr>
  </w:style>
  <w:style w:type="paragraph" w:styleId="Textocomentario">
    <w:name w:val="annotation text"/>
    <w:basedOn w:val="Normal"/>
    <w:link w:val="TextocomentarioCar"/>
    <w:uiPriority w:val="99"/>
    <w:unhideWhenUsed/>
    <w:rsid w:val="00F41E42"/>
    <w:pPr>
      <w:spacing w:line="240" w:lineRule="auto"/>
    </w:pPr>
    <w:rPr>
      <w:sz w:val="20"/>
      <w:szCs w:val="20"/>
    </w:rPr>
  </w:style>
  <w:style w:type="character" w:customStyle="1" w:styleId="TextocomentarioCar">
    <w:name w:val="Texto comentario Car"/>
    <w:basedOn w:val="Fuentedeprrafopredeter"/>
    <w:link w:val="Textocomentario"/>
    <w:uiPriority w:val="99"/>
    <w:rsid w:val="00F41E42"/>
    <w:rPr>
      <w:rFonts w:eastAsiaTheme="minorHAnsi" w:cstheme="minorBidi"/>
      <w:sz w:val="20"/>
      <w:szCs w:val="20"/>
    </w:rPr>
  </w:style>
  <w:style w:type="paragraph" w:styleId="Asuntodelcomentario">
    <w:name w:val="annotation subject"/>
    <w:basedOn w:val="Textocomentario"/>
    <w:next w:val="Textocomentario"/>
    <w:link w:val="AsuntodelcomentarioCar"/>
    <w:uiPriority w:val="99"/>
    <w:semiHidden/>
    <w:unhideWhenUsed/>
    <w:rsid w:val="00F41E42"/>
    <w:rPr>
      <w:b/>
      <w:bCs/>
    </w:rPr>
  </w:style>
  <w:style w:type="character" w:customStyle="1" w:styleId="AsuntodelcomentarioCar">
    <w:name w:val="Asunto del comentario Car"/>
    <w:basedOn w:val="TextocomentarioCar"/>
    <w:link w:val="Asuntodelcomentario"/>
    <w:uiPriority w:val="99"/>
    <w:semiHidden/>
    <w:rsid w:val="00F41E42"/>
    <w:rPr>
      <w:rFonts w:eastAsiaTheme="minorHAnsi" w:cstheme="minorBidi"/>
      <w:b/>
      <w:bCs/>
      <w:sz w:val="20"/>
      <w:szCs w:val="20"/>
    </w:rPr>
  </w:style>
  <w:style w:type="character" w:customStyle="1" w:styleId="textomasactos5">
    <w:name w:val="textomasactos5"/>
    <w:basedOn w:val="Fuentedeprrafopredeter"/>
    <w:rsid w:val="00BF364B"/>
  </w:style>
  <w:style w:type="paragraph" w:styleId="Textonotaalfinal">
    <w:name w:val="endnote text"/>
    <w:basedOn w:val="Normal"/>
    <w:link w:val="TextonotaalfinalCar"/>
    <w:uiPriority w:val="99"/>
    <w:semiHidden/>
    <w:unhideWhenUsed/>
    <w:rsid w:val="00306F7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06F70"/>
    <w:rPr>
      <w:rFonts w:eastAsiaTheme="minorHAnsi" w:cstheme="minorBidi"/>
      <w:sz w:val="20"/>
      <w:szCs w:val="20"/>
    </w:rPr>
  </w:style>
  <w:style w:type="character" w:styleId="Refdenotaalfinal">
    <w:name w:val="endnote reference"/>
    <w:basedOn w:val="Fuentedeprrafopredeter"/>
    <w:uiPriority w:val="99"/>
    <w:semiHidden/>
    <w:unhideWhenUsed/>
    <w:rsid w:val="00306F70"/>
    <w:rPr>
      <w:vertAlign w:val="superscript"/>
    </w:rPr>
  </w:style>
  <w:style w:type="paragraph" w:styleId="Textonotapie">
    <w:name w:val="footnote text"/>
    <w:aliases w:val="Ref. de nota al pie1,f,Footnote Text Char Char Char Char Char,Footnote Text Char Char Char Char,Footnote Text Cha,Footnote reference,FA Fu,Footnote Text Char Char Char,FA Fußnotentext,FA Fu?notentext,Footnote Text Char Char,Car3,Ca"/>
    <w:basedOn w:val="Normal"/>
    <w:link w:val="TextonotapieCar"/>
    <w:uiPriority w:val="99"/>
    <w:semiHidden/>
    <w:unhideWhenUsed/>
    <w:qFormat/>
    <w:rsid w:val="00306F70"/>
    <w:pPr>
      <w:spacing w:after="0" w:line="240" w:lineRule="auto"/>
    </w:pPr>
    <w:rPr>
      <w:sz w:val="20"/>
      <w:szCs w:val="20"/>
    </w:rPr>
  </w:style>
  <w:style w:type="character" w:customStyle="1" w:styleId="TextonotapieCar">
    <w:name w:val="Texto nota pie Car"/>
    <w:aliases w:val="Ref. de nota al pie1 Car,f Car,Footnote Text Char Char Char Char Char Car,Footnote Text Char Char Char Char Car,Footnote Text Cha Car,Footnote reference Car,FA Fu Car,Footnote Text Char Char Char Car,FA Fußnotentext Car,Car3 Car"/>
    <w:basedOn w:val="Fuentedeprrafopredeter"/>
    <w:link w:val="Textonotapie"/>
    <w:uiPriority w:val="99"/>
    <w:semiHidden/>
    <w:qFormat/>
    <w:rsid w:val="00306F70"/>
    <w:rPr>
      <w:rFonts w:eastAsiaTheme="minorHAnsi" w:cstheme="minorBidi"/>
      <w:sz w:val="20"/>
      <w:szCs w:val="20"/>
    </w:rPr>
  </w:style>
  <w:style w:type="character" w:styleId="Refdenotaalpie">
    <w:name w:val="footnote reference"/>
    <w:aliases w:val="Texto de nota al pie,Footnotes refss,Appel note de bas de page,Footnote number,referencia nota al pie,BVI fnr,4_G,16 Point,Superscript 6 Point,Texto nota al pie,Footnote Reference Char3,Footnote Reference Char1 Char,ftref,Ref,julio,R"/>
    <w:basedOn w:val="Fuentedeprrafopredeter"/>
    <w:link w:val="4GChar"/>
    <w:uiPriority w:val="99"/>
    <w:unhideWhenUsed/>
    <w:qFormat/>
    <w:rsid w:val="00306F7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06F70"/>
    <w:pPr>
      <w:spacing w:after="0" w:line="240" w:lineRule="auto"/>
      <w:jc w:val="both"/>
    </w:pPr>
    <w:rPr>
      <w:rFonts w:eastAsia="Times New Roman"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90050">
      <w:bodyDiv w:val="1"/>
      <w:marLeft w:val="0"/>
      <w:marRight w:val="0"/>
      <w:marTop w:val="0"/>
      <w:marBottom w:val="0"/>
      <w:divBdr>
        <w:top w:val="none" w:sz="0" w:space="0" w:color="auto"/>
        <w:left w:val="none" w:sz="0" w:space="0" w:color="auto"/>
        <w:bottom w:val="none" w:sz="0" w:space="0" w:color="auto"/>
        <w:right w:val="none" w:sz="0" w:space="0" w:color="auto"/>
      </w:divBdr>
      <w:divsChild>
        <w:div w:id="900485840">
          <w:marLeft w:val="0"/>
          <w:marRight w:val="0"/>
          <w:marTop w:val="0"/>
          <w:marBottom w:val="0"/>
          <w:divBdr>
            <w:top w:val="none" w:sz="0" w:space="0" w:color="auto"/>
            <w:left w:val="none" w:sz="0" w:space="0" w:color="auto"/>
            <w:bottom w:val="none" w:sz="0" w:space="0" w:color="auto"/>
            <w:right w:val="none" w:sz="0" w:space="0" w:color="auto"/>
          </w:divBdr>
        </w:div>
      </w:divsChild>
    </w:div>
    <w:div w:id="783579254">
      <w:bodyDiv w:val="1"/>
      <w:marLeft w:val="0"/>
      <w:marRight w:val="0"/>
      <w:marTop w:val="0"/>
      <w:marBottom w:val="0"/>
      <w:divBdr>
        <w:top w:val="none" w:sz="0" w:space="0" w:color="auto"/>
        <w:left w:val="none" w:sz="0" w:space="0" w:color="auto"/>
        <w:bottom w:val="none" w:sz="0" w:space="0" w:color="auto"/>
        <w:right w:val="none" w:sz="0" w:space="0" w:color="auto"/>
      </w:divBdr>
    </w:div>
    <w:div w:id="901604511">
      <w:bodyDiv w:val="1"/>
      <w:marLeft w:val="0"/>
      <w:marRight w:val="0"/>
      <w:marTop w:val="0"/>
      <w:marBottom w:val="0"/>
      <w:divBdr>
        <w:top w:val="none" w:sz="0" w:space="0" w:color="auto"/>
        <w:left w:val="none" w:sz="0" w:space="0" w:color="auto"/>
        <w:bottom w:val="none" w:sz="0" w:space="0" w:color="auto"/>
        <w:right w:val="none" w:sz="0" w:space="0" w:color="auto"/>
      </w:divBdr>
    </w:div>
    <w:div w:id="1097949156">
      <w:bodyDiv w:val="1"/>
      <w:marLeft w:val="0"/>
      <w:marRight w:val="0"/>
      <w:marTop w:val="0"/>
      <w:marBottom w:val="0"/>
      <w:divBdr>
        <w:top w:val="none" w:sz="0" w:space="0" w:color="auto"/>
        <w:left w:val="none" w:sz="0" w:space="0" w:color="auto"/>
        <w:bottom w:val="none" w:sz="0" w:space="0" w:color="auto"/>
        <w:right w:val="none" w:sz="0" w:space="0" w:color="auto"/>
      </w:divBdr>
      <w:divsChild>
        <w:div w:id="852455745">
          <w:marLeft w:val="0"/>
          <w:marRight w:val="0"/>
          <w:marTop w:val="0"/>
          <w:marBottom w:val="0"/>
          <w:divBdr>
            <w:top w:val="none" w:sz="0" w:space="0" w:color="auto"/>
            <w:left w:val="none" w:sz="0" w:space="0" w:color="auto"/>
            <w:bottom w:val="none" w:sz="0" w:space="0" w:color="auto"/>
            <w:right w:val="none" w:sz="0" w:space="0" w:color="auto"/>
          </w:divBdr>
        </w:div>
        <w:div w:id="1669554838">
          <w:marLeft w:val="0"/>
          <w:marRight w:val="0"/>
          <w:marTop w:val="0"/>
          <w:marBottom w:val="0"/>
          <w:divBdr>
            <w:top w:val="none" w:sz="0" w:space="0" w:color="auto"/>
            <w:left w:val="none" w:sz="0" w:space="0" w:color="auto"/>
            <w:bottom w:val="none" w:sz="0" w:space="0" w:color="auto"/>
            <w:right w:val="none" w:sz="0" w:space="0" w:color="auto"/>
          </w:divBdr>
        </w:div>
        <w:div w:id="189924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oneSet">
  <a:themeElements>
    <a:clrScheme name="Bold Sunset">
      <a:dk1>
        <a:sysClr val="windowText" lastClr="000000"/>
      </a:dk1>
      <a:lt1>
        <a:sysClr val="window" lastClr="FFFFFF"/>
      </a:lt1>
      <a:dk2>
        <a:srgbClr val="000000"/>
      </a:dk2>
      <a:lt2>
        <a:srgbClr val="FFFFFF"/>
      </a:lt2>
      <a:accent1>
        <a:srgbClr val="582156"/>
      </a:accent1>
      <a:accent2>
        <a:srgbClr val="AA2170"/>
      </a:accent2>
      <a:accent3>
        <a:srgbClr val="EB4252"/>
      </a:accent3>
      <a:accent4>
        <a:srgbClr val="D7C92B"/>
      </a:accent4>
      <a:accent5>
        <a:srgbClr val="FFFFFF"/>
      </a:accent5>
      <a:accent6>
        <a:srgbClr val="FFFFFF"/>
      </a:accent6>
      <a:hlink>
        <a:srgbClr val="000000"/>
      </a:hlink>
      <a:folHlink>
        <a:srgbClr val="AA2170"/>
      </a:folHlink>
    </a:clrScheme>
    <a:fontScheme name="Posterama">
      <a:majorFont>
        <a:latin typeface="Posterama"/>
        <a:ea typeface=""/>
        <a:cs typeface=""/>
      </a:majorFont>
      <a:minorFont>
        <a:latin typeface="Postera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BE648-34EF-4ED7-AC7A-370218BC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485</Words>
  <Characters>2668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Cristina Guzman Hernandez</dc:creator>
  <cp:keywords/>
  <dc:description/>
  <cp:lastModifiedBy>Coordinación Técnica</cp:lastModifiedBy>
  <cp:revision>8</cp:revision>
  <cp:lastPrinted>2026-01-26T16:57:00Z</cp:lastPrinted>
  <dcterms:created xsi:type="dcterms:W3CDTF">2026-01-26T16:45:00Z</dcterms:created>
  <dcterms:modified xsi:type="dcterms:W3CDTF">2026-01-29T17:39:00Z</dcterms:modified>
</cp:coreProperties>
</file>