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1EF8B" w14:textId="4B339A1B" w:rsidR="00E5560D" w:rsidRPr="00E5560D" w:rsidRDefault="00E5560D" w:rsidP="00E5560D">
      <w:pPr>
        <w:rPr>
          <w:rFonts w:ascii="Arial" w:hAnsi="Arial" w:cs="Arial"/>
          <w:b/>
          <w:bCs/>
          <w:sz w:val="24"/>
          <w:szCs w:val="24"/>
        </w:rPr>
      </w:pPr>
      <w:r w:rsidRPr="00E5560D">
        <w:rPr>
          <w:rFonts w:ascii="Arial" w:hAnsi="Arial" w:cs="Arial"/>
          <w:b/>
          <w:bCs/>
          <w:sz w:val="24"/>
          <w:szCs w:val="24"/>
        </w:rPr>
        <w:t>ACUERDO QUE, A PROPUESTA DE LA COMISIÓN PERMANENTE DE SEGUIMIENTO AL SERVICIO PROFESIONAL ELECTORAL NACIONAL, EMITE EL CONSEJO ESTATAL DEL INSTITUTO ELECTORAL Y DE PARTICIPACIÓN CIUDADANA DE TABASCO, MEDIANTE EL CUAL APRUEBA EL PROGRAMA ANUAL DE TRABAJO PARA EL EJERCICIO 2026 DE LA PROPIA COMISIÓN</w:t>
      </w:r>
    </w:p>
    <w:p w14:paraId="2932CCDD" w14:textId="77777777" w:rsidR="00BB7BD3" w:rsidRPr="00684BE8" w:rsidRDefault="00BB7BD3" w:rsidP="00BB7BD3">
      <w:pPr>
        <w:rPr>
          <w:rFonts w:ascii="Arial" w:hAnsi="Arial" w:cs="Arial"/>
        </w:rPr>
      </w:pPr>
      <w:r w:rsidRPr="00684BE8">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404"/>
        <w:gridCol w:w="4944"/>
      </w:tblGrid>
      <w:tr w:rsidR="00BB7BD3" w:rsidRPr="00684BE8" w14:paraId="7940DF57" w14:textId="77777777" w:rsidTr="00EE0FC9">
        <w:trPr>
          <w:trHeight w:val="624"/>
          <w:jc w:val="center"/>
        </w:trPr>
        <w:tc>
          <w:tcPr>
            <w:tcW w:w="1636" w:type="pct"/>
            <w:vAlign w:val="center"/>
          </w:tcPr>
          <w:p w14:paraId="1CE9F3AF"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Comisión:</w:t>
            </w:r>
          </w:p>
        </w:tc>
        <w:tc>
          <w:tcPr>
            <w:tcW w:w="3364" w:type="pct"/>
            <w:vAlign w:val="center"/>
          </w:tcPr>
          <w:p w14:paraId="5636394B"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Comisión Permanente de Seguimiento al Servicio Profesional Electoral Nacional del Instituto Electoral y de Participación Ciudadana de Tabasco.</w:t>
            </w:r>
          </w:p>
        </w:tc>
      </w:tr>
      <w:tr w:rsidR="00BB7BD3" w:rsidRPr="00684BE8" w14:paraId="61A3CC02" w14:textId="77777777" w:rsidTr="00EE0FC9">
        <w:trPr>
          <w:trHeight w:val="624"/>
          <w:jc w:val="center"/>
        </w:trPr>
        <w:tc>
          <w:tcPr>
            <w:tcW w:w="1636" w:type="pct"/>
            <w:vAlign w:val="center"/>
          </w:tcPr>
          <w:p w14:paraId="48C4F86D"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Consejo Estatal:</w:t>
            </w:r>
          </w:p>
        </w:tc>
        <w:tc>
          <w:tcPr>
            <w:tcW w:w="3364" w:type="pct"/>
            <w:vAlign w:val="center"/>
          </w:tcPr>
          <w:p w14:paraId="477B561F"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Consejo Estatal del Instituto Electoral y de Participación Ciudadana de Tabasco.</w:t>
            </w:r>
          </w:p>
        </w:tc>
      </w:tr>
      <w:tr w:rsidR="00BB7BD3" w:rsidRPr="00684BE8" w14:paraId="4EDC9575" w14:textId="77777777" w:rsidTr="00EE0FC9">
        <w:trPr>
          <w:trHeight w:val="624"/>
          <w:jc w:val="center"/>
        </w:trPr>
        <w:tc>
          <w:tcPr>
            <w:tcW w:w="1636" w:type="pct"/>
            <w:vAlign w:val="center"/>
          </w:tcPr>
          <w:p w14:paraId="63D66661"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Constitución Federal:</w:t>
            </w:r>
          </w:p>
        </w:tc>
        <w:tc>
          <w:tcPr>
            <w:tcW w:w="3364" w:type="pct"/>
            <w:vAlign w:val="center"/>
          </w:tcPr>
          <w:p w14:paraId="33228888"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Constitución Política de los Estados Unidos Mexicanos.</w:t>
            </w:r>
          </w:p>
        </w:tc>
      </w:tr>
      <w:tr w:rsidR="00BB7BD3" w:rsidRPr="00684BE8" w14:paraId="6218FE98" w14:textId="77777777" w:rsidTr="00EE0FC9">
        <w:trPr>
          <w:trHeight w:val="624"/>
          <w:jc w:val="center"/>
        </w:trPr>
        <w:tc>
          <w:tcPr>
            <w:tcW w:w="1636" w:type="pct"/>
            <w:vAlign w:val="center"/>
          </w:tcPr>
          <w:p w14:paraId="7F5E915A"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Constitución Local:</w:t>
            </w:r>
          </w:p>
        </w:tc>
        <w:tc>
          <w:tcPr>
            <w:tcW w:w="3364" w:type="pct"/>
            <w:vAlign w:val="center"/>
          </w:tcPr>
          <w:p w14:paraId="69FB2074"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Constitución Política del Estado Libre y Soberano de Tabasco.</w:t>
            </w:r>
          </w:p>
        </w:tc>
      </w:tr>
      <w:tr w:rsidR="00BB7BD3" w:rsidRPr="00684BE8" w14:paraId="341F5D42" w14:textId="77777777" w:rsidTr="00EE0FC9">
        <w:trPr>
          <w:trHeight w:val="624"/>
          <w:jc w:val="center"/>
        </w:trPr>
        <w:tc>
          <w:tcPr>
            <w:tcW w:w="1636" w:type="pct"/>
            <w:vAlign w:val="center"/>
          </w:tcPr>
          <w:p w14:paraId="73EC021B"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Instituto:</w:t>
            </w:r>
          </w:p>
        </w:tc>
        <w:tc>
          <w:tcPr>
            <w:tcW w:w="3364" w:type="pct"/>
          </w:tcPr>
          <w:p w14:paraId="4019AD6F"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Instituto Electoral y de Participación Ciudadana de Tabasco.</w:t>
            </w:r>
          </w:p>
        </w:tc>
      </w:tr>
      <w:tr w:rsidR="00BB7BD3" w:rsidRPr="00684BE8" w14:paraId="63228B51" w14:textId="77777777" w:rsidTr="00EE0FC9">
        <w:trPr>
          <w:trHeight w:val="624"/>
          <w:jc w:val="center"/>
        </w:trPr>
        <w:tc>
          <w:tcPr>
            <w:tcW w:w="1636" w:type="pct"/>
            <w:vAlign w:val="center"/>
          </w:tcPr>
          <w:p w14:paraId="32496FF7"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Ley Electoral:</w:t>
            </w:r>
          </w:p>
        </w:tc>
        <w:tc>
          <w:tcPr>
            <w:tcW w:w="3364" w:type="pct"/>
            <w:vAlign w:val="center"/>
          </w:tcPr>
          <w:p w14:paraId="4659190B"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Ley Electoral y de Partidos Políticos del Estado de Tabasco.</w:t>
            </w:r>
          </w:p>
        </w:tc>
      </w:tr>
      <w:tr w:rsidR="00BB7BD3" w:rsidRPr="00684BE8" w14:paraId="5BA78A07" w14:textId="77777777" w:rsidTr="00EE0FC9">
        <w:trPr>
          <w:trHeight w:val="624"/>
          <w:jc w:val="center"/>
        </w:trPr>
        <w:tc>
          <w:tcPr>
            <w:tcW w:w="1636" w:type="pct"/>
            <w:vAlign w:val="center"/>
          </w:tcPr>
          <w:p w14:paraId="3F4797D7"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Ley General:</w:t>
            </w:r>
          </w:p>
        </w:tc>
        <w:tc>
          <w:tcPr>
            <w:tcW w:w="3364" w:type="pct"/>
            <w:vAlign w:val="center"/>
          </w:tcPr>
          <w:p w14:paraId="3898DEC9"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Ley General de Instituciones y Procedimientos Electorales.</w:t>
            </w:r>
          </w:p>
        </w:tc>
      </w:tr>
      <w:tr w:rsidR="00BB7BD3" w:rsidRPr="00684BE8" w14:paraId="3F041D87" w14:textId="77777777" w:rsidTr="00EE0FC9">
        <w:trPr>
          <w:trHeight w:val="624"/>
          <w:jc w:val="center"/>
        </w:trPr>
        <w:tc>
          <w:tcPr>
            <w:tcW w:w="1636" w:type="pct"/>
            <w:vAlign w:val="center"/>
          </w:tcPr>
          <w:p w14:paraId="4567138C"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Organismo electoral:</w:t>
            </w:r>
          </w:p>
        </w:tc>
        <w:tc>
          <w:tcPr>
            <w:tcW w:w="3364" w:type="pct"/>
            <w:vAlign w:val="center"/>
          </w:tcPr>
          <w:p w14:paraId="1E65B602" w14:textId="2528EA04"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 xml:space="preserve">Organismo(s) </w:t>
            </w:r>
            <w:r w:rsidR="000577F5" w:rsidRPr="00BF269B">
              <w:rPr>
                <w:rFonts w:ascii="Arial" w:hAnsi="Arial" w:cs="Arial"/>
                <w:sz w:val="20"/>
                <w:szCs w:val="20"/>
              </w:rPr>
              <w:t>P</w:t>
            </w:r>
            <w:r w:rsidRPr="00BF269B">
              <w:rPr>
                <w:rFonts w:ascii="Arial" w:hAnsi="Arial" w:cs="Arial"/>
                <w:sz w:val="20"/>
                <w:szCs w:val="20"/>
              </w:rPr>
              <w:t xml:space="preserve">úblico(s) </w:t>
            </w:r>
            <w:r w:rsidR="000577F5" w:rsidRPr="00BF269B">
              <w:rPr>
                <w:rFonts w:ascii="Arial" w:hAnsi="Arial" w:cs="Arial"/>
                <w:sz w:val="20"/>
                <w:szCs w:val="20"/>
              </w:rPr>
              <w:t>L</w:t>
            </w:r>
            <w:r w:rsidRPr="00BF269B">
              <w:rPr>
                <w:rFonts w:ascii="Arial" w:hAnsi="Arial" w:cs="Arial"/>
                <w:sz w:val="20"/>
                <w:szCs w:val="20"/>
              </w:rPr>
              <w:t xml:space="preserve">ocal(es) </w:t>
            </w:r>
            <w:r w:rsidR="000577F5" w:rsidRPr="00BF269B">
              <w:rPr>
                <w:rFonts w:ascii="Arial" w:hAnsi="Arial" w:cs="Arial"/>
                <w:sz w:val="20"/>
                <w:szCs w:val="20"/>
              </w:rPr>
              <w:t>E</w:t>
            </w:r>
            <w:r w:rsidRPr="00BF269B">
              <w:rPr>
                <w:rFonts w:ascii="Arial" w:hAnsi="Arial" w:cs="Arial"/>
                <w:sz w:val="20"/>
                <w:szCs w:val="20"/>
              </w:rPr>
              <w:t xml:space="preserve">lectoral(es). </w:t>
            </w:r>
          </w:p>
        </w:tc>
      </w:tr>
      <w:tr w:rsidR="00BB7BD3" w:rsidRPr="00684BE8" w14:paraId="790D8791" w14:textId="77777777" w:rsidTr="00EE0FC9">
        <w:trPr>
          <w:trHeight w:val="624"/>
          <w:jc w:val="center"/>
        </w:trPr>
        <w:tc>
          <w:tcPr>
            <w:tcW w:w="1636" w:type="pct"/>
            <w:vAlign w:val="center"/>
          </w:tcPr>
          <w:p w14:paraId="3FB050D5"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Reglamento de Comisiones:</w:t>
            </w:r>
          </w:p>
        </w:tc>
        <w:tc>
          <w:tcPr>
            <w:tcW w:w="3364" w:type="pct"/>
            <w:vAlign w:val="center"/>
          </w:tcPr>
          <w:p w14:paraId="6A19C0FD"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Reglamento de Comisiones del Consejo Estatal del Instituto Electoral y de Participación Ciudadana de Tabasco.</w:t>
            </w:r>
          </w:p>
        </w:tc>
      </w:tr>
      <w:tr w:rsidR="00BB7BD3" w:rsidRPr="00684BE8" w14:paraId="01D5A891" w14:textId="77777777" w:rsidTr="00EE0FC9">
        <w:trPr>
          <w:trHeight w:val="624"/>
          <w:jc w:val="center"/>
        </w:trPr>
        <w:tc>
          <w:tcPr>
            <w:tcW w:w="1636" w:type="pct"/>
            <w:vAlign w:val="center"/>
          </w:tcPr>
          <w:p w14:paraId="1716C7D4"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Secretaría Ejecutiva:</w:t>
            </w:r>
          </w:p>
        </w:tc>
        <w:tc>
          <w:tcPr>
            <w:tcW w:w="3364" w:type="pct"/>
            <w:vAlign w:val="center"/>
          </w:tcPr>
          <w:p w14:paraId="5FFCD71F"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Secretaría Ejecutiva del Instituto Electoral y de Participación Ciudadana de Tabasco.</w:t>
            </w:r>
          </w:p>
        </w:tc>
      </w:tr>
      <w:tr w:rsidR="00BB7BD3" w:rsidRPr="00684BE8" w14:paraId="77B41C51" w14:textId="77777777" w:rsidTr="00EE0FC9">
        <w:trPr>
          <w:trHeight w:val="624"/>
          <w:jc w:val="center"/>
        </w:trPr>
        <w:tc>
          <w:tcPr>
            <w:tcW w:w="1636" w:type="pct"/>
            <w:vAlign w:val="center"/>
          </w:tcPr>
          <w:p w14:paraId="7CB07027" w14:textId="77777777" w:rsidR="00BB7BD3" w:rsidRPr="00BF269B" w:rsidRDefault="00BB7BD3" w:rsidP="00D530F4">
            <w:pPr>
              <w:spacing w:before="80" w:after="80"/>
              <w:jc w:val="right"/>
              <w:rPr>
                <w:rFonts w:ascii="Arial" w:hAnsi="Arial" w:cs="Arial"/>
                <w:b/>
                <w:sz w:val="20"/>
                <w:szCs w:val="20"/>
              </w:rPr>
            </w:pPr>
            <w:r w:rsidRPr="00BF269B">
              <w:rPr>
                <w:rFonts w:ascii="Arial" w:hAnsi="Arial" w:cs="Arial"/>
                <w:b/>
                <w:sz w:val="20"/>
                <w:szCs w:val="20"/>
              </w:rPr>
              <w:t>Servicio Profesional:</w:t>
            </w:r>
          </w:p>
        </w:tc>
        <w:tc>
          <w:tcPr>
            <w:tcW w:w="3364" w:type="pct"/>
            <w:vAlign w:val="center"/>
          </w:tcPr>
          <w:p w14:paraId="17CB9231" w14:textId="77777777" w:rsidR="00BB7BD3" w:rsidRPr="00BF269B" w:rsidRDefault="00BB7BD3" w:rsidP="00D530F4">
            <w:pPr>
              <w:spacing w:before="80" w:after="80"/>
              <w:ind w:left="113" w:right="113"/>
              <w:rPr>
                <w:rFonts w:ascii="Arial" w:hAnsi="Arial" w:cs="Arial"/>
                <w:sz w:val="20"/>
                <w:szCs w:val="20"/>
              </w:rPr>
            </w:pPr>
            <w:r w:rsidRPr="00BF269B">
              <w:rPr>
                <w:rFonts w:ascii="Arial" w:hAnsi="Arial" w:cs="Arial"/>
                <w:sz w:val="20"/>
                <w:szCs w:val="20"/>
              </w:rPr>
              <w:t>Servicio Profesional Electoral Nacional del Instituto Electoral y de Participación Ciudadana de Tabasco.</w:t>
            </w:r>
          </w:p>
        </w:tc>
      </w:tr>
    </w:tbl>
    <w:p w14:paraId="53AF4A4F" w14:textId="77777777" w:rsidR="00BB7BD3" w:rsidRPr="00684BE8" w:rsidRDefault="00BB7BD3" w:rsidP="006F2A3C">
      <w:pPr>
        <w:pStyle w:val="Ttulo1"/>
        <w:rPr>
          <w:rFonts w:ascii="Arial" w:hAnsi="Arial" w:cs="Arial"/>
          <w:sz w:val="24"/>
          <w:szCs w:val="24"/>
        </w:rPr>
      </w:pPr>
      <w:r w:rsidRPr="00684BE8">
        <w:rPr>
          <w:rFonts w:ascii="Arial" w:hAnsi="Arial" w:cs="Arial"/>
          <w:sz w:val="24"/>
          <w:szCs w:val="24"/>
        </w:rPr>
        <w:lastRenderedPageBreak/>
        <w:t>Antecedentes</w:t>
      </w:r>
    </w:p>
    <w:p w14:paraId="06C28E59" w14:textId="77777777" w:rsidR="00BB7BD3" w:rsidRPr="00684BE8" w:rsidRDefault="00BB7BD3" w:rsidP="00BB7BD3">
      <w:pPr>
        <w:pStyle w:val="Ttulo2"/>
        <w:rPr>
          <w:rFonts w:ascii="Arial" w:hAnsi="Arial" w:cs="Arial"/>
          <w:sz w:val="22"/>
        </w:rPr>
      </w:pPr>
      <w:r w:rsidRPr="00684BE8">
        <w:rPr>
          <w:rFonts w:ascii="Arial" w:hAnsi="Arial" w:cs="Arial"/>
          <w:sz w:val="22"/>
        </w:rPr>
        <w:t>Fines del Instituto</w:t>
      </w:r>
    </w:p>
    <w:p w14:paraId="7E020389" w14:textId="77777777" w:rsidR="00A5222D" w:rsidRPr="00A5222D" w:rsidRDefault="00A5222D" w:rsidP="00A5222D">
      <w:pPr>
        <w:rPr>
          <w:rFonts w:ascii="Arial" w:hAnsi="Arial" w:cs="Arial"/>
        </w:rPr>
      </w:pPr>
      <w:r w:rsidRPr="00A5222D">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E4E9130" w14:textId="77777777" w:rsidR="00A5222D" w:rsidRPr="00A5222D" w:rsidRDefault="00A5222D" w:rsidP="00A5222D">
      <w:pPr>
        <w:rPr>
          <w:rFonts w:ascii="Arial" w:hAnsi="Arial" w:cs="Arial"/>
        </w:rPr>
      </w:pPr>
      <w:r w:rsidRPr="00A5222D">
        <w:rPr>
          <w:rFonts w:ascii="Arial" w:hAnsi="Arial" w:cs="Arial"/>
        </w:rPr>
        <w:t xml:space="preserve">Además, es responsable de la organización de las elecciones estatales, distritales y municipales, entre ellas la relativa a las personas titulares de las magistraturas del Tribunal de Disciplina Judicial y del Tribunal Superior de Justicia, así como de las Juezas y Jueces. </w:t>
      </w:r>
    </w:p>
    <w:p w14:paraId="01825D05" w14:textId="731AF75D" w:rsidR="00A060EB" w:rsidRPr="00684BE8" w:rsidRDefault="00A5222D" w:rsidP="00A5222D">
      <w:pPr>
        <w:rPr>
          <w:rFonts w:ascii="Arial" w:hAnsi="Arial" w:cs="Arial"/>
        </w:rPr>
      </w:pPr>
      <w:r w:rsidRPr="00A5222D">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r w:rsidR="00A060EB" w:rsidRPr="00684BE8">
        <w:rPr>
          <w:rFonts w:ascii="Arial" w:hAnsi="Arial" w:cs="Arial"/>
        </w:rPr>
        <w:t>.</w:t>
      </w:r>
    </w:p>
    <w:p w14:paraId="01373A93" w14:textId="77777777" w:rsidR="00BB7BD3" w:rsidRPr="00684BE8" w:rsidRDefault="00BB7BD3" w:rsidP="00BB7BD3">
      <w:pPr>
        <w:pStyle w:val="Ttulo2"/>
        <w:rPr>
          <w:rFonts w:ascii="Arial" w:hAnsi="Arial" w:cs="Arial"/>
          <w:sz w:val="22"/>
        </w:rPr>
      </w:pPr>
      <w:r w:rsidRPr="00684BE8">
        <w:rPr>
          <w:rFonts w:ascii="Arial" w:hAnsi="Arial" w:cs="Arial"/>
          <w:sz w:val="22"/>
        </w:rPr>
        <w:t>Integración del órgano superior de dirección</w:t>
      </w:r>
    </w:p>
    <w:p w14:paraId="40553F3B" w14:textId="77777777" w:rsidR="00A5222D" w:rsidRPr="00F42EF6" w:rsidRDefault="00A5222D" w:rsidP="00A5222D">
      <w:pPr>
        <w:rPr>
          <w:rFonts w:ascii="Arial" w:hAnsi="Arial" w:cs="Arial"/>
        </w:rPr>
      </w:pPr>
      <w:r w:rsidRPr="00F42EF6">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1C57CAC7" w14:textId="1078B660" w:rsidR="00BB7BD3" w:rsidRDefault="00A5222D" w:rsidP="00A5222D">
      <w:pPr>
        <w:rPr>
          <w:rFonts w:ascii="Arial" w:hAnsi="Arial" w:cs="Arial"/>
        </w:rPr>
      </w:pPr>
      <w:r w:rsidRPr="00F42EF6">
        <w:rPr>
          <w:rFonts w:ascii="Arial" w:hAnsi="Arial" w:cs="Arial"/>
        </w:rPr>
        <w:t>Dicho órgano electoral, de conformidad con los artículos 99</w:t>
      </w:r>
      <w:r>
        <w:rPr>
          <w:rFonts w:ascii="Arial" w:hAnsi="Arial" w:cs="Arial"/>
        </w:rPr>
        <w:t>,</w:t>
      </w:r>
      <w:r w:rsidRPr="00F42EF6">
        <w:rPr>
          <w:rFonts w:ascii="Arial" w:hAnsi="Arial" w:cs="Arial"/>
        </w:rPr>
        <w:t xml:space="preserve"> numeral 1 de la Ley General y 107 numeral 1 de la Ley Electoral, se integrará por una </w:t>
      </w:r>
      <w:proofErr w:type="gramStart"/>
      <w:r w:rsidRPr="00F42EF6">
        <w:rPr>
          <w:rFonts w:ascii="Arial" w:hAnsi="Arial" w:cs="Arial"/>
        </w:rPr>
        <w:t>Consejera</w:t>
      </w:r>
      <w:proofErr w:type="gramEnd"/>
      <w:r w:rsidRPr="00F42EF6">
        <w:rPr>
          <w:rFonts w:ascii="Arial" w:hAnsi="Arial" w:cs="Arial"/>
        </w:rPr>
        <w:t xml:space="preserve"> o un </w:t>
      </w:r>
      <w:proofErr w:type="gramStart"/>
      <w:r w:rsidRPr="00F42EF6">
        <w:rPr>
          <w:rFonts w:ascii="Arial" w:hAnsi="Arial" w:cs="Arial"/>
        </w:rPr>
        <w:t>Consejero Presidente</w:t>
      </w:r>
      <w:proofErr w:type="gramEnd"/>
      <w:r w:rsidRPr="00F42EF6">
        <w:rPr>
          <w:rFonts w:ascii="Arial" w:hAnsi="Arial" w:cs="Arial"/>
        </w:rPr>
        <w:t xml:space="preserve"> y seis consejeras y consejeros electorales, con voz y voto; la </w:t>
      </w:r>
      <w:proofErr w:type="gramStart"/>
      <w:r w:rsidRPr="00F42EF6">
        <w:rPr>
          <w:rFonts w:ascii="Arial" w:hAnsi="Arial" w:cs="Arial"/>
        </w:rPr>
        <w:t>Secretaria</w:t>
      </w:r>
      <w:proofErr w:type="gramEnd"/>
      <w:r w:rsidRPr="00F42EF6">
        <w:rPr>
          <w:rFonts w:ascii="Arial" w:hAnsi="Arial" w:cs="Arial"/>
        </w:rPr>
        <w:t xml:space="preserve"> o el </w:t>
      </w:r>
      <w:proofErr w:type="gramStart"/>
      <w:r w:rsidRPr="00F42EF6">
        <w:rPr>
          <w:rFonts w:ascii="Arial" w:hAnsi="Arial" w:cs="Arial"/>
        </w:rPr>
        <w:lastRenderedPageBreak/>
        <w:t>Secretario Ejecutivo</w:t>
      </w:r>
      <w:proofErr w:type="gramEnd"/>
      <w:r w:rsidRPr="00F42EF6">
        <w:rPr>
          <w:rFonts w:ascii="Arial" w:hAnsi="Arial" w:cs="Arial"/>
        </w:rPr>
        <w:t xml:space="preserve"> y una o un representante por cada partido político con registro nacional o estatal, quienes concurrirán a las sesiones sólo con derecho a voz</w:t>
      </w:r>
      <w:r w:rsidR="00BB7BD3" w:rsidRPr="00684BE8">
        <w:rPr>
          <w:rFonts w:ascii="Arial" w:hAnsi="Arial" w:cs="Arial"/>
        </w:rPr>
        <w:t>.</w:t>
      </w:r>
    </w:p>
    <w:p w14:paraId="6F0A07B1" w14:textId="77777777" w:rsidR="00B40188" w:rsidRPr="00326270" w:rsidRDefault="00B40188" w:rsidP="00B40188">
      <w:pPr>
        <w:rPr>
          <w:rFonts w:ascii="Arial" w:hAnsi="Arial" w:cs="Arial"/>
        </w:rPr>
      </w:pPr>
      <w:r w:rsidRPr="004D221F">
        <w:rPr>
          <w:rFonts w:ascii="Arial" w:hAnsi="Arial" w:cs="Arial"/>
        </w:rPr>
        <w:t>No obstante, de acuerdo con el artículo segundo transitorio del decreto 080 de reforma publicado en el Periódico Oficial del Estado de Tabasco el 16 de diciembre de 2024, se estableció que las y los representantes de los partidos políticos ante el Consejo Estatal no podrán participar en las acciones, activid</w:t>
      </w:r>
      <w:r w:rsidRPr="00326270">
        <w:rPr>
          <w:rFonts w:ascii="Arial" w:hAnsi="Arial" w:cs="Arial"/>
        </w:rPr>
        <w:t xml:space="preserve">ades y sesiones relacionadas con el Proceso </w:t>
      </w:r>
      <w:r w:rsidRPr="00BC219C">
        <w:rPr>
          <w:rFonts w:ascii="Arial" w:hAnsi="Arial" w:cs="Arial"/>
        </w:rPr>
        <w:t xml:space="preserve">Electoral </w:t>
      </w:r>
      <w:r w:rsidRPr="00FF6E88">
        <w:rPr>
          <w:rFonts w:ascii="Arial" w:hAnsi="Arial" w:cs="Arial"/>
          <w:color w:val="000000" w:themeColor="text1"/>
        </w:rPr>
        <w:t>para personas juzgadoras del Poder Judicial</w:t>
      </w:r>
      <w:r w:rsidRPr="00BC219C">
        <w:rPr>
          <w:rFonts w:ascii="Arial" w:hAnsi="Arial" w:cs="Arial"/>
        </w:rPr>
        <w:t>.</w:t>
      </w:r>
    </w:p>
    <w:p w14:paraId="6F0AF195" w14:textId="77777777" w:rsidR="00BB7BD3" w:rsidRPr="00684BE8" w:rsidRDefault="00BB7BD3" w:rsidP="00BB7BD3">
      <w:pPr>
        <w:pStyle w:val="Ttulo2"/>
        <w:rPr>
          <w:rFonts w:ascii="Arial" w:hAnsi="Arial" w:cs="Arial"/>
          <w:sz w:val="22"/>
        </w:rPr>
      </w:pPr>
      <w:r w:rsidRPr="00684BE8">
        <w:rPr>
          <w:rFonts w:ascii="Arial" w:hAnsi="Arial" w:cs="Arial"/>
          <w:sz w:val="22"/>
        </w:rPr>
        <w:t>Integración de la Comisión</w:t>
      </w:r>
    </w:p>
    <w:p w14:paraId="1B82884F" w14:textId="315C941A" w:rsidR="00EE161C" w:rsidRPr="00684BE8" w:rsidRDefault="00BB7BD3" w:rsidP="00BB7BD3">
      <w:pPr>
        <w:rPr>
          <w:rFonts w:ascii="Arial" w:hAnsi="Arial" w:cs="Arial"/>
        </w:rPr>
      </w:pPr>
      <w:r w:rsidRPr="00684BE8">
        <w:rPr>
          <w:rFonts w:ascii="Arial" w:hAnsi="Arial" w:cs="Arial"/>
        </w:rPr>
        <w:t xml:space="preserve">El 4 de octubre de 2024, mediante acuerdo CE/2024/090, el Consejo Estatal modificó la conformación de las Comisiones Permanentes, entre ellas la relativa a la de </w:t>
      </w:r>
      <w:r w:rsidR="00821992" w:rsidRPr="00684BE8">
        <w:rPr>
          <w:rFonts w:ascii="Arial" w:hAnsi="Arial" w:cs="Arial"/>
        </w:rPr>
        <w:t>Seguimiento al Servicio Profesional Electoral Nacional</w:t>
      </w:r>
      <w:r w:rsidR="00CA5DC7" w:rsidRPr="00684BE8">
        <w:rPr>
          <w:rFonts w:ascii="Arial" w:hAnsi="Arial" w:cs="Arial"/>
        </w:rPr>
        <w:t xml:space="preserve">, quedando integrada por las </w:t>
      </w:r>
      <w:proofErr w:type="gramStart"/>
      <w:r w:rsidR="00CA5DC7" w:rsidRPr="00684BE8">
        <w:rPr>
          <w:rFonts w:ascii="Arial" w:hAnsi="Arial" w:cs="Arial"/>
        </w:rPr>
        <w:t>Consejeras</w:t>
      </w:r>
      <w:proofErr w:type="gramEnd"/>
      <w:r w:rsidR="00CA5DC7" w:rsidRPr="00684BE8">
        <w:rPr>
          <w:rFonts w:ascii="Arial" w:hAnsi="Arial" w:cs="Arial"/>
        </w:rPr>
        <w:t xml:space="preserve"> Electorales de la siguiente manera: Licda. María Elvia Magaña </w:t>
      </w:r>
      <w:proofErr w:type="gramStart"/>
      <w:r w:rsidR="00CA5DC7" w:rsidRPr="00684BE8">
        <w:rPr>
          <w:rFonts w:ascii="Arial" w:hAnsi="Arial" w:cs="Arial"/>
        </w:rPr>
        <w:t>Sandoval,  Licda.</w:t>
      </w:r>
      <w:proofErr w:type="gramEnd"/>
      <w:r w:rsidR="00CA5DC7" w:rsidRPr="00684BE8">
        <w:rPr>
          <w:rFonts w:ascii="Arial" w:hAnsi="Arial" w:cs="Arial"/>
        </w:rPr>
        <w:t xml:space="preserve"> Ángela Guadalupe Araujo Segura, y Licda. Monserrat Martínez Beaurregard</w:t>
      </w:r>
    </w:p>
    <w:p w14:paraId="4584274D" w14:textId="04E6CAD1" w:rsidR="00BB7BD3" w:rsidRPr="00684BE8" w:rsidRDefault="00BB7BD3" w:rsidP="00EE161C">
      <w:pPr>
        <w:pStyle w:val="Ttulo2"/>
        <w:rPr>
          <w:rFonts w:ascii="Arial" w:hAnsi="Arial" w:cs="Arial"/>
          <w:sz w:val="22"/>
        </w:rPr>
      </w:pPr>
      <w:r w:rsidRPr="00684BE8">
        <w:rPr>
          <w:rFonts w:ascii="Arial" w:hAnsi="Arial" w:cs="Arial"/>
          <w:sz w:val="22"/>
        </w:rPr>
        <w:t xml:space="preserve"> R</w:t>
      </w:r>
      <w:r w:rsidR="002022BF">
        <w:rPr>
          <w:rFonts w:ascii="Arial" w:hAnsi="Arial" w:cs="Arial"/>
          <w:sz w:val="22"/>
        </w:rPr>
        <w:t>otación</w:t>
      </w:r>
      <w:r w:rsidRPr="00684BE8">
        <w:rPr>
          <w:rFonts w:ascii="Arial" w:hAnsi="Arial" w:cs="Arial"/>
          <w:sz w:val="22"/>
        </w:rPr>
        <w:t xml:space="preserve"> de las Presidencias de Comisiones</w:t>
      </w:r>
    </w:p>
    <w:p w14:paraId="79E494E1" w14:textId="15E3E83D" w:rsidR="00BB7BD3" w:rsidRPr="00684BE8" w:rsidRDefault="00EE161C" w:rsidP="00BB7BD3">
      <w:pPr>
        <w:rPr>
          <w:rFonts w:ascii="Arial" w:hAnsi="Arial" w:cs="Arial"/>
        </w:rPr>
      </w:pPr>
      <w:r w:rsidRPr="00684BE8">
        <w:rPr>
          <w:rFonts w:ascii="Arial" w:hAnsi="Arial" w:cs="Arial"/>
        </w:rPr>
        <w:t>Posteriormente e</w:t>
      </w:r>
      <w:r w:rsidR="00BB7BD3" w:rsidRPr="00684BE8">
        <w:rPr>
          <w:rFonts w:ascii="Arial" w:hAnsi="Arial" w:cs="Arial"/>
        </w:rPr>
        <w:t xml:space="preserve">l </w:t>
      </w:r>
      <w:r w:rsidRPr="00684BE8">
        <w:rPr>
          <w:rFonts w:ascii="Arial" w:hAnsi="Arial" w:cs="Arial"/>
        </w:rPr>
        <w:t>8</w:t>
      </w:r>
      <w:r w:rsidR="00BB7BD3" w:rsidRPr="00684BE8">
        <w:rPr>
          <w:rFonts w:ascii="Arial" w:hAnsi="Arial" w:cs="Arial"/>
        </w:rPr>
        <w:t xml:space="preserve"> de octubre de 202</w:t>
      </w:r>
      <w:r w:rsidRPr="00684BE8">
        <w:rPr>
          <w:rFonts w:ascii="Arial" w:hAnsi="Arial" w:cs="Arial"/>
        </w:rPr>
        <w:t>5</w:t>
      </w:r>
      <w:r w:rsidR="00BB7BD3" w:rsidRPr="00684BE8">
        <w:rPr>
          <w:rFonts w:ascii="Arial" w:hAnsi="Arial" w:cs="Arial"/>
        </w:rPr>
        <w:t>, el Consejo Estatal, mediante acuerdo CE/202</w:t>
      </w:r>
      <w:r w:rsidRPr="00684BE8">
        <w:rPr>
          <w:rFonts w:ascii="Arial" w:hAnsi="Arial" w:cs="Arial"/>
        </w:rPr>
        <w:t>5</w:t>
      </w:r>
      <w:r w:rsidR="00BB7BD3" w:rsidRPr="00684BE8">
        <w:rPr>
          <w:rFonts w:ascii="Arial" w:hAnsi="Arial" w:cs="Arial"/>
        </w:rPr>
        <w:t>/0</w:t>
      </w:r>
      <w:r w:rsidRPr="00684BE8">
        <w:rPr>
          <w:rFonts w:ascii="Arial" w:hAnsi="Arial" w:cs="Arial"/>
        </w:rPr>
        <w:t>87</w:t>
      </w:r>
      <w:r w:rsidR="00BB7BD3" w:rsidRPr="00684BE8">
        <w:rPr>
          <w:rFonts w:ascii="Arial" w:hAnsi="Arial" w:cs="Arial"/>
        </w:rPr>
        <w:t xml:space="preserve"> ratificó a las </w:t>
      </w:r>
      <w:proofErr w:type="gramStart"/>
      <w:r w:rsidR="00BB7BD3" w:rsidRPr="00684BE8">
        <w:rPr>
          <w:rFonts w:ascii="Arial" w:hAnsi="Arial" w:cs="Arial"/>
        </w:rPr>
        <w:t>Consejeras</w:t>
      </w:r>
      <w:proofErr w:type="gramEnd"/>
      <w:r w:rsidR="00BB7BD3" w:rsidRPr="00684BE8">
        <w:rPr>
          <w:rFonts w:ascii="Arial" w:hAnsi="Arial" w:cs="Arial"/>
        </w:rPr>
        <w:t xml:space="preserve"> y </w:t>
      </w:r>
      <w:proofErr w:type="gramStart"/>
      <w:r w:rsidR="00BB7BD3" w:rsidRPr="00684BE8">
        <w:rPr>
          <w:rFonts w:ascii="Arial" w:hAnsi="Arial" w:cs="Arial"/>
        </w:rPr>
        <w:t>Consejeros</w:t>
      </w:r>
      <w:proofErr w:type="gramEnd"/>
      <w:r w:rsidR="00BB7BD3" w:rsidRPr="00684BE8">
        <w:rPr>
          <w:rFonts w:ascii="Arial" w:hAnsi="Arial" w:cs="Arial"/>
        </w:rPr>
        <w:t xml:space="preserve"> Electorales que asumieron las Presidencias de las Comisiones</w:t>
      </w:r>
      <w:r w:rsidR="00A5222D" w:rsidRPr="00A5222D">
        <w:rPr>
          <w:rFonts w:ascii="Arial" w:hAnsi="Arial" w:cs="Arial"/>
        </w:rPr>
        <w:t xml:space="preserve"> </w:t>
      </w:r>
      <w:r w:rsidR="00A5222D">
        <w:rPr>
          <w:rFonts w:ascii="Arial" w:hAnsi="Arial" w:cs="Arial"/>
        </w:rPr>
        <w:t xml:space="preserve">con motivo de la rotación de </w:t>
      </w:r>
      <w:proofErr w:type="gramStart"/>
      <w:r w:rsidR="00A5222D">
        <w:rPr>
          <w:rFonts w:ascii="Arial" w:hAnsi="Arial" w:cs="Arial"/>
        </w:rPr>
        <w:t>las mismas</w:t>
      </w:r>
      <w:proofErr w:type="gramEnd"/>
      <w:r w:rsidR="00A5222D" w:rsidRPr="00F42EF6">
        <w:rPr>
          <w:rFonts w:ascii="Arial" w:hAnsi="Arial" w:cs="Arial"/>
        </w:rPr>
        <w:t xml:space="preserve">, </w:t>
      </w:r>
      <w:r w:rsidR="00A5222D">
        <w:rPr>
          <w:rFonts w:ascii="Arial" w:hAnsi="Arial" w:cs="Arial"/>
        </w:rPr>
        <w:t>incluida la</w:t>
      </w:r>
      <w:r w:rsidR="00CA5DC7" w:rsidRPr="00684BE8">
        <w:rPr>
          <w:rFonts w:ascii="Arial" w:hAnsi="Arial" w:cs="Arial"/>
        </w:rPr>
        <w:t xml:space="preserve"> </w:t>
      </w:r>
      <w:r w:rsidRPr="00684BE8">
        <w:rPr>
          <w:rStyle w:val="Textoennegrita"/>
          <w:rFonts w:ascii="Arial" w:hAnsi="Arial" w:cs="Arial"/>
          <w:b w:val="0"/>
          <w:bCs w:val="0"/>
        </w:rPr>
        <w:t>Comisión de Seguimiento al Servicio Profesional Electoral Nacional</w:t>
      </w:r>
      <w:r w:rsidRPr="00684BE8">
        <w:rPr>
          <w:rFonts w:ascii="Arial" w:hAnsi="Arial" w:cs="Arial"/>
          <w:b/>
          <w:bCs/>
        </w:rPr>
        <w:t xml:space="preserve">, </w:t>
      </w:r>
      <w:r w:rsidR="00A5222D">
        <w:rPr>
          <w:rFonts w:ascii="Arial" w:hAnsi="Arial" w:cs="Arial"/>
        </w:rPr>
        <w:t xml:space="preserve">la cual quedó presidida por </w:t>
      </w:r>
      <w:r w:rsidR="00A5222D" w:rsidRPr="00F42EF6">
        <w:rPr>
          <w:rFonts w:ascii="Arial" w:hAnsi="Arial" w:cs="Arial"/>
        </w:rPr>
        <w:t xml:space="preserve">la </w:t>
      </w:r>
      <w:proofErr w:type="gramStart"/>
      <w:r w:rsidR="00CA5DC7" w:rsidRPr="00684BE8">
        <w:rPr>
          <w:rFonts w:ascii="Arial" w:hAnsi="Arial" w:cs="Arial"/>
        </w:rPr>
        <w:t>Consejera</w:t>
      </w:r>
      <w:proofErr w:type="gramEnd"/>
      <w:r w:rsidR="00CA5DC7" w:rsidRPr="00684BE8">
        <w:rPr>
          <w:rFonts w:ascii="Arial" w:hAnsi="Arial" w:cs="Arial"/>
        </w:rPr>
        <w:t xml:space="preserve"> Electoral</w:t>
      </w:r>
      <w:r w:rsidRPr="00684BE8">
        <w:rPr>
          <w:rFonts w:ascii="Arial" w:hAnsi="Arial" w:cs="Arial"/>
        </w:rPr>
        <w:t xml:space="preserve"> Licda. Monserrat Martínez Beaurregard.</w:t>
      </w:r>
    </w:p>
    <w:p w14:paraId="513068C2" w14:textId="77777777" w:rsidR="00BB7BD3" w:rsidRPr="00684BE8" w:rsidRDefault="00BB7BD3" w:rsidP="00BB7BD3">
      <w:pPr>
        <w:pStyle w:val="Ttulo2"/>
        <w:rPr>
          <w:rFonts w:ascii="Arial" w:hAnsi="Arial" w:cs="Arial"/>
          <w:sz w:val="22"/>
        </w:rPr>
      </w:pPr>
      <w:r w:rsidRPr="00684BE8">
        <w:rPr>
          <w:rFonts w:ascii="Arial" w:hAnsi="Arial" w:cs="Arial"/>
          <w:sz w:val="22"/>
        </w:rPr>
        <w:t xml:space="preserve">Reforma Constitucional </w:t>
      </w:r>
    </w:p>
    <w:p w14:paraId="492FBF68" w14:textId="77777777" w:rsidR="00BB7BD3" w:rsidRPr="00684BE8" w:rsidRDefault="00BB7BD3" w:rsidP="00BB7BD3">
      <w:pPr>
        <w:rPr>
          <w:rFonts w:ascii="Arial" w:hAnsi="Arial" w:cs="Arial"/>
        </w:rPr>
      </w:pPr>
      <w:r w:rsidRPr="00684BE8">
        <w:rPr>
          <w:rFonts w:ascii="Arial" w:hAnsi="Arial" w:cs="Arial"/>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47CEC5F5" w14:textId="77777777" w:rsidR="00BB7BD3" w:rsidRPr="00A5222D" w:rsidRDefault="00BB7BD3" w:rsidP="00BB7BD3">
      <w:pPr>
        <w:rPr>
          <w:rFonts w:ascii="Arial" w:hAnsi="Arial" w:cs="Arial"/>
          <w:color w:val="000000" w:themeColor="text1"/>
        </w:rPr>
      </w:pPr>
      <w:r w:rsidRPr="00684BE8">
        <w:rPr>
          <w:rFonts w:ascii="Arial" w:hAnsi="Arial" w:cs="Arial"/>
        </w:rPr>
        <w:lastRenderedPageBreak/>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628D254A" w14:textId="16083857" w:rsidR="00BB7BD3" w:rsidRPr="00A5222D" w:rsidRDefault="00A5222D" w:rsidP="00BB7BD3">
      <w:pPr>
        <w:pStyle w:val="Ttulo2"/>
        <w:rPr>
          <w:rFonts w:ascii="Arial" w:hAnsi="Arial" w:cs="Arial"/>
          <w:color w:val="000000" w:themeColor="text1"/>
          <w:sz w:val="22"/>
        </w:rPr>
      </w:pPr>
      <w:r w:rsidRPr="00A5222D">
        <w:rPr>
          <w:rFonts w:ascii="Arial" w:hAnsi="Arial" w:cs="Arial"/>
          <w:color w:val="000000" w:themeColor="text1"/>
          <w:sz w:val="22"/>
        </w:rPr>
        <w:t>Inicio del Proceso Electoral Ordinario para personas juzgadoras del Poder Judicial del Estado de Tabasco 2026 – 2027</w:t>
      </w:r>
    </w:p>
    <w:p w14:paraId="438AF4D7" w14:textId="77777777" w:rsidR="00A5222D" w:rsidRPr="009F1A3D" w:rsidRDefault="00A5222D" w:rsidP="00A5222D">
      <w:pPr>
        <w:rPr>
          <w:rFonts w:ascii="Arial" w:hAnsi="Arial" w:cs="Arial"/>
        </w:rPr>
      </w:pPr>
      <w:bookmarkStart w:id="0" w:name="_Hlk219895748"/>
      <w:r w:rsidRPr="00B836A8">
        <w:rPr>
          <w:rFonts w:ascii="Arial" w:hAnsi="Arial" w:cs="Arial"/>
        </w:rPr>
        <w:t>Del decreto 080</w:t>
      </w:r>
      <w:r>
        <w:rPr>
          <w:rFonts w:ascii="Arial" w:hAnsi="Arial" w:cs="Arial"/>
        </w:rPr>
        <w:t>, edición 260 extraordinario</w:t>
      </w:r>
      <w:r w:rsidRPr="009F1A3D">
        <w:rPr>
          <w:rFonts w:ascii="Arial" w:hAnsi="Arial" w:cs="Arial"/>
        </w:rPr>
        <w:t xml:space="preserve">, en el artículo segundo transitorio </w:t>
      </w:r>
      <w:r>
        <w:rPr>
          <w:rFonts w:ascii="Arial" w:hAnsi="Arial" w:cs="Arial"/>
        </w:rPr>
        <w:t>del mismo</w:t>
      </w:r>
      <w:r w:rsidRPr="009F1A3D">
        <w:rPr>
          <w:rFonts w:ascii="Arial" w:hAnsi="Arial" w:cs="Arial"/>
        </w:rPr>
        <w:t xml:space="preserve"> se estableció que, para el caso de las Magistradas y Magistrados integrantes del Pleno del Tribunal Superior de Justicia, así como de las Juezas y Jueces, la elección sería escalonada, lo correspondiente al cincuenta por ciento en la elección extraordinaria del año 2025 y la parte restante en la elección ordinaria del año 2027. </w:t>
      </w:r>
    </w:p>
    <w:p w14:paraId="255CBB01" w14:textId="779E6D01" w:rsidR="00D8555F" w:rsidRPr="00684BE8" w:rsidRDefault="00A5222D" w:rsidP="00A5222D">
      <w:pPr>
        <w:rPr>
          <w:rFonts w:ascii="Arial" w:hAnsi="Arial" w:cs="Arial"/>
        </w:rPr>
      </w:pPr>
      <w:r w:rsidRPr="009F1A3D">
        <w:rPr>
          <w:rFonts w:ascii="Arial" w:hAnsi="Arial" w:cs="Arial"/>
        </w:rPr>
        <w:t>Por tanto, de acuerdo con el artículo 387</w:t>
      </w:r>
      <w:r>
        <w:rPr>
          <w:rFonts w:ascii="Arial" w:hAnsi="Arial" w:cs="Arial"/>
        </w:rPr>
        <w:t>,</w:t>
      </w:r>
      <w:r w:rsidRPr="009F1A3D">
        <w:rPr>
          <w:rFonts w:ascii="Arial" w:hAnsi="Arial" w:cs="Arial"/>
        </w:rPr>
        <w:t xml:space="preserve"> numeral 2 de la Ley Electoral la etapa de preparación de la elección inicia con la primera sesión que este Instituto celebre en los primeros siete días </w:t>
      </w:r>
      <w:r w:rsidRPr="003009C3">
        <w:rPr>
          <w:rFonts w:ascii="Arial" w:hAnsi="Arial" w:cs="Arial"/>
          <w:color w:val="000000" w:themeColor="text1"/>
        </w:rPr>
        <w:t>del mes de septiembre del año anterior a la elección, es decir, en septiembre de 2026.</w:t>
      </w:r>
      <w:bookmarkEnd w:id="0"/>
    </w:p>
    <w:p w14:paraId="7E29C1CE" w14:textId="6FBC2493" w:rsidR="00CA5DC7" w:rsidRPr="00A5222D" w:rsidRDefault="00D8555F" w:rsidP="00CA5DC7">
      <w:pPr>
        <w:pStyle w:val="Ttulo2"/>
        <w:rPr>
          <w:rFonts w:ascii="Arial" w:hAnsi="Arial" w:cs="Arial"/>
          <w:color w:val="000000" w:themeColor="text1"/>
          <w:sz w:val="22"/>
        </w:rPr>
      </w:pPr>
      <w:r w:rsidRPr="00A5222D">
        <w:rPr>
          <w:rFonts w:ascii="Arial" w:hAnsi="Arial" w:cs="Arial"/>
          <w:color w:val="000000" w:themeColor="text1"/>
          <w:sz w:val="22"/>
        </w:rPr>
        <w:t xml:space="preserve">Inicio del Proceso Electoral </w:t>
      </w:r>
      <w:r w:rsidR="00CA5DC7" w:rsidRPr="00A5222D">
        <w:rPr>
          <w:rFonts w:ascii="Arial" w:hAnsi="Arial" w:cs="Arial"/>
          <w:color w:val="000000" w:themeColor="text1"/>
          <w:sz w:val="22"/>
        </w:rPr>
        <w:t xml:space="preserve">Ordinario para el Poder Legislativo y </w:t>
      </w:r>
      <w:r w:rsidR="00AA2555">
        <w:rPr>
          <w:rFonts w:ascii="Arial" w:hAnsi="Arial" w:cs="Arial"/>
          <w:color w:val="000000" w:themeColor="text1"/>
          <w:sz w:val="22"/>
        </w:rPr>
        <w:t>Ayuntamientos</w:t>
      </w:r>
    </w:p>
    <w:p w14:paraId="2CE9B620" w14:textId="358FF435" w:rsidR="00D8555F" w:rsidRPr="00684BE8" w:rsidRDefault="00A5222D" w:rsidP="00BB7BD3">
      <w:pPr>
        <w:rPr>
          <w:rFonts w:ascii="Arial" w:hAnsi="Arial" w:cs="Arial"/>
        </w:rPr>
      </w:pPr>
      <w:bookmarkStart w:id="1" w:name="_Hlk220061875"/>
      <w:r w:rsidRPr="00311B5F">
        <w:rPr>
          <w:rFonts w:ascii="Arial" w:hAnsi="Arial" w:cs="Arial"/>
        </w:rPr>
        <w:t>El Consejo Estatal de conformidad con el artículo 111, numeral 1 de la Ley Electoral, sesionará durante la primera semana del mes de octubre del año previo en que deban realizarse las elecciones estatales ordinarias</w:t>
      </w:r>
      <w:r>
        <w:rPr>
          <w:rFonts w:ascii="Arial" w:hAnsi="Arial" w:cs="Arial"/>
        </w:rPr>
        <w:t xml:space="preserve"> para la renovación, en este caso, del Poder Legislativo y Ayuntamientos</w:t>
      </w:r>
      <w:r w:rsidRPr="00311B5F">
        <w:rPr>
          <w:rFonts w:ascii="Arial" w:hAnsi="Arial" w:cs="Arial"/>
        </w:rPr>
        <w:t xml:space="preserve">, con el objeto de declarar iniciado el proceso electoral </w:t>
      </w:r>
      <w:r w:rsidRPr="00AF21DB">
        <w:rPr>
          <w:rFonts w:ascii="Arial" w:hAnsi="Arial" w:cs="Arial"/>
        </w:rPr>
        <w:t>correspondiente</w:t>
      </w:r>
      <w:bookmarkEnd w:id="1"/>
      <w:r w:rsidR="00D8555F" w:rsidRPr="00684BE8">
        <w:rPr>
          <w:rFonts w:ascii="Arial" w:hAnsi="Arial" w:cs="Arial"/>
        </w:rPr>
        <w:t>.</w:t>
      </w:r>
    </w:p>
    <w:p w14:paraId="60BE1F04" w14:textId="7AEE325A" w:rsidR="007B4040" w:rsidRPr="00684BE8" w:rsidRDefault="00CA5DC7" w:rsidP="007B4040">
      <w:pPr>
        <w:pStyle w:val="Ttulo2"/>
        <w:rPr>
          <w:rFonts w:ascii="Arial" w:hAnsi="Arial" w:cs="Arial"/>
          <w:sz w:val="22"/>
        </w:rPr>
      </w:pPr>
      <w:r w:rsidRPr="00684BE8">
        <w:rPr>
          <w:rFonts w:ascii="Arial" w:hAnsi="Arial" w:cs="Arial"/>
          <w:sz w:val="22"/>
        </w:rPr>
        <w:t>Ajuste de presupuesto de egresos del Instituto para el ejercicio 2026</w:t>
      </w:r>
    </w:p>
    <w:p w14:paraId="54D4ACEB" w14:textId="77777777" w:rsidR="00CA5DC7" w:rsidRPr="00684BE8" w:rsidRDefault="00CA5DC7" w:rsidP="00CA5DC7">
      <w:pPr>
        <w:rPr>
          <w:rFonts w:ascii="Arial" w:hAnsi="Arial" w:cs="Arial"/>
        </w:rPr>
      </w:pPr>
      <w:r w:rsidRPr="00684BE8">
        <w:rPr>
          <w:rFonts w:ascii="Arial" w:hAnsi="Arial" w:cs="Arial"/>
        </w:rPr>
        <w:t>El 24 de diciembre de 2025 se publicó en la edición 8692 del Periódico Oficial del Estado, el decreto 191 relativo al Presupuesto Anual de Egresos aprobado por el Honorable Congreso del Estado de Tabasco, correspondiente al ejercicio 2026, el cual contiene, entre otros aspectos, la política de gasto de los órganos autónomos.</w:t>
      </w:r>
    </w:p>
    <w:p w14:paraId="11E6DD22" w14:textId="7DFA9D3E" w:rsidR="007B4040" w:rsidRPr="00684BE8" w:rsidRDefault="00CA5DC7" w:rsidP="00CA5DC7">
      <w:pPr>
        <w:spacing w:before="0" w:after="0"/>
        <w:rPr>
          <w:rFonts w:ascii="Arial" w:hAnsi="Arial" w:cs="Arial"/>
        </w:rPr>
      </w:pPr>
      <w:r w:rsidRPr="00684BE8">
        <w:rPr>
          <w:rFonts w:ascii="Arial" w:hAnsi="Arial" w:cs="Arial"/>
        </w:rPr>
        <w:t xml:space="preserve">Mediante acuerdo emitido el 19 de enero de 2026 por el Consejo Estatal en sesión extraordinaria aprobó el ajuste de presupuesto de egresos en correspondencia al asignado al Instituto en el Presupuesto de Egresos correspondiente al ejercicio 2026 monto que </w:t>
      </w:r>
      <w:r w:rsidRPr="00684BE8">
        <w:rPr>
          <w:rFonts w:ascii="Arial" w:hAnsi="Arial" w:cs="Arial"/>
        </w:rPr>
        <w:lastRenderedPageBreak/>
        <w:t>incluye el financiamiento público local que corresponde a los partidos políticos con registro o acreditación ante este órgano electoral.</w:t>
      </w:r>
    </w:p>
    <w:p w14:paraId="76118B03" w14:textId="77777777" w:rsidR="00BB7BD3" w:rsidRPr="00684BE8" w:rsidRDefault="00BB7BD3" w:rsidP="00BB7BD3">
      <w:pPr>
        <w:pStyle w:val="Ttulo2"/>
        <w:rPr>
          <w:rFonts w:ascii="Arial" w:hAnsi="Arial" w:cs="Arial"/>
          <w:sz w:val="22"/>
        </w:rPr>
      </w:pPr>
      <w:r w:rsidRPr="00684BE8">
        <w:rPr>
          <w:rFonts w:ascii="Arial" w:hAnsi="Arial" w:cs="Arial"/>
          <w:sz w:val="22"/>
        </w:rPr>
        <w:t>Presentación de la propuesta de Programa Anual de Trabajo</w:t>
      </w:r>
    </w:p>
    <w:p w14:paraId="19F75D1D" w14:textId="74C9572C" w:rsidR="00494E7F" w:rsidRPr="00FC60BF" w:rsidRDefault="00BB7BD3" w:rsidP="00BB7BD3">
      <w:pPr>
        <w:rPr>
          <w:rFonts w:ascii="Arial" w:hAnsi="Arial" w:cs="Arial"/>
        </w:rPr>
      </w:pPr>
      <w:r w:rsidRPr="00FC60BF">
        <w:rPr>
          <w:rFonts w:ascii="Arial" w:hAnsi="Arial" w:cs="Arial"/>
        </w:rPr>
        <w:t xml:space="preserve">El </w:t>
      </w:r>
      <w:r w:rsidR="00FC60BF" w:rsidRPr="00FC60BF">
        <w:rPr>
          <w:rFonts w:ascii="Arial" w:hAnsi="Arial" w:cs="Arial"/>
        </w:rPr>
        <w:t>22</w:t>
      </w:r>
      <w:r w:rsidRPr="00FC60BF">
        <w:rPr>
          <w:rFonts w:ascii="Arial" w:hAnsi="Arial" w:cs="Arial"/>
        </w:rPr>
        <w:t xml:space="preserve"> de enero de 202</w:t>
      </w:r>
      <w:r w:rsidR="002F1ECE" w:rsidRPr="00FC60BF">
        <w:rPr>
          <w:rFonts w:ascii="Arial" w:hAnsi="Arial" w:cs="Arial"/>
        </w:rPr>
        <w:t>6</w:t>
      </w:r>
      <w:r w:rsidRPr="00FC60BF">
        <w:rPr>
          <w:rFonts w:ascii="Arial" w:hAnsi="Arial" w:cs="Arial"/>
        </w:rPr>
        <w:t>, la secretaria técnica de la Comisión</w:t>
      </w:r>
      <w:r w:rsidR="00FC60BF" w:rsidRPr="00FC60BF">
        <w:rPr>
          <w:rFonts w:ascii="Arial" w:hAnsi="Arial" w:cs="Arial"/>
        </w:rPr>
        <w:t xml:space="preserve"> mediante oficio </w:t>
      </w:r>
      <w:proofErr w:type="spellStart"/>
      <w:r w:rsidR="00FC60BF" w:rsidRPr="00FC60BF">
        <w:rPr>
          <w:rFonts w:ascii="Arial" w:hAnsi="Arial" w:cs="Arial"/>
        </w:rPr>
        <w:t>CPSSPEN</w:t>
      </w:r>
      <w:proofErr w:type="spellEnd"/>
      <w:r w:rsidR="00FC60BF" w:rsidRPr="00FC60BF">
        <w:rPr>
          <w:rFonts w:ascii="Arial" w:hAnsi="Arial" w:cs="Arial"/>
        </w:rPr>
        <w:t>/003/2026</w:t>
      </w:r>
      <w:r w:rsidRPr="00FC60BF">
        <w:rPr>
          <w:rFonts w:ascii="Arial" w:hAnsi="Arial" w:cs="Arial"/>
        </w:rPr>
        <w:t>, remit</w:t>
      </w:r>
      <w:r w:rsidR="009A0B3D" w:rsidRPr="00FC60BF">
        <w:rPr>
          <w:rFonts w:ascii="Arial" w:hAnsi="Arial" w:cs="Arial"/>
        </w:rPr>
        <w:t>ió a la Presidencia del Consejo</w:t>
      </w:r>
      <w:r w:rsidRPr="00FC60BF">
        <w:rPr>
          <w:rFonts w:ascii="Arial" w:hAnsi="Arial" w:cs="Arial"/>
        </w:rPr>
        <w:t xml:space="preserve"> el Programa Anual de Trabajo propuesto por dicha Comisión; lo anterior, para efectos de someterlo a la deliberación por parte de este Consejo Estatal</w:t>
      </w:r>
      <w:r w:rsidR="005F4AED" w:rsidRPr="00FC60BF">
        <w:rPr>
          <w:rFonts w:ascii="Arial" w:hAnsi="Arial" w:cs="Arial"/>
        </w:rPr>
        <w:t xml:space="preserve"> </w:t>
      </w:r>
      <w:bookmarkStart w:id="2" w:name="_Hlk220063069"/>
      <w:r w:rsidR="005F4AED" w:rsidRPr="00FC60BF">
        <w:rPr>
          <w:rFonts w:ascii="Arial" w:hAnsi="Arial" w:cs="Arial"/>
        </w:rPr>
        <w:t>y que estará a sujeto a la disponibilidad y suficiencia presupuestal.</w:t>
      </w:r>
      <w:bookmarkEnd w:id="2"/>
    </w:p>
    <w:p w14:paraId="4A0D5D72" w14:textId="77777777" w:rsidR="00BB7BD3" w:rsidRPr="00684BE8" w:rsidRDefault="00BB7BD3" w:rsidP="00BB7BD3">
      <w:pPr>
        <w:pStyle w:val="Ttulo1"/>
        <w:rPr>
          <w:rFonts w:ascii="Arial" w:hAnsi="Arial" w:cs="Arial"/>
          <w:sz w:val="24"/>
          <w:szCs w:val="24"/>
        </w:rPr>
      </w:pPr>
      <w:r w:rsidRPr="00684BE8">
        <w:rPr>
          <w:rFonts w:ascii="Arial" w:hAnsi="Arial" w:cs="Arial"/>
          <w:sz w:val="24"/>
          <w:szCs w:val="24"/>
        </w:rPr>
        <w:t>Considerando</w:t>
      </w:r>
    </w:p>
    <w:p w14:paraId="7DC6AE95" w14:textId="77777777" w:rsidR="00BB7BD3" w:rsidRPr="00684BE8" w:rsidRDefault="00BB7BD3" w:rsidP="00BB7BD3">
      <w:pPr>
        <w:pStyle w:val="Ttulo2"/>
        <w:rPr>
          <w:rFonts w:ascii="Arial" w:hAnsi="Arial" w:cs="Arial"/>
          <w:sz w:val="22"/>
        </w:rPr>
      </w:pPr>
      <w:r w:rsidRPr="00684BE8">
        <w:rPr>
          <w:rFonts w:ascii="Arial" w:hAnsi="Arial" w:cs="Arial"/>
          <w:sz w:val="22"/>
        </w:rPr>
        <w:t>Competencia del Consejo Estatal</w:t>
      </w:r>
    </w:p>
    <w:p w14:paraId="4A2497F8" w14:textId="1DD1C4D1" w:rsidR="00BB7BD3" w:rsidRPr="00684BE8" w:rsidRDefault="00BB7BD3" w:rsidP="00BB7BD3">
      <w:pPr>
        <w:rPr>
          <w:rFonts w:ascii="Arial" w:hAnsi="Arial" w:cs="Arial"/>
        </w:rPr>
      </w:pPr>
      <w:r w:rsidRPr="00684BE8">
        <w:rPr>
          <w:rFonts w:ascii="Arial" w:hAnsi="Arial" w:cs="Arial"/>
        </w:rPr>
        <w:t>Que, de conformidad con el artículo 115</w:t>
      </w:r>
      <w:r w:rsidR="00A5222D">
        <w:rPr>
          <w:rFonts w:ascii="Arial" w:hAnsi="Arial" w:cs="Arial"/>
        </w:rPr>
        <w:t>,</w:t>
      </w:r>
      <w:r w:rsidRPr="00684BE8">
        <w:rPr>
          <w:rFonts w:ascii="Arial" w:hAnsi="Arial" w:cs="Arial"/>
        </w:rPr>
        <w:t xml:space="preserve"> numeral 1</w:t>
      </w:r>
      <w:r w:rsidR="00A5222D">
        <w:rPr>
          <w:rFonts w:ascii="Arial" w:hAnsi="Arial" w:cs="Arial"/>
        </w:rPr>
        <w:t>,</w:t>
      </w:r>
      <w:r w:rsidRPr="00684BE8">
        <w:rPr>
          <w:rFonts w:ascii="Arial" w:hAnsi="Arial" w:cs="Arial"/>
        </w:rPr>
        <w:t xml:space="preserve"> fracciones XI y XII de la Ley Electoral, el Consejo Estatal es competente para desarrollar y ejecutar los programas en la entidad, de educación cívica, paridad de género y respeto de los derechos humanos de las mujeres en el ámbito político electoral; y, orientar a las ciudadanas y ciudadanos para el ejercicio de sus derechos y cumplimiento de sus obligaciones político-electorales.</w:t>
      </w:r>
    </w:p>
    <w:p w14:paraId="78E6D916" w14:textId="77777777" w:rsidR="00BB7BD3" w:rsidRPr="00684BE8" w:rsidRDefault="00BB7BD3" w:rsidP="00BB7BD3">
      <w:pPr>
        <w:rPr>
          <w:rFonts w:ascii="Arial" w:hAnsi="Arial" w:cs="Arial"/>
        </w:rPr>
      </w:pPr>
      <w:r w:rsidRPr="00684BE8">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4B231295" w14:textId="77777777" w:rsidR="00BB7BD3" w:rsidRPr="00684BE8" w:rsidRDefault="00BB7BD3" w:rsidP="00BB7BD3">
      <w:pPr>
        <w:pStyle w:val="Ttulo2"/>
        <w:rPr>
          <w:rFonts w:ascii="Arial" w:hAnsi="Arial" w:cs="Arial"/>
          <w:sz w:val="22"/>
        </w:rPr>
      </w:pPr>
      <w:r w:rsidRPr="00684BE8">
        <w:rPr>
          <w:rFonts w:ascii="Arial" w:hAnsi="Arial" w:cs="Arial"/>
          <w:sz w:val="22"/>
        </w:rPr>
        <w:t>Facultad del INE para regular el Servicio Profesional</w:t>
      </w:r>
    </w:p>
    <w:p w14:paraId="1B8CC60F" w14:textId="76555C82" w:rsidR="00BB7BD3" w:rsidRPr="00684BE8" w:rsidRDefault="00684BE8" w:rsidP="00BB7BD3">
      <w:pPr>
        <w:rPr>
          <w:rFonts w:ascii="Arial" w:hAnsi="Arial" w:cs="Arial"/>
        </w:rPr>
      </w:pPr>
      <w:r>
        <w:rPr>
          <w:rFonts w:ascii="Arial" w:hAnsi="Arial" w:cs="Arial"/>
        </w:rPr>
        <w:t>De conformidad con</w:t>
      </w:r>
      <w:r w:rsidR="00BB7BD3" w:rsidRPr="00684BE8">
        <w:rPr>
          <w:rFonts w:ascii="Arial" w:hAnsi="Arial" w:cs="Arial"/>
        </w:rPr>
        <w:t xml:space="preserve"> el artículo 41, párrafo segundo, Base V, Apartado D, párrafos primero y segundo de la Constitución Federal, corresponde al INE regular la organización y funcionamiento del Servicio Profesional, y que comprende la selección, ingreso, capacitación, profesionalización, promoción, evaluación, rotación, permanencia y disciplina, de los servidores públicos de los órganos ejecutivos y técnicos del Instituto y de los organismos electorales de las entidades federativas.</w:t>
      </w:r>
    </w:p>
    <w:p w14:paraId="0296DE75" w14:textId="77777777" w:rsidR="00BB7BD3" w:rsidRPr="00684BE8" w:rsidRDefault="00BB7BD3" w:rsidP="00BB7BD3">
      <w:pPr>
        <w:pStyle w:val="Ttulo2"/>
        <w:rPr>
          <w:rFonts w:ascii="Arial" w:hAnsi="Arial" w:cs="Arial"/>
          <w:sz w:val="22"/>
        </w:rPr>
      </w:pPr>
      <w:r w:rsidRPr="00684BE8">
        <w:rPr>
          <w:rFonts w:ascii="Arial" w:hAnsi="Arial" w:cs="Arial"/>
          <w:sz w:val="22"/>
        </w:rPr>
        <w:lastRenderedPageBreak/>
        <w:t>Integración, organización y funcionamiento del Servicio Profesional</w:t>
      </w:r>
    </w:p>
    <w:p w14:paraId="70E0DA09" w14:textId="40C40702" w:rsidR="00BB7BD3" w:rsidRPr="00684BE8" w:rsidRDefault="00684BE8" w:rsidP="00BB7BD3">
      <w:pPr>
        <w:rPr>
          <w:rFonts w:ascii="Arial" w:hAnsi="Arial" w:cs="Arial"/>
        </w:rPr>
      </w:pPr>
      <w:r>
        <w:rPr>
          <w:rFonts w:ascii="Arial" w:hAnsi="Arial" w:cs="Arial"/>
        </w:rPr>
        <w:t>En atención a</w:t>
      </w:r>
      <w:r w:rsidR="00BB7BD3" w:rsidRPr="00684BE8">
        <w:rPr>
          <w:rFonts w:ascii="Arial" w:hAnsi="Arial" w:cs="Arial"/>
        </w:rPr>
        <w:t xml:space="preserve"> lo dispuesto por el artículo 202, numerales 1 y 2 de la Ley General, el Servicio Profesional contará con dos sistemas: uno para el INE y otro para los organismos electorales, los cuales estarán integrados por las y los servidores públicos de sus órganos ejecutivos y técnicos; además, para su adecuado funcionamiento, el INE regulará la organización y aplicará los distintos mecanismos del servicio de conformidad con lo dispuesto en el apartado D</w:t>
      </w:r>
      <w:r w:rsidR="00A5222D">
        <w:rPr>
          <w:rFonts w:ascii="Arial" w:hAnsi="Arial" w:cs="Arial"/>
        </w:rPr>
        <w:t>,</w:t>
      </w:r>
      <w:r w:rsidR="00BB7BD3" w:rsidRPr="00684BE8">
        <w:rPr>
          <w:rFonts w:ascii="Arial" w:hAnsi="Arial" w:cs="Arial"/>
        </w:rPr>
        <w:t xml:space="preserve"> de la Base V</w:t>
      </w:r>
      <w:r w:rsidR="00A5222D">
        <w:rPr>
          <w:rFonts w:ascii="Arial" w:hAnsi="Arial" w:cs="Arial"/>
        </w:rPr>
        <w:t>,</w:t>
      </w:r>
      <w:r w:rsidR="00BB7BD3" w:rsidRPr="00684BE8">
        <w:rPr>
          <w:rFonts w:ascii="Arial" w:hAnsi="Arial" w:cs="Arial"/>
        </w:rPr>
        <w:t xml:space="preserve"> del artículo 41 de la Constitución Federal.</w:t>
      </w:r>
    </w:p>
    <w:p w14:paraId="7D197990" w14:textId="77777777" w:rsidR="00BB7BD3" w:rsidRPr="00684BE8" w:rsidRDefault="00BB7BD3" w:rsidP="00BB7BD3">
      <w:pPr>
        <w:pStyle w:val="Ttulo2"/>
        <w:rPr>
          <w:rFonts w:ascii="Arial" w:hAnsi="Arial" w:cs="Arial"/>
          <w:sz w:val="22"/>
        </w:rPr>
      </w:pPr>
      <w:r w:rsidRPr="00684BE8">
        <w:rPr>
          <w:rFonts w:ascii="Arial" w:hAnsi="Arial" w:cs="Arial"/>
          <w:sz w:val="22"/>
        </w:rPr>
        <w:t xml:space="preserve">Servicio Profesional del Sistema de Organismos Electorales </w:t>
      </w:r>
    </w:p>
    <w:p w14:paraId="5559889D" w14:textId="3B4DB0AB" w:rsidR="00BB7BD3" w:rsidRPr="00684BE8" w:rsidRDefault="00BB7BD3" w:rsidP="00BB7BD3">
      <w:pPr>
        <w:rPr>
          <w:rFonts w:ascii="Arial" w:hAnsi="Arial" w:cs="Arial"/>
        </w:rPr>
      </w:pPr>
      <w:r w:rsidRPr="00684BE8">
        <w:rPr>
          <w:rFonts w:ascii="Arial" w:hAnsi="Arial" w:cs="Arial"/>
        </w:rPr>
        <w:t>Que, el artículo 30</w:t>
      </w:r>
      <w:r w:rsidR="00A5222D">
        <w:rPr>
          <w:rFonts w:ascii="Arial" w:hAnsi="Arial" w:cs="Arial"/>
        </w:rPr>
        <w:t>,</w:t>
      </w:r>
      <w:r w:rsidRPr="00684BE8">
        <w:rPr>
          <w:rFonts w:ascii="Arial" w:hAnsi="Arial" w:cs="Arial"/>
        </w:rPr>
        <w:t xml:space="preserve"> numeral 3 de la Ley General, prevé entre otras cosas que, para el desempeño de sus actividades, los organismos electorales contarán con un cuerpo de servidores públicos en sus órganos ejecutivos y técnicos, integrados en un Servicio Profesional que se regirá por el Estatuto que al efecto apruebe el Consejo General. Asimismo, a través del Servicio Profesional, los organismos electorales contendrán los respectivos mecanismos de selección, ingreso, capacitación, profesionalización, promoción, evaluación, rotación, permanencia y disciplina, así como el catálogo general de los cargos y puestos del personal ejecutivo y técnico, correspondiendo su regulación, organización, funcionamiento y rectoría al INE.</w:t>
      </w:r>
    </w:p>
    <w:p w14:paraId="66DAE040" w14:textId="77777777" w:rsidR="00BB7BD3" w:rsidRPr="00684BE8" w:rsidRDefault="00BB7BD3" w:rsidP="00BB7BD3">
      <w:pPr>
        <w:pStyle w:val="Ttulo2"/>
        <w:rPr>
          <w:rFonts w:ascii="Arial" w:hAnsi="Arial" w:cs="Arial"/>
          <w:sz w:val="22"/>
        </w:rPr>
      </w:pPr>
      <w:r w:rsidRPr="00684BE8">
        <w:rPr>
          <w:rFonts w:ascii="Arial" w:hAnsi="Arial" w:cs="Arial"/>
          <w:sz w:val="22"/>
        </w:rPr>
        <w:t>Órganos auxiliares del Consejo Estatal</w:t>
      </w:r>
    </w:p>
    <w:p w14:paraId="75D9E2B2" w14:textId="2E7F5AE7" w:rsidR="00BB7BD3" w:rsidRPr="00684BE8" w:rsidRDefault="00BB7BD3" w:rsidP="00BB7BD3">
      <w:pPr>
        <w:rPr>
          <w:rFonts w:ascii="Arial" w:hAnsi="Arial" w:cs="Arial"/>
        </w:rPr>
      </w:pPr>
      <w:r w:rsidRPr="00684BE8">
        <w:rPr>
          <w:rFonts w:ascii="Arial" w:hAnsi="Arial" w:cs="Arial"/>
        </w:rPr>
        <w:t>Que, el artículo 113</w:t>
      </w:r>
      <w:r w:rsidR="00A5222D">
        <w:rPr>
          <w:rFonts w:ascii="Arial" w:hAnsi="Arial" w:cs="Arial"/>
        </w:rPr>
        <w:t>,</w:t>
      </w:r>
      <w:r w:rsidRPr="00684BE8">
        <w:rPr>
          <w:rFonts w:ascii="Arial" w:hAnsi="Arial" w:cs="Arial"/>
        </w:rPr>
        <w:t xml:space="preserve">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14:paraId="42DAB2A3" w14:textId="77777777" w:rsidR="00BB7BD3" w:rsidRPr="00684BE8" w:rsidRDefault="00BB7BD3" w:rsidP="00BB7BD3">
      <w:pPr>
        <w:rPr>
          <w:rFonts w:ascii="Arial" w:hAnsi="Arial" w:cs="Arial"/>
        </w:rPr>
      </w:pPr>
      <w:r w:rsidRPr="00684BE8">
        <w:rPr>
          <w:rFonts w:ascii="Arial" w:hAnsi="Arial" w:cs="Arial"/>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14:paraId="5B03E750" w14:textId="27CC0B36" w:rsidR="00BB7BD3" w:rsidRPr="00684BE8" w:rsidRDefault="00E86665" w:rsidP="00BB7BD3">
      <w:pPr>
        <w:rPr>
          <w:rFonts w:ascii="Arial" w:hAnsi="Arial" w:cs="Arial"/>
        </w:rPr>
      </w:pPr>
      <w:r w:rsidRPr="00684BE8">
        <w:rPr>
          <w:rFonts w:ascii="Arial" w:hAnsi="Arial" w:cs="Arial"/>
        </w:rPr>
        <w:t>Es preciso mencionar que</w:t>
      </w:r>
      <w:r w:rsidR="00BB7BD3" w:rsidRPr="00684BE8">
        <w:rPr>
          <w:rFonts w:ascii="Arial" w:hAnsi="Arial" w:cs="Arial"/>
        </w:rPr>
        <w:t xml:space="preserve">, de acuerdo con el artículo segundo transitorio del decreto 080 de reforma publicado el 16 de diciembre de 2024 en el Periódico Oficial del Estado de Tabasco, se estableció que las y los representantes de los partidos políticos ante el Consejo </w:t>
      </w:r>
      <w:r w:rsidR="00BB7BD3" w:rsidRPr="00684BE8">
        <w:rPr>
          <w:rFonts w:ascii="Arial" w:hAnsi="Arial" w:cs="Arial"/>
        </w:rPr>
        <w:lastRenderedPageBreak/>
        <w:t xml:space="preserve">Estatal no </w:t>
      </w:r>
      <w:r w:rsidR="00DE3286" w:rsidRPr="00684BE8">
        <w:rPr>
          <w:rFonts w:ascii="Arial" w:hAnsi="Arial" w:cs="Arial"/>
        </w:rPr>
        <w:t xml:space="preserve">participarían </w:t>
      </w:r>
      <w:r w:rsidR="00BB7BD3" w:rsidRPr="00684BE8">
        <w:rPr>
          <w:rFonts w:ascii="Arial" w:hAnsi="Arial" w:cs="Arial"/>
        </w:rPr>
        <w:t>en las acciones, actividades y sesiones relacionadas con el Proceso Electoral Extraordinario</w:t>
      </w:r>
      <w:r w:rsidR="00F76C28" w:rsidRPr="00684BE8">
        <w:rPr>
          <w:rFonts w:ascii="Arial" w:hAnsi="Arial" w:cs="Arial"/>
        </w:rPr>
        <w:t>, señalado en el apartado de antecedentes.</w:t>
      </w:r>
    </w:p>
    <w:p w14:paraId="305A3900" w14:textId="1E0B2D8E" w:rsidR="00A5222D" w:rsidRDefault="00A5222D" w:rsidP="00BB7BD3">
      <w:pPr>
        <w:pStyle w:val="Ttulo2"/>
        <w:rPr>
          <w:rFonts w:ascii="Arial" w:hAnsi="Arial" w:cs="Arial"/>
          <w:sz w:val="22"/>
        </w:rPr>
      </w:pPr>
      <w:r w:rsidRPr="00684BE8">
        <w:rPr>
          <w:rFonts w:ascii="Arial" w:hAnsi="Arial" w:cs="Arial"/>
          <w:sz w:val="22"/>
        </w:rPr>
        <w:t>Atribuciones y obligaciones de la Comisión</w:t>
      </w:r>
    </w:p>
    <w:p w14:paraId="33E499EF" w14:textId="77777777" w:rsidR="00A5222D" w:rsidRPr="00684BE8" w:rsidRDefault="00A5222D" w:rsidP="00A5222D">
      <w:pPr>
        <w:rPr>
          <w:rFonts w:ascii="Arial" w:hAnsi="Arial" w:cs="Arial"/>
        </w:rPr>
      </w:pPr>
      <w:r w:rsidRPr="00684BE8">
        <w:rPr>
          <w:rFonts w:ascii="Arial" w:hAnsi="Arial" w:cs="Arial"/>
        </w:rPr>
        <w:t>Que</w:t>
      </w:r>
      <w:r w:rsidRPr="00684BE8">
        <w:rPr>
          <w:rFonts w:ascii="Arial" w:hAnsi="Arial" w:cs="Arial"/>
          <w:bCs/>
        </w:rPr>
        <w:t>, de la interpretación sistemática y funcional de los artículos 38 y 113, numerales 1 y 3 de la Ley Electoral; y 16, numeral 1 del Reglamento de Comisiones, la Comisión es el órgano auxiliar del Consejo Estatal, que tiene entre otras funciones, garantizar la correcta implementación y funcionamiento de los mecanismos del Servicio Profesional, bajo la rectoría del INE y conforme a las disposiciones de la Constitución, la Ley General y el Estatuto.</w:t>
      </w:r>
    </w:p>
    <w:p w14:paraId="63DD17BD" w14:textId="67DCCE30" w:rsidR="00A5222D" w:rsidRPr="00A5222D" w:rsidRDefault="00A5222D" w:rsidP="00A5222D">
      <w:r w:rsidRPr="00684BE8">
        <w:rPr>
          <w:rFonts w:ascii="Arial" w:hAnsi="Arial" w:cs="Arial"/>
        </w:rPr>
        <w:t>En ese sentido, conforme al artículo 12</w:t>
      </w:r>
      <w:r>
        <w:rPr>
          <w:rFonts w:ascii="Arial" w:hAnsi="Arial" w:cs="Arial"/>
        </w:rPr>
        <w:t>,</w:t>
      </w:r>
      <w:r w:rsidRPr="00684BE8">
        <w:rPr>
          <w:rFonts w:ascii="Arial" w:hAnsi="Arial" w:cs="Arial"/>
        </w:rPr>
        <w:t xml:space="preserve"> numeral 1, fracción I del Reglamento de Comisiones establece que, durante el mes de enero del año correspondiente, las Comisiones Permanentes deberán presentar al Consejo Estatal para su aprobación, </w:t>
      </w:r>
      <w:r w:rsidRPr="00A5222D">
        <w:rPr>
          <w:rFonts w:ascii="Arial" w:hAnsi="Arial" w:cs="Arial"/>
          <w:color w:val="000000" w:themeColor="text1"/>
        </w:rPr>
        <w:t xml:space="preserve">un Programa Anual de Trabajo </w:t>
      </w:r>
      <w:r w:rsidRPr="00684BE8">
        <w:rPr>
          <w:rFonts w:ascii="Arial" w:hAnsi="Arial" w:cs="Arial"/>
        </w:rPr>
        <w:t xml:space="preserve">acorde a los programas y políticas previamente establecidos, dicho programa fue remitido por la secretaria técnica de la Comisión a la Presidencia tal y como se señala en el punto 1. 9 </w:t>
      </w:r>
      <w:r>
        <w:rPr>
          <w:rFonts w:ascii="Arial" w:hAnsi="Arial" w:cs="Arial"/>
        </w:rPr>
        <w:t>de los Antecedentes del presente acuerdo</w:t>
      </w:r>
    </w:p>
    <w:p w14:paraId="269E6D21" w14:textId="66CF0E08" w:rsidR="00BB7BD3" w:rsidRPr="00684BE8" w:rsidRDefault="00BB7BD3" w:rsidP="00BB7BD3">
      <w:pPr>
        <w:pStyle w:val="Ttulo2"/>
        <w:rPr>
          <w:rFonts w:ascii="Arial" w:hAnsi="Arial" w:cs="Arial"/>
          <w:sz w:val="22"/>
        </w:rPr>
      </w:pPr>
      <w:r w:rsidRPr="00684BE8">
        <w:rPr>
          <w:rFonts w:ascii="Arial" w:hAnsi="Arial" w:cs="Arial"/>
          <w:sz w:val="22"/>
        </w:rPr>
        <w:t>Programa Anual de Trabajo</w:t>
      </w:r>
      <w:r w:rsidR="00DA3CA6" w:rsidRPr="00684BE8">
        <w:rPr>
          <w:rFonts w:ascii="Arial" w:hAnsi="Arial" w:cs="Arial"/>
          <w:sz w:val="22"/>
        </w:rPr>
        <w:t xml:space="preserve"> </w:t>
      </w:r>
    </w:p>
    <w:p w14:paraId="26CD5E89" w14:textId="56808579" w:rsidR="00BB7BD3" w:rsidRPr="00684BE8" w:rsidRDefault="009A0B3D" w:rsidP="00BB7BD3">
      <w:pPr>
        <w:rPr>
          <w:rFonts w:ascii="Arial" w:hAnsi="Arial" w:cs="Arial"/>
        </w:rPr>
      </w:pPr>
      <w:r w:rsidRPr="00684BE8">
        <w:rPr>
          <w:rFonts w:ascii="Arial" w:hAnsi="Arial" w:cs="Arial"/>
        </w:rPr>
        <w:t>En</w:t>
      </w:r>
      <w:r w:rsidR="00D60853" w:rsidRPr="00684BE8">
        <w:rPr>
          <w:rFonts w:ascii="Arial" w:hAnsi="Arial" w:cs="Arial"/>
        </w:rPr>
        <w:t xml:space="preserve"> cumplimiento a lo que dispone el artículo 12 del Reglamento de Comisiones la Comisión presenta su Programa Anual de Trabajo para el ejercicio 202</w:t>
      </w:r>
      <w:r w:rsidR="00F8382A" w:rsidRPr="00684BE8">
        <w:rPr>
          <w:rFonts w:ascii="Arial" w:hAnsi="Arial" w:cs="Arial"/>
        </w:rPr>
        <w:t>6</w:t>
      </w:r>
      <w:r w:rsidR="00D60853" w:rsidRPr="00684BE8">
        <w:rPr>
          <w:rFonts w:ascii="Arial" w:hAnsi="Arial" w:cs="Arial"/>
        </w:rPr>
        <w:t xml:space="preserve">, el cual </w:t>
      </w:r>
      <w:r w:rsidR="00BB7BD3" w:rsidRPr="00684BE8">
        <w:rPr>
          <w:rFonts w:ascii="Arial" w:hAnsi="Arial" w:cs="Arial"/>
        </w:rPr>
        <w:t xml:space="preserve">delimita el objetivo general, los específicos, las </w:t>
      </w:r>
      <w:r w:rsidR="00C22D1F" w:rsidRPr="00684BE8">
        <w:rPr>
          <w:rFonts w:ascii="Arial" w:hAnsi="Arial" w:cs="Arial"/>
        </w:rPr>
        <w:t>líneas de acción</w:t>
      </w:r>
      <w:r w:rsidR="00BB7BD3" w:rsidRPr="00684BE8">
        <w:rPr>
          <w:rFonts w:ascii="Arial" w:hAnsi="Arial" w:cs="Arial"/>
        </w:rPr>
        <w:t xml:space="preserve"> y el </w:t>
      </w:r>
      <w:r w:rsidR="00C22D1F" w:rsidRPr="00684BE8">
        <w:rPr>
          <w:rFonts w:ascii="Arial" w:hAnsi="Arial" w:cs="Arial"/>
        </w:rPr>
        <w:t xml:space="preserve">calendario </w:t>
      </w:r>
      <w:r w:rsidR="00BB7BD3" w:rsidRPr="00684BE8">
        <w:rPr>
          <w:rFonts w:ascii="Arial" w:hAnsi="Arial" w:cs="Arial"/>
        </w:rPr>
        <w:t xml:space="preserve">de actividades </w:t>
      </w:r>
      <w:r w:rsidR="00C22D1F" w:rsidRPr="00684BE8">
        <w:rPr>
          <w:rFonts w:ascii="Arial" w:hAnsi="Arial" w:cs="Arial"/>
        </w:rPr>
        <w:t xml:space="preserve">de la </w:t>
      </w:r>
      <w:r w:rsidR="00BB7BD3" w:rsidRPr="00684BE8">
        <w:rPr>
          <w:rFonts w:ascii="Arial" w:hAnsi="Arial" w:cs="Arial"/>
        </w:rPr>
        <w:t>propia Comisión.</w:t>
      </w:r>
    </w:p>
    <w:p w14:paraId="2FB0758D" w14:textId="69B9AA97" w:rsidR="00C22D1F" w:rsidRPr="00684BE8" w:rsidRDefault="00C22D1F" w:rsidP="00C22D1F">
      <w:pPr>
        <w:rPr>
          <w:rFonts w:ascii="Arial" w:hAnsi="Arial" w:cs="Arial"/>
        </w:rPr>
      </w:pPr>
      <w:r w:rsidRPr="00684BE8">
        <w:rPr>
          <w:rFonts w:ascii="Arial" w:hAnsi="Arial" w:cs="Arial"/>
        </w:rPr>
        <w:t>El Programa propuesto</w:t>
      </w:r>
      <w:r w:rsidR="00382DBD">
        <w:rPr>
          <w:rFonts w:ascii="Arial" w:hAnsi="Arial" w:cs="Arial"/>
        </w:rPr>
        <w:t xml:space="preserve"> se elabora en congruencia</w:t>
      </w:r>
      <w:r w:rsidRPr="00684BE8">
        <w:rPr>
          <w:rFonts w:ascii="Arial" w:hAnsi="Arial" w:cs="Arial"/>
        </w:rPr>
        <w:t xml:space="preserve"> con el Programa de Mediano Plazo del S</w:t>
      </w:r>
      <w:r w:rsidR="00382DBD">
        <w:rPr>
          <w:rFonts w:ascii="Arial" w:hAnsi="Arial" w:cs="Arial"/>
        </w:rPr>
        <w:t>ervicio Profesional</w:t>
      </w:r>
      <w:r w:rsidRPr="00684BE8">
        <w:rPr>
          <w:rFonts w:ascii="Arial" w:hAnsi="Arial" w:cs="Arial"/>
        </w:rPr>
        <w:t xml:space="preserve"> para el ciclo trianual 202</w:t>
      </w:r>
      <w:r w:rsidR="005D7E0D" w:rsidRPr="00684BE8">
        <w:rPr>
          <w:rFonts w:ascii="Arial" w:hAnsi="Arial" w:cs="Arial"/>
        </w:rPr>
        <w:t>5</w:t>
      </w:r>
      <w:r w:rsidRPr="00684BE8">
        <w:rPr>
          <w:rFonts w:ascii="Arial" w:hAnsi="Arial" w:cs="Arial"/>
        </w:rPr>
        <w:t>-202</w:t>
      </w:r>
      <w:r w:rsidR="005D7E0D" w:rsidRPr="00684BE8">
        <w:rPr>
          <w:rFonts w:ascii="Arial" w:hAnsi="Arial" w:cs="Arial"/>
        </w:rPr>
        <w:t>8</w:t>
      </w:r>
      <w:r w:rsidRPr="00684BE8">
        <w:rPr>
          <w:rFonts w:ascii="Arial" w:hAnsi="Arial" w:cs="Arial"/>
        </w:rPr>
        <w:t xml:space="preserve"> aprobado por </w:t>
      </w:r>
      <w:r w:rsidR="00D60853" w:rsidRPr="00684BE8">
        <w:rPr>
          <w:rFonts w:ascii="Arial" w:hAnsi="Arial" w:cs="Arial"/>
        </w:rPr>
        <w:t xml:space="preserve">este </w:t>
      </w:r>
      <w:r w:rsidRPr="00684BE8">
        <w:rPr>
          <w:rFonts w:ascii="Arial" w:hAnsi="Arial" w:cs="Arial"/>
        </w:rPr>
        <w:t>Consejo Estatal mediante acuerdo CE/202</w:t>
      </w:r>
      <w:r w:rsidR="005D7E0D" w:rsidRPr="00684BE8">
        <w:rPr>
          <w:rFonts w:ascii="Arial" w:hAnsi="Arial" w:cs="Arial"/>
        </w:rPr>
        <w:t>5</w:t>
      </w:r>
      <w:r w:rsidRPr="00684BE8">
        <w:rPr>
          <w:rFonts w:ascii="Arial" w:hAnsi="Arial" w:cs="Arial"/>
        </w:rPr>
        <w:t>/</w:t>
      </w:r>
      <w:r w:rsidR="005D7E0D" w:rsidRPr="00684BE8">
        <w:rPr>
          <w:rFonts w:ascii="Arial" w:hAnsi="Arial" w:cs="Arial"/>
        </w:rPr>
        <w:t>084</w:t>
      </w:r>
      <w:r w:rsidRPr="00684BE8">
        <w:rPr>
          <w:rFonts w:ascii="Arial" w:hAnsi="Arial" w:cs="Arial"/>
        </w:rPr>
        <w:t xml:space="preserve">, con el propósito central de dar seguimiento </w:t>
      </w:r>
      <w:r w:rsidR="00382DBD">
        <w:rPr>
          <w:rFonts w:ascii="Arial" w:hAnsi="Arial" w:cs="Arial"/>
        </w:rPr>
        <w:t>a las</w:t>
      </w:r>
      <w:r w:rsidRPr="00684BE8">
        <w:rPr>
          <w:rFonts w:ascii="Arial" w:hAnsi="Arial" w:cs="Arial"/>
        </w:rPr>
        <w:t xml:space="preserve"> actividades programadas para el </w:t>
      </w:r>
      <w:r w:rsidR="00382DBD">
        <w:rPr>
          <w:rFonts w:ascii="Arial" w:hAnsi="Arial" w:cs="Arial"/>
        </w:rPr>
        <w:t>ejercicio</w:t>
      </w:r>
      <w:r w:rsidRPr="00684BE8">
        <w:rPr>
          <w:rFonts w:ascii="Arial" w:hAnsi="Arial" w:cs="Arial"/>
        </w:rPr>
        <w:t xml:space="preserve"> 202</w:t>
      </w:r>
      <w:r w:rsidR="00FA6BCC" w:rsidRPr="00684BE8">
        <w:rPr>
          <w:rFonts w:ascii="Arial" w:hAnsi="Arial" w:cs="Arial"/>
        </w:rPr>
        <w:t>6</w:t>
      </w:r>
      <w:r w:rsidRPr="00684BE8">
        <w:rPr>
          <w:rFonts w:ascii="Arial" w:hAnsi="Arial" w:cs="Arial"/>
        </w:rPr>
        <w:t xml:space="preserve">, </w:t>
      </w:r>
      <w:r w:rsidR="00382DBD">
        <w:rPr>
          <w:rFonts w:ascii="Arial" w:hAnsi="Arial" w:cs="Arial"/>
        </w:rPr>
        <w:t>con énfasis en la correcta operación de los mecanismos y líneas</w:t>
      </w:r>
      <w:r w:rsidR="005A557D">
        <w:rPr>
          <w:rFonts w:ascii="Arial" w:hAnsi="Arial" w:cs="Arial"/>
        </w:rPr>
        <w:t xml:space="preserve"> de acción que rigen el desarrollo, profesionalización y gestión de</w:t>
      </w:r>
      <w:r w:rsidRPr="00684BE8">
        <w:rPr>
          <w:rFonts w:ascii="Arial" w:hAnsi="Arial" w:cs="Arial"/>
        </w:rPr>
        <w:t>l Servicio</w:t>
      </w:r>
      <w:r w:rsidR="00684BE8">
        <w:rPr>
          <w:rFonts w:ascii="Arial" w:hAnsi="Arial" w:cs="Arial"/>
        </w:rPr>
        <w:t xml:space="preserve"> Profesional</w:t>
      </w:r>
      <w:r w:rsidRPr="00684BE8">
        <w:rPr>
          <w:rFonts w:ascii="Arial" w:hAnsi="Arial" w:cs="Arial"/>
        </w:rPr>
        <w:t xml:space="preserve">. </w:t>
      </w:r>
    </w:p>
    <w:p w14:paraId="7B9F8E43" w14:textId="1CDEFB22" w:rsidR="005A557D" w:rsidRDefault="005A557D" w:rsidP="00DE3286">
      <w:pPr>
        <w:rPr>
          <w:rFonts w:ascii="Arial" w:hAnsi="Arial" w:cs="Arial"/>
        </w:rPr>
      </w:pPr>
      <w:r>
        <w:rPr>
          <w:rFonts w:ascii="Arial" w:hAnsi="Arial" w:cs="Arial"/>
        </w:rPr>
        <w:t>A través de las líneas de acción previstas, la Comisión orienta sus trabajos al acompañamiento, coordinación y seguimiento de los mecanismos que integran el Servicio Profesional, fortaleciendo los procesos de selección e ingreso, planeación y evaluación, profesionalización, evaluación del desempeño, otorgamiento de incentivos, titularidad, permanencia, registro y demás componentes que inciden en el desarrollo del personal del Servicios Profesional.</w:t>
      </w:r>
    </w:p>
    <w:p w14:paraId="6AE86928" w14:textId="11C140F7" w:rsidR="004C06BC" w:rsidRPr="00684BE8" w:rsidRDefault="00C22D1F" w:rsidP="00DE3286">
      <w:pPr>
        <w:rPr>
          <w:rFonts w:ascii="Arial" w:hAnsi="Arial" w:cs="Arial"/>
        </w:rPr>
      </w:pPr>
      <w:r w:rsidRPr="00684BE8">
        <w:rPr>
          <w:rFonts w:ascii="Arial" w:hAnsi="Arial" w:cs="Arial"/>
        </w:rPr>
        <w:lastRenderedPageBreak/>
        <w:t xml:space="preserve">Su anexo único contiene </w:t>
      </w:r>
      <w:r w:rsidR="005A557D">
        <w:rPr>
          <w:rFonts w:ascii="Arial" w:hAnsi="Arial" w:cs="Arial"/>
        </w:rPr>
        <w:t>el calendario de actividades, con carácter orientador y estarán sujetas a la disponibilidad presupuestal, así como a las determinaciones normativas y operativas que emita el INE y el propio Instituto, por lo que podrán ser ajustadas, reprogramadas o en su caso suprimidas durante el ejercicio 2026</w:t>
      </w:r>
      <w:r w:rsidR="00DE3286" w:rsidRPr="00684BE8">
        <w:rPr>
          <w:rFonts w:ascii="Arial" w:hAnsi="Arial" w:cs="Arial"/>
        </w:rPr>
        <w:t>.</w:t>
      </w:r>
      <w:r w:rsidR="00BB7BD3" w:rsidRPr="00684BE8">
        <w:rPr>
          <w:rFonts w:ascii="Arial" w:hAnsi="Arial" w:cs="Arial"/>
        </w:rPr>
        <w:t xml:space="preserve"> </w:t>
      </w:r>
    </w:p>
    <w:p w14:paraId="294E40C8" w14:textId="77777777" w:rsidR="00BB7BD3" w:rsidRPr="00684BE8" w:rsidRDefault="00BB7BD3" w:rsidP="00BB7BD3">
      <w:pPr>
        <w:rPr>
          <w:rFonts w:ascii="Arial" w:hAnsi="Arial" w:cs="Arial"/>
        </w:rPr>
      </w:pPr>
      <w:r w:rsidRPr="00684BE8">
        <w:rPr>
          <w:rFonts w:ascii="Arial" w:hAnsi="Arial" w:cs="Arial"/>
        </w:rPr>
        <w:t>Sobre la base de las consideraciones señaladas, este Consejo Estatal emite el siguiente:</w:t>
      </w:r>
    </w:p>
    <w:p w14:paraId="3A180921" w14:textId="77777777" w:rsidR="00BB7BD3" w:rsidRPr="00BF269B" w:rsidRDefault="00BB7BD3" w:rsidP="00BB7BD3">
      <w:pPr>
        <w:pStyle w:val="Ttulo1"/>
        <w:rPr>
          <w:rFonts w:ascii="Arial" w:hAnsi="Arial" w:cs="Arial"/>
          <w:sz w:val="24"/>
          <w:szCs w:val="24"/>
        </w:rPr>
      </w:pPr>
      <w:r w:rsidRPr="00BF269B">
        <w:rPr>
          <w:rFonts w:ascii="Arial" w:hAnsi="Arial" w:cs="Arial"/>
          <w:sz w:val="24"/>
          <w:szCs w:val="24"/>
        </w:rPr>
        <w:t>Acuerdo</w:t>
      </w:r>
    </w:p>
    <w:p w14:paraId="472313F9" w14:textId="5A1BB923" w:rsidR="00CF5345" w:rsidRPr="00684BE8" w:rsidRDefault="00BB7BD3" w:rsidP="00BB7BD3">
      <w:pPr>
        <w:rPr>
          <w:rFonts w:ascii="Arial" w:hAnsi="Arial" w:cs="Arial"/>
        </w:rPr>
      </w:pPr>
      <w:r w:rsidRPr="00684BE8">
        <w:rPr>
          <w:rFonts w:ascii="Arial" w:hAnsi="Arial" w:cs="Arial"/>
          <w:b/>
        </w:rPr>
        <w:t>Primero.</w:t>
      </w:r>
      <w:r w:rsidRPr="00684BE8">
        <w:rPr>
          <w:rFonts w:ascii="Arial" w:hAnsi="Arial" w:cs="Arial"/>
        </w:rPr>
        <w:t xml:space="preserve"> Se aprueba el Programa Anual de Trabajo de la Comisión Permanente de Seguimiento al Servicio Profesional Electoral Nacional del Instituto Electoral y de Participación Ciudadana de Tabasco para el ejercicio 202</w:t>
      </w:r>
      <w:r w:rsidR="0022765F" w:rsidRPr="00684BE8">
        <w:rPr>
          <w:rFonts w:ascii="Arial" w:hAnsi="Arial" w:cs="Arial"/>
        </w:rPr>
        <w:t>6</w:t>
      </w:r>
      <w:r w:rsidRPr="00684BE8">
        <w:rPr>
          <w:rFonts w:ascii="Arial" w:hAnsi="Arial" w:cs="Arial"/>
        </w:rPr>
        <w:t xml:space="preserve"> propuesto por la propia Comisión, anexo al presente acuerdo</w:t>
      </w:r>
      <w:r w:rsidR="00DE3286" w:rsidRPr="00684BE8">
        <w:rPr>
          <w:rFonts w:ascii="Arial" w:hAnsi="Arial" w:cs="Arial"/>
        </w:rPr>
        <w:t>, mismo que estará sujeto a la disponibilidad y suficiencia presupuestal.</w:t>
      </w:r>
    </w:p>
    <w:p w14:paraId="27C22142" w14:textId="77777777" w:rsidR="00BB7BD3" w:rsidRPr="00684BE8" w:rsidRDefault="00BB7BD3" w:rsidP="00BB7BD3">
      <w:pPr>
        <w:rPr>
          <w:rFonts w:ascii="Arial" w:hAnsi="Arial" w:cs="Arial"/>
        </w:rPr>
      </w:pPr>
      <w:r w:rsidRPr="00684BE8">
        <w:rPr>
          <w:rFonts w:ascii="Arial" w:hAnsi="Arial" w:cs="Arial"/>
          <w:b/>
          <w:bCs/>
        </w:rPr>
        <w:t>Segundo.</w:t>
      </w:r>
      <w:r w:rsidRPr="00684BE8">
        <w:rPr>
          <w:rFonts w:ascii="Arial" w:hAnsi="Arial" w:cs="Arial"/>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78435841" w14:textId="5D740E21" w:rsidR="00BB7BD3" w:rsidRPr="00684BE8" w:rsidRDefault="00BB7BD3" w:rsidP="00BB7BD3">
      <w:pPr>
        <w:rPr>
          <w:rFonts w:ascii="Arial" w:hAnsi="Arial" w:cs="Arial"/>
        </w:rPr>
      </w:pPr>
      <w:r w:rsidRPr="00684BE8">
        <w:rPr>
          <w:rFonts w:ascii="Arial" w:hAnsi="Arial" w:cs="Arial"/>
          <w:b/>
          <w:bCs/>
        </w:rPr>
        <w:t>Tercero.</w:t>
      </w:r>
      <w:r w:rsidRPr="00684BE8">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4A9DAD46" w14:textId="7A36BA68" w:rsidR="00BB7BD3" w:rsidRPr="00684BE8" w:rsidRDefault="00BB7BD3" w:rsidP="00BB7BD3">
      <w:pPr>
        <w:rPr>
          <w:rFonts w:ascii="Arial" w:hAnsi="Arial" w:cs="Arial"/>
        </w:rPr>
      </w:pPr>
      <w:r w:rsidRPr="00684BE8">
        <w:rPr>
          <w:rFonts w:ascii="Arial" w:hAnsi="Arial" w:cs="Arial"/>
        </w:rPr>
        <w:t xml:space="preserve">El presente acuerdo se </w:t>
      </w:r>
      <w:r w:rsidR="00BF269B">
        <w:rPr>
          <w:rFonts w:ascii="Arial" w:hAnsi="Arial" w:cs="Arial"/>
        </w:rPr>
        <w:t>aprobó</w:t>
      </w:r>
      <w:r w:rsidRPr="00684BE8">
        <w:rPr>
          <w:rFonts w:ascii="Arial" w:hAnsi="Arial" w:cs="Arial"/>
        </w:rPr>
        <w:t xml:space="preserve"> en sesión</w:t>
      </w:r>
      <w:r w:rsidR="00EF545C">
        <w:rPr>
          <w:rFonts w:ascii="Arial" w:hAnsi="Arial" w:cs="Arial"/>
        </w:rPr>
        <w:t xml:space="preserve"> ordinaria</w:t>
      </w:r>
      <w:r w:rsidRPr="00684BE8">
        <w:rPr>
          <w:rFonts w:ascii="Arial" w:hAnsi="Arial" w:cs="Arial"/>
        </w:rPr>
        <w:t xml:space="preserve"> efectuada el</w:t>
      </w:r>
      <w:r w:rsidR="00BF269B">
        <w:rPr>
          <w:rFonts w:ascii="Arial" w:hAnsi="Arial" w:cs="Arial"/>
        </w:rPr>
        <w:t xml:space="preserve"> día veintinueve</w:t>
      </w:r>
      <w:r w:rsidRPr="00684BE8">
        <w:rPr>
          <w:rFonts w:ascii="Arial" w:hAnsi="Arial" w:cs="Arial"/>
        </w:rPr>
        <w:t xml:space="preserve"> de </w:t>
      </w:r>
      <w:r w:rsidR="00D8555F" w:rsidRPr="00684BE8">
        <w:rPr>
          <w:rFonts w:ascii="Arial" w:hAnsi="Arial" w:cs="Arial"/>
        </w:rPr>
        <w:t>enero</w:t>
      </w:r>
      <w:r w:rsidRPr="00684BE8">
        <w:rPr>
          <w:rFonts w:ascii="Arial" w:hAnsi="Arial" w:cs="Arial"/>
        </w:rPr>
        <w:t xml:space="preserve"> del año dos mil </w:t>
      </w:r>
      <w:r w:rsidR="00D8555F" w:rsidRPr="00684BE8">
        <w:rPr>
          <w:rFonts w:ascii="Arial" w:hAnsi="Arial" w:cs="Arial"/>
        </w:rPr>
        <w:t>veintiséis</w:t>
      </w:r>
      <w:r w:rsidRPr="00684BE8">
        <w:rPr>
          <w:rFonts w:ascii="Arial" w:hAnsi="Arial" w:cs="Arial"/>
        </w:rPr>
        <w:t xml:space="preserve">, por votación </w:t>
      </w:r>
      <w:r w:rsidR="00BF269B">
        <w:rPr>
          <w:rFonts w:ascii="Arial" w:hAnsi="Arial" w:cs="Arial"/>
        </w:rPr>
        <w:t>unánime</w:t>
      </w:r>
      <w:r w:rsidRPr="00684BE8">
        <w:rPr>
          <w:rFonts w:ascii="Arial" w:hAnsi="Arial" w:cs="Arial"/>
        </w:rPr>
        <w:t xml:space="preserve"> de las y los </w:t>
      </w:r>
      <w:proofErr w:type="gramStart"/>
      <w:r w:rsidRPr="00684BE8">
        <w:rPr>
          <w:rFonts w:ascii="Arial" w:hAnsi="Arial" w:cs="Arial"/>
        </w:rPr>
        <w:t>Consejeros</w:t>
      </w:r>
      <w:proofErr w:type="gramEnd"/>
      <w:r w:rsidRPr="00684BE8">
        <w:rPr>
          <w:rFonts w:ascii="Arial" w:hAnsi="Arial" w:cs="Arial"/>
        </w:rPr>
        <w:t xml:space="preserve">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1E0D336B" w14:textId="77777777" w:rsidR="00BB7BD3" w:rsidRPr="00684BE8" w:rsidRDefault="00BB7BD3" w:rsidP="00BB7BD3">
      <w:pPr>
        <w:rPr>
          <w:rFonts w:ascii="Arial" w:hAnsi="Arial" w:cs="Arial"/>
        </w:rPr>
      </w:pPr>
    </w:p>
    <w:p w14:paraId="7B7A534E" w14:textId="77777777" w:rsidR="00BB7BD3" w:rsidRPr="00684BE8" w:rsidRDefault="00BB7BD3" w:rsidP="00BB7BD3">
      <w:pPr>
        <w:rPr>
          <w:rFonts w:ascii="Arial" w:hAnsi="Arial" w:cs="Arial"/>
        </w:rPr>
      </w:pPr>
    </w:p>
    <w:tbl>
      <w:tblPr>
        <w:tblStyle w:val="Tablaconcuadrcula"/>
        <w:tblW w:w="9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249"/>
        <w:gridCol w:w="4444"/>
      </w:tblGrid>
      <w:tr w:rsidR="00BB7BD3" w:rsidRPr="00684BE8" w14:paraId="699DA435" w14:textId="77777777" w:rsidTr="00BF269B">
        <w:trPr>
          <w:trHeight w:val="564"/>
        </w:trPr>
        <w:tc>
          <w:tcPr>
            <w:tcW w:w="4643" w:type="dxa"/>
          </w:tcPr>
          <w:p w14:paraId="1EDAC376" w14:textId="77777777" w:rsidR="00BB7BD3" w:rsidRPr="00684BE8" w:rsidRDefault="00BB7BD3" w:rsidP="00D530F4">
            <w:pPr>
              <w:spacing w:before="0" w:after="0" w:line="288" w:lineRule="auto"/>
              <w:jc w:val="center"/>
              <w:rPr>
                <w:rFonts w:ascii="Arial" w:hAnsi="Arial" w:cs="Arial"/>
                <w:b/>
                <w:bCs/>
                <w:sz w:val="22"/>
                <w:szCs w:val="22"/>
              </w:rPr>
            </w:pPr>
            <w:r w:rsidRPr="00684BE8">
              <w:rPr>
                <w:rFonts w:ascii="Arial" w:hAnsi="Arial" w:cs="Arial"/>
                <w:b/>
                <w:bCs/>
                <w:sz w:val="22"/>
                <w:szCs w:val="22"/>
              </w:rPr>
              <w:t>MTRA. ELIZABETH NAVA GUTIÉRREZ</w:t>
            </w:r>
          </w:p>
          <w:p w14:paraId="49893D8A" w14:textId="77777777" w:rsidR="00BB7BD3" w:rsidRPr="00684BE8" w:rsidRDefault="00BB7BD3" w:rsidP="00D530F4">
            <w:pPr>
              <w:spacing w:before="0" w:after="0" w:line="288" w:lineRule="auto"/>
              <w:jc w:val="center"/>
              <w:rPr>
                <w:rFonts w:ascii="Arial" w:hAnsi="Arial" w:cs="Arial"/>
                <w:b/>
                <w:bCs/>
                <w:sz w:val="22"/>
                <w:szCs w:val="22"/>
              </w:rPr>
            </w:pPr>
            <w:r w:rsidRPr="00684BE8">
              <w:rPr>
                <w:rFonts w:ascii="Arial" w:hAnsi="Arial" w:cs="Arial"/>
                <w:b/>
                <w:bCs/>
                <w:sz w:val="22"/>
                <w:szCs w:val="22"/>
              </w:rPr>
              <w:t>CONSEJERA PRESIDENTA</w:t>
            </w:r>
          </w:p>
        </w:tc>
        <w:tc>
          <w:tcPr>
            <w:tcW w:w="249" w:type="dxa"/>
          </w:tcPr>
          <w:p w14:paraId="310AAF66" w14:textId="77777777" w:rsidR="00BB7BD3" w:rsidRPr="00684BE8" w:rsidRDefault="00BB7BD3" w:rsidP="00D530F4">
            <w:pPr>
              <w:spacing w:before="0" w:after="0" w:line="288" w:lineRule="auto"/>
              <w:rPr>
                <w:rFonts w:ascii="Arial" w:hAnsi="Arial" w:cs="Arial"/>
                <w:b/>
                <w:bCs/>
                <w:sz w:val="22"/>
                <w:szCs w:val="22"/>
              </w:rPr>
            </w:pPr>
          </w:p>
        </w:tc>
        <w:tc>
          <w:tcPr>
            <w:tcW w:w="4444" w:type="dxa"/>
          </w:tcPr>
          <w:p w14:paraId="01F7B4D9" w14:textId="77777777" w:rsidR="00BB7BD3" w:rsidRPr="00684BE8" w:rsidRDefault="00BB7BD3" w:rsidP="00D530F4">
            <w:pPr>
              <w:spacing w:before="0" w:after="0" w:line="288" w:lineRule="auto"/>
              <w:jc w:val="center"/>
              <w:rPr>
                <w:rFonts w:ascii="Arial" w:hAnsi="Arial" w:cs="Arial"/>
                <w:b/>
                <w:bCs/>
                <w:sz w:val="22"/>
                <w:szCs w:val="22"/>
              </w:rPr>
            </w:pPr>
            <w:r w:rsidRPr="00684BE8">
              <w:rPr>
                <w:rFonts w:ascii="Arial" w:hAnsi="Arial" w:cs="Arial"/>
                <w:b/>
                <w:bCs/>
                <w:sz w:val="22"/>
                <w:szCs w:val="22"/>
              </w:rPr>
              <w:t>LIC. JORGE ALBERTO ZAVALA FRÍAS</w:t>
            </w:r>
          </w:p>
          <w:p w14:paraId="16E1A5AD" w14:textId="77777777" w:rsidR="00BB7BD3" w:rsidRPr="00684BE8" w:rsidRDefault="00BB7BD3" w:rsidP="00D530F4">
            <w:pPr>
              <w:spacing w:before="0" w:after="0" w:line="288" w:lineRule="auto"/>
              <w:jc w:val="center"/>
              <w:rPr>
                <w:rFonts w:ascii="Arial" w:hAnsi="Arial" w:cs="Arial"/>
                <w:b/>
                <w:bCs/>
                <w:sz w:val="22"/>
                <w:szCs w:val="22"/>
              </w:rPr>
            </w:pPr>
            <w:r w:rsidRPr="00684BE8">
              <w:rPr>
                <w:rFonts w:ascii="Arial" w:hAnsi="Arial" w:cs="Arial"/>
                <w:b/>
                <w:bCs/>
                <w:sz w:val="22"/>
                <w:szCs w:val="22"/>
              </w:rPr>
              <w:t>SECRETARIO DEL CONSEJO</w:t>
            </w:r>
          </w:p>
        </w:tc>
      </w:tr>
    </w:tbl>
    <w:p w14:paraId="5FB1653C" w14:textId="77777777" w:rsidR="00BB7BD3" w:rsidRPr="00684BE8" w:rsidRDefault="00BB7BD3" w:rsidP="00BB7BD3">
      <w:pPr>
        <w:rPr>
          <w:rFonts w:ascii="Arial" w:hAnsi="Arial" w:cs="Arial"/>
        </w:rPr>
      </w:pPr>
    </w:p>
    <w:sectPr w:rsidR="00BB7BD3" w:rsidRPr="00684BE8" w:rsidSect="00BF269B">
      <w:headerReference w:type="default" r:id="rId8"/>
      <w:footerReference w:type="default" r:id="rId9"/>
      <w:pgSz w:w="12240" w:h="15840" w:code="1"/>
      <w:pgMar w:top="2836"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9E2A2" w14:textId="77777777" w:rsidR="00260A59" w:rsidRDefault="00260A59" w:rsidP="00BB7BD3">
      <w:pPr>
        <w:spacing w:before="0" w:after="0" w:line="240" w:lineRule="auto"/>
      </w:pPr>
      <w:r>
        <w:separator/>
      </w:r>
    </w:p>
  </w:endnote>
  <w:endnote w:type="continuationSeparator" w:id="0">
    <w:p w14:paraId="5A38EEA1" w14:textId="77777777" w:rsidR="00260A59" w:rsidRDefault="00260A59" w:rsidP="00BB7B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FE7054-165C-4F92-937B-F376A5F429D1}"/>
    <w:embedBold r:id="rId2" w:fontKey="{8561BCF6-31B4-4D08-8561-B42FC9B1C835}"/>
  </w:font>
  <w:font w:name="Exo">
    <w:altName w:val="Times New Roman"/>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3" w:fontKey="{4DC6B389-C0A0-4C9F-B2EE-B3467E0A8792}"/>
    <w:embedItalic r:id="rId4" w:fontKey="{32D856EA-748A-4BA8-8A60-15B0DF7C3C73}"/>
  </w:font>
  <w:font w:name="Segoe UI">
    <w:panose1 w:val="020B0502040204020203"/>
    <w:charset w:val="00"/>
    <w:family w:val="swiss"/>
    <w:pitch w:val="variable"/>
    <w:sig w:usb0="E4002EFF" w:usb1="C000E47F" w:usb2="00000009" w:usb3="00000000" w:csb0="000001FF" w:csb1="00000000"/>
    <w:embedRegular r:id="rId5" w:fontKey="{8A423A0A-46B2-41A0-ABA1-BC7FD041B179}"/>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993366"/>
        <w:sz w:val="24"/>
        <w:szCs w:val="24"/>
      </w:rPr>
      <w:id w:val="-901525023"/>
      <w:docPartObj>
        <w:docPartGallery w:val="Page Numbers (Top of Page)"/>
        <w:docPartUnique/>
      </w:docPartObj>
    </w:sdtPr>
    <w:sdtContent>
      <w:p w14:paraId="6635D746" w14:textId="7B10BFF7" w:rsidR="00BB7BD3" w:rsidRPr="00BF269B" w:rsidRDefault="00BB7BD3" w:rsidP="00BB7BD3">
        <w:pPr>
          <w:pStyle w:val="Piedepgina"/>
          <w:spacing w:before="120"/>
          <w:jc w:val="right"/>
          <w:rPr>
            <w:rFonts w:ascii="Arial" w:hAnsi="Arial" w:cs="Arial"/>
            <w:color w:val="993366"/>
            <w:sz w:val="24"/>
            <w:szCs w:val="24"/>
          </w:rPr>
        </w:pPr>
        <w:r w:rsidRPr="00BF269B">
          <w:rPr>
            <w:rFonts w:ascii="Arial" w:hAnsi="Arial" w:cs="Arial"/>
            <w:b/>
            <w:bCs/>
            <w:color w:val="993366"/>
            <w:sz w:val="24"/>
            <w:szCs w:val="24"/>
            <w:lang w:val="es-ES"/>
          </w:rPr>
          <w:t xml:space="preserve">Página </w:t>
        </w:r>
        <w:r w:rsidRPr="00BF269B">
          <w:rPr>
            <w:rFonts w:ascii="Arial" w:hAnsi="Arial" w:cs="Arial"/>
            <w:b/>
            <w:bCs/>
            <w:color w:val="993366"/>
            <w:sz w:val="24"/>
            <w:szCs w:val="24"/>
          </w:rPr>
          <w:fldChar w:fldCharType="begin"/>
        </w:r>
        <w:r w:rsidRPr="00BF269B">
          <w:rPr>
            <w:rFonts w:ascii="Arial" w:hAnsi="Arial" w:cs="Arial"/>
            <w:b/>
            <w:bCs/>
            <w:color w:val="993366"/>
            <w:sz w:val="24"/>
            <w:szCs w:val="24"/>
          </w:rPr>
          <w:instrText>PAGE</w:instrText>
        </w:r>
        <w:r w:rsidRPr="00BF269B">
          <w:rPr>
            <w:rFonts w:ascii="Arial" w:hAnsi="Arial" w:cs="Arial"/>
            <w:b/>
            <w:bCs/>
            <w:color w:val="993366"/>
            <w:sz w:val="24"/>
            <w:szCs w:val="24"/>
          </w:rPr>
          <w:fldChar w:fldCharType="separate"/>
        </w:r>
        <w:r w:rsidR="00E86665" w:rsidRPr="00BF269B">
          <w:rPr>
            <w:rFonts w:ascii="Arial" w:hAnsi="Arial" w:cs="Arial"/>
            <w:b/>
            <w:bCs/>
            <w:noProof/>
            <w:color w:val="993366"/>
            <w:sz w:val="24"/>
            <w:szCs w:val="24"/>
          </w:rPr>
          <w:t>9</w:t>
        </w:r>
        <w:r w:rsidRPr="00BF269B">
          <w:rPr>
            <w:rFonts w:ascii="Arial" w:hAnsi="Arial" w:cs="Arial"/>
            <w:b/>
            <w:bCs/>
            <w:color w:val="993366"/>
            <w:sz w:val="24"/>
            <w:szCs w:val="24"/>
          </w:rPr>
          <w:fldChar w:fldCharType="end"/>
        </w:r>
        <w:r w:rsidRPr="00BF269B">
          <w:rPr>
            <w:rFonts w:ascii="Arial" w:hAnsi="Arial" w:cs="Arial"/>
            <w:b/>
            <w:bCs/>
            <w:color w:val="993366"/>
            <w:sz w:val="24"/>
            <w:szCs w:val="24"/>
            <w:lang w:val="es-ES"/>
          </w:rPr>
          <w:t xml:space="preserve"> | </w:t>
        </w:r>
        <w:r w:rsidRPr="00BF269B">
          <w:rPr>
            <w:rFonts w:ascii="Arial" w:hAnsi="Arial" w:cs="Arial"/>
            <w:b/>
            <w:bCs/>
            <w:color w:val="993366"/>
            <w:sz w:val="24"/>
            <w:szCs w:val="24"/>
          </w:rPr>
          <w:fldChar w:fldCharType="begin"/>
        </w:r>
        <w:r w:rsidRPr="00BF269B">
          <w:rPr>
            <w:rFonts w:ascii="Arial" w:hAnsi="Arial" w:cs="Arial"/>
            <w:b/>
            <w:bCs/>
            <w:color w:val="993366"/>
            <w:sz w:val="24"/>
            <w:szCs w:val="24"/>
          </w:rPr>
          <w:instrText>NUMPAGES</w:instrText>
        </w:r>
        <w:r w:rsidRPr="00BF269B">
          <w:rPr>
            <w:rFonts w:ascii="Arial" w:hAnsi="Arial" w:cs="Arial"/>
            <w:b/>
            <w:bCs/>
            <w:color w:val="993366"/>
            <w:sz w:val="24"/>
            <w:szCs w:val="24"/>
          </w:rPr>
          <w:fldChar w:fldCharType="separate"/>
        </w:r>
        <w:r w:rsidR="00E86665" w:rsidRPr="00BF269B">
          <w:rPr>
            <w:rFonts w:ascii="Arial" w:hAnsi="Arial" w:cs="Arial"/>
            <w:b/>
            <w:bCs/>
            <w:noProof/>
            <w:color w:val="993366"/>
            <w:sz w:val="24"/>
            <w:szCs w:val="24"/>
          </w:rPr>
          <w:t>10</w:t>
        </w:r>
        <w:r w:rsidRPr="00BF269B">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9E5CC" w14:textId="77777777" w:rsidR="00260A59" w:rsidRDefault="00260A59" w:rsidP="00BB7BD3">
      <w:pPr>
        <w:spacing w:before="0" w:after="0" w:line="240" w:lineRule="auto"/>
      </w:pPr>
      <w:r>
        <w:separator/>
      </w:r>
    </w:p>
  </w:footnote>
  <w:footnote w:type="continuationSeparator" w:id="0">
    <w:p w14:paraId="00987C12" w14:textId="77777777" w:rsidR="00260A59" w:rsidRDefault="00260A59" w:rsidP="00BB7B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BB7BD3" w14:paraId="2BAF8248" w14:textId="77777777" w:rsidTr="006F4897">
      <w:tc>
        <w:tcPr>
          <w:tcW w:w="1813" w:type="dxa"/>
        </w:tcPr>
        <w:p w14:paraId="26599630" w14:textId="77777777" w:rsidR="00BB7BD3" w:rsidRDefault="00BB7BD3" w:rsidP="00BB7BD3">
          <w:pPr>
            <w:pStyle w:val="Encabezado"/>
          </w:pPr>
          <w:r>
            <w:rPr>
              <w:b/>
              <w:noProof/>
              <w:sz w:val="32"/>
              <w:lang w:eastAsia="es-MX"/>
            </w:rPr>
            <w:drawing>
              <wp:inline distT="0" distB="0" distL="0" distR="0" wp14:anchorId="44C683F3" wp14:editId="0EC0E310">
                <wp:extent cx="1014331" cy="1199403"/>
                <wp:effectExtent l="0" t="0" r="0" b="1270"/>
                <wp:docPr id="322714031" name="Imagen 32271403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735" w:type="dxa"/>
        </w:tcPr>
        <w:p w14:paraId="55E365E9" w14:textId="77777777" w:rsidR="00BB7BD3" w:rsidRPr="00B33A23" w:rsidRDefault="00BB7BD3" w:rsidP="00BB7BD3">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0FC97783" w14:textId="77777777" w:rsidR="00BB7BD3" w:rsidRDefault="00BB7BD3" w:rsidP="00BB7BD3">
          <w:pPr>
            <w:pStyle w:val="Encabezado"/>
            <w:spacing w:before="60"/>
            <w:jc w:val="center"/>
          </w:pPr>
          <w:r w:rsidRPr="00B33A23">
            <w:rPr>
              <w:rFonts w:ascii="Arial" w:hAnsi="Arial" w:cs="Arial"/>
              <w:b/>
              <w:bCs/>
              <w:sz w:val="28"/>
              <w:szCs w:val="28"/>
            </w:rPr>
            <w:t>CONSEJO ESTATAL</w:t>
          </w:r>
        </w:p>
      </w:tc>
      <w:tc>
        <w:tcPr>
          <w:tcW w:w="1667" w:type="dxa"/>
        </w:tcPr>
        <w:p w14:paraId="3EFA843A" w14:textId="77777777" w:rsidR="00BB7BD3" w:rsidRDefault="00BB7BD3" w:rsidP="00BB7BD3">
          <w:pPr>
            <w:pStyle w:val="Encabezado"/>
            <w:spacing w:before="480"/>
            <w:jc w:val="right"/>
          </w:pPr>
          <w:r>
            <w:rPr>
              <w:noProof/>
              <w:lang w:eastAsia="es-MX"/>
            </w:rPr>
            <w:drawing>
              <wp:inline distT="0" distB="0" distL="0" distR="0" wp14:anchorId="18D391DD" wp14:editId="078F95D8">
                <wp:extent cx="921600" cy="756000"/>
                <wp:effectExtent l="0" t="0" r="0" b="6350"/>
                <wp:docPr id="70694109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01D75445" w14:textId="718E5B2B" w:rsidR="006F4897" w:rsidRPr="00596E8C" w:rsidRDefault="006F4897" w:rsidP="006F4897">
    <w:pPr>
      <w:pStyle w:val="Encabezado"/>
      <w:jc w:val="right"/>
      <w:rPr>
        <w:rFonts w:ascii="Arial" w:hAnsi="Arial" w:cs="Arial"/>
        <w:b/>
        <w:sz w:val="24"/>
        <w:szCs w:val="24"/>
      </w:rPr>
    </w:pPr>
    <w:r w:rsidRPr="00596E8C">
      <w:rPr>
        <w:rFonts w:ascii="Arial" w:hAnsi="Arial" w:cs="Arial"/>
        <w:b/>
        <w:sz w:val="24"/>
        <w:szCs w:val="24"/>
      </w:rPr>
      <w:t>CE/20</w:t>
    </w:r>
    <w:r>
      <w:rPr>
        <w:rFonts w:ascii="Arial" w:hAnsi="Arial" w:cs="Arial"/>
        <w:b/>
        <w:sz w:val="24"/>
        <w:szCs w:val="24"/>
      </w:rPr>
      <w:t>26</w:t>
    </w:r>
    <w:r w:rsidRPr="00596E8C">
      <w:rPr>
        <w:rFonts w:ascii="Arial" w:hAnsi="Arial" w:cs="Arial"/>
        <w:b/>
        <w:sz w:val="24"/>
        <w:szCs w:val="24"/>
      </w:rPr>
      <w:t>/0</w:t>
    </w:r>
    <w:r w:rsidR="00BF269B">
      <w:rPr>
        <w:rFonts w:ascii="Arial" w:hAnsi="Arial" w:cs="Arial"/>
        <w:b/>
        <w:sz w:val="24"/>
        <w:szCs w:val="24"/>
      </w:rPr>
      <w:t>12</w:t>
    </w:r>
  </w:p>
  <w:p w14:paraId="0725DC80" w14:textId="77777777" w:rsidR="00BB7BD3" w:rsidRDefault="00BB7B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79A"/>
    <w:multiLevelType w:val="multilevel"/>
    <w:tmpl w:val="AC76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B5414"/>
    <w:multiLevelType w:val="multilevel"/>
    <w:tmpl w:val="7668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5796D"/>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653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75C6057C"/>
    <w:multiLevelType w:val="multilevel"/>
    <w:tmpl w:val="28D2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8247664">
    <w:abstractNumId w:val="2"/>
  </w:num>
  <w:num w:numId="2" w16cid:durableId="1169901938">
    <w:abstractNumId w:val="0"/>
  </w:num>
  <w:num w:numId="3" w16cid:durableId="932930982">
    <w:abstractNumId w:val="1"/>
  </w:num>
  <w:num w:numId="4" w16cid:durableId="1075012969">
    <w:abstractNumId w:val="3"/>
  </w:num>
  <w:num w:numId="5" w16cid:durableId="334189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BD3"/>
    <w:rsid w:val="000008C5"/>
    <w:rsid w:val="00037F74"/>
    <w:rsid w:val="000577F5"/>
    <w:rsid w:val="00064FB8"/>
    <w:rsid w:val="0009700F"/>
    <w:rsid w:val="000E7232"/>
    <w:rsid w:val="001A2D49"/>
    <w:rsid w:val="001D1E4F"/>
    <w:rsid w:val="002022BF"/>
    <w:rsid w:val="002238BD"/>
    <w:rsid w:val="0022765F"/>
    <w:rsid w:val="00230C5C"/>
    <w:rsid w:val="002461A0"/>
    <w:rsid w:val="00260A59"/>
    <w:rsid w:val="00267444"/>
    <w:rsid w:val="002723C9"/>
    <w:rsid w:val="002A546E"/>
    <w:rsid w:val="002D35C8"/>
    <w:rsid w:val="002F1ECE"/>
    <w:rsid w:val="003038F9"/>
    <w:rsid w:val="00306457"/>
    <w:rsid w:val="00311A05"/>
    <w:rsid w:val="003120A9"/>
    <w:rsid w:val="00316095"/>
    <w:rsid w:val="00361ED4"/>
    <w:rsid w:val="00382DBD"/>
    <w:rsid w:val="0038783E"/>
    <w:rsid w:val="003D0144"/>
    <w:rsid w:val="0041526C"/>
    <w:rsid w:val="00423D63"/>
    <w:rsid w:val="004361D1"/>
    <w:rsid w:val="0044477B"/>
    <w:rsid w:val="004562BC"/>
    <w:rsid w:val="00494E7F"/>
    <w:rsid w:val="004B391F"/>
    <w:rsid w:val="004C06BC"/>
    <w:rsid w:val="004E535D"/>
    <w:rsid w:val="004F2404"/>
    <w:rsid w:val="00507886"/>
    <w:rsid w:val="00511ACF"/>
    <w:rsid w:val="00555676"/>
    <w:rsid w:val="005677D4"/>
    <w:rsid w:val="0059066E"/>
    <w:rsid w:val="00593B3B"/>
    <w:rsid w:val="005A557D"/>
    <w:rsid w:val="005A78AF"/>
    <w:rsid w:val="005D7675"/>
    <w:rsid w:val="005D7E0D"/>
    <w:rsid w:val="005F4AED"/>
    <w:rsid w:val="00606D70"/>
    <w:rsid w:val="0061587C"/>
    <w:rsid w:val="00633E6D"/>
    <w:rsid w:val="006574FA"/>
    <w:rsid w:val="00684BE8"/>
    <w:rsid w:val="006B3683"/>
    <w:rsid w:val="006B73D4"/>
    <w:rsid w:val="006F2A3C"/>
    <w:rsid w:val="006F4897"/>
    <w:rsid w:val="00716E23"/>
    <w:rsid w:val="00753426"/>
    <w:rsid w:val="007B4040"/>
    <w:rsid w:val="007B4287"/>
    <w:rsid w:val="00813BBB"/>
    <w:rsid w:val="00821992"/>
    <w:rsid w:val="00873E36"/>
    <w:rsid w:val="00880E64"/>
    <w:rsid w:val="008B21A9"/>
    <w:rsid w:val="008B2A1B"/>
    <w:rsid w:val="008B5EC9"/>
    <w:rsid w:val="008E0BD2"/>
    <w:rsid w:val="008F7517"/>
    <w:rsid w:val="009349D9"/>
    <w:rsid w:val="00942014"/>
    <w:rsid w:val="00943E97"/>
    <w:rsid w:val="00971DD3"/>
    <w:rsid w:val="009A0B3D"/>
    <w:rsid w:val="009A0C35"/>
    <w:rsid w:val="009B0AB4"/>
    <w:rsid w:val="009C3BCB"/>
    <w:rsid w:val="009F6139"/>
    <w:rsid w:val="00A060EB"/>
    <w:rsid w:val="00A43C99"/>
    <w:rsid w:val="00A51A14"/>
    <w:rsid w:val="00A5222D"/>
    <w:rsid w:val="00AA230A"/>
    <w:rsid w:val="00AA2555"/>
    <w:rsid w:val="00AB375B"/>
    <w:rsid w:val="00AD1436"/>
    <w:rsid w:val="00AD60C5"/>
    <w:rsid w:val="00AE3BB0"/>
    <w:rsid w:val="00B27B70"/>
    <w:rsid w:val="00B40188"/>
    <w:rsid w:val="00B42453"/>
    <w:rsid w:val="00B50320"/>
    <w:rsid w:val="00BA144D"/>
    <w:rsid w:val="00BB61D6"/>
    <w:rsid w:val="00BB6D86"/>
    <w:rsid w:val="00BB7BD3"/>
    <w:rsid w:val="00BC44EF"/>
    <w:rsid w:val="00BF269B"/>
    <w:rsid w:val="00BF6DFA"/>
    <w:rsid w:val="00C22D1F"/>
    <w:rsid w:val="00C551C0"/>
    <w:rsid w:val="00C662EC"/>
    <w:rsid w:val="00C71C89"/>
    <w:rsid w:val="00C72D9A"/>
    <w:rsid w:val="00C87421"/>
    <w:rsid w:val="00C9791E"/>
    <w:rsid w:val="00CA5DC7"/>
    <w:rsid w:val="00CF5345"/>
    <w:rsid w:val="00D60853"/>
    <w:rsid w:val="00D6415A"/>
    <w:rsid w:val="00D71913"/>
    <w:rsid w:val="00D8555F"/>
    <w:rsid w:val="00DA3CA6"/>
    <w:rsid w:val="00DB63A0"/>
    <w:rsid w:val="00DC6822"/>
    <w:rsid w:val="00DE3286"/>
    <w:rsid w:val="00E06E77"/>
    <w:rsid w:val="00E210CA"/>
    <w:rsid w:val="00E5560D"/>
    <w:rsid w:val="00E6268F"/>
    <w:rsid w:val="00E86665"/>
    <w:rsid w:val="00E8771B"/>
    <w:rsid w:val="00EE0FC9"/>
    <w:rsid w:val="00EE161C"/>
    <w:rsid w:val="00EF073B"/>
    <w:rsid w:val="00EF545C"/>
    <w:rsid w:val="00F549AC"/>
    <w:rsid w:val="00F76C28"/>
    <w:rsid w:val="00F8382A"/>
    <w:rsid w:val="00F84387"/>
    <w:rsid w:val="00FA6BCC"/>
    <w:rsid w:val="00FA73EF"/>
    <w:rsid w:val="00FC60BF"/>
    <w:rsid w:val="00FD73FE"/>
    <w:rsid w:val="00FE2B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9714E"/>
  <w15:chartTrackingRefBased/>
  <w15:docId w15:val="{61826689-949D-4465-871B-0DAE74BA8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BD3"/>
    <w:pPr>
      <w:spacing w:before="240" w:after="240" w:line="276" w:lineRule="auto"/>
      <w:jc w:val="both"/>
    </w:pPr>
    <w:rPr>
      <w:rFonts w:ascii="Exo" w:hAnsi="Exo"/>
    </w:rPr>
  </w:style>
  <w:style w:type="paragraph" w:styleId="Ttulo1">
    <w:name w:val="heading 1"/>
    <w:basedOn w:val="Normal"/>
    <w:next w:val="Normal"/>
    <w:link w:val="Ttulo1Car"/>
    <w:uiPriority w:val="9"/>
    <w:qFormat/>
    <w:rsid w:val="00BB7BD3"/>
    <w:pPr>
      <w:numPr>
        <w:numId w:val="1"/>
      </w:numPr>
      <w:spacing w:before="600"/>
      <w:jc w:val="center"/>
      <w:outlineLvl w:val="0"/>
    </w:pPr>
    <w:rPr>
      <w:b/>
      <w:sz w:val="28"/>
    </w:rPr>
  </w:style>
  <w:style w:type="paragraph" w:styleId="Ttulo2">
    <w:name w:val="heading 2"/>
    <w:basedOn w:val="Normal"/>
    <w:next w:val="Normal"/>
    <w:link w:val="Ttulo2Car"/>
    <w:uiPriority w:val="9"/>
    <w:unhideWhenUsed/>
    <w:qFormat/>
    <w:rsid w:val="00BB7BD3"/>
    <w:pPr>
      <w:numPr>
        <w:ilvl w:val="1"/>
        <w:numId w:val="1"/>
      </w:numPr>
      <w:spacing w:before="480"/>
      <w:ind w:left="576"/>
      <w:outlineLvl w:val="1"/>
    </w:pPr>
    <w:rPr>
      <w:b/>
      <w:sz w:val="24"/>
    </w:rPr>
  </w:style>
  <w:style w:type="paragraph" w:styleId="Ttulo3">
    <w:name w:val="heading 3"/>
    <w:basedOn w:val="Normal"/>
    <w:next w:val="Normal"/>
    <w:link w:val="Ttulo3Car"/>
    <w:uiPriority w:val="9"/>
    <w:semiHidden/>
    <w:unhideWhenUsed/>
    <w:qFormat/>
    <w:rsid w:val="006F2A3C"/>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F2A3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F2A3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F2A3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6F2A3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6F2A3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F2A3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7BD3"/>
    <w:rPr>
      <w:rFonts w:ascii="Exo" w:hAnsi="Exo"/>
      <w:b/>
      <w:sz w:val="28"/>
    </w:rPr>
  </w:style>
  <w:style w:type="character" w:customStyle="1" w:styleId="Ttulo2Car">
    <w:name w:val="Título 2 Car"/>
    <w:basedOn w:val="Fuentedeprrafopredeter"/>
    <w:link w:val="Ttulo2"/>
    <w:uiPriority w:val="9"/>
    <w:rsid w:val="00BB7BD3"/>
    <w:rPr>
      <w:rFonts w:ascii="Exo" w:hAnsi="Exo"/>
      <w:b/>
      <w:sz w:val="24"/>
    </w:rPr>
  </w:style>
  <w:style w:type="paragraph" w:styleId="Encabezado">
    <w:name w:val="header"/>
    <w:basedOn w:val="Normal"/>
    <w:link w:val="EncabezadoCar"/>
    <w:uiPriority w:val="99"/>
    <w:unhideWhenUsed/>
    <w:rsid w:val="00BB7BD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B7BD3"/>
    <w:rPr>
      <w:rFonts w:ascii="Exo" w:hAnsi="Exo"/>
    </w:rPr>
  </w:style>
  <w:style w:type="paragraph" w:styleId="Piedepgina">
    <w:name w:val="footer"/>
    <w:basedOn w:val="Normal"/>
    <w:link w:val="PiedepginaCar"/>
    <w:uiPriority w:val="99"/>
    <w:unhideWhenUsed/>
    <w:rsid w:val="00BB7BD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B7BD3"/>
    <w:rPr>
      <w:rFonts w:ascii="Exo" w:hAnsi="Exo"/>
    </w:rPr>
  </w:style>
  <w:style w:type="table" w:styleId="Tablaconcuadrcula">
    <w:name w:val="Table Grid"/>
    <w:basedOn w:val="Tablanormal"/>
    <w:uiPriority w:val="39"/>
    <w:rsid w:val="00BB7BD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6F2A3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6F2A3C"/>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6F2A3C"/>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6F2A3C"/>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6F2A3C"/>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6F2A3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F2A3C"/>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BA144D"/>
    <w:rPr>
      <w:sz w:val="16"/>
      <w:szCs w:val="16"/>
    </w:rPr>
  </w:style>
  <w:style w:type="paragraph" w:styleId="Textocomentario">
    <w:name w:val="annotation text"/>
    <w:basedOn w:val="Normal"/>
    <w:link w:val="TextocomentarioCar"/>
    <w:uiPriority w:val="99"/>
    <w:unhideWhenUsed/>
    <w:rsid w:val="00BA144D"/>
    <w:pPr>
      <w:spacing w:line="240" w:lineRule="auto"/>
    </w:pPr>
    <w:rPr>
      <w:sz w:val="20"/>
      <w:szCs w:val="20"/>
    </w:rPr>
  </w:style>
  <w:style w:type="character" w:customStyle="1" w:styleId="TextocomentarioCar">
    <w:name w:val="Texto comentario Car"/>
    <w:basedOn w:val="Fuentedeprrafopredeter"/>
    <w:link w:val="Textocomentario"/>
    <w:uiPriority w:val="99"/>
    <w:rsid w:val="00BA144D"/>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BA144D"/>
    <w:rPr>
      <w:b/>
      <w:bCs/>
    </w:rPr>
  </w:style>
  <w:style w:type="character" w:customStyle="1" w:styleId="AsuntodelcomentarioCar">
    <w:name w:val="Asunto del comentario Car"/>
    <w:basedOn w:val="TextocomentarioCar"/>
    <w:link w:val="Asuntodelcomentario"/>
    <w:uiPriority w:val="99"/>
    <w:semiHidden/>
    <w:rsid w:val="00BA144D"/>
    <w:rPr>
      <w:rFonts w:ascii="Exo" w:hAnsi="Exo"/>
      <w:b/>
      <w:bCs/>
      <w:sz w:val="20"/>
      <w:szCs w:val="20"/>
    </w:rPr>
  </w:style>
  <w:style w:type="paragraph" w:styleId="Textodeglobo">
    <w:name w:val="Balloon Text"/>
    <w:basedOn w:val="Normal"/>
    <w:link w:val="TextodegloboCar"/>
    <w:uiPriority w:val="99"/>
    <w:semiHidden/>
    <w:unhideWhenUsed/>
    <w:rsid w:val="00BA144D"/>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144D"/>
    <w:rPr>
      <w:rFonts w:ascii="Segoe UI" w:hAnsi="Segoe UI" w:cs="Segoe UI"/>
      <w:sz w:val="18"/>
      <w:szCs w:val="18"/>
    </w:rPr>
  </w:style>
  <w:style w:type="character" w:styleId="Textoennegrita">
    <w:name w:val="Strong"/>
    <w:basedOn w:val="Fuentedeprrafopredeter"/>
    <w:uiPriority w:val="22"/>
    <w:qFormat/>
    <w:rsid w:val="00EE16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D73B4-A782-4E88-875E-ED449DBA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8</Pages>
  <Words>2706</Words>
  <Characters>14887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Coordinación Técnica</cp:lastModifiedBy>
  <cp:revision>43</cp:revision>
  <cp:lastPrinted>2026-01-29T18:13:00Z</cp:lastPrinted>
  <dcterms:created xsi:type="dcterms:W3CDTF">2026-01-18T22:00:00Z</dcterms:created>
  <dcterms:modified xsi:type="dcterms:W3CDTF">2026-01-29T18:15:00Z</dcterms:modified>
</cp:coreProperties>
</file>