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49DC9" w14:textId="45C13D8A" w:rsidR="00CF5345" w:rsidRPr="00326270" w:rsidRDefault="005D19BA" w:rsidP="00754AE2">
      <w:pPr>
        <w:rPr>
          <w:rFonts w:ascii="Arial" w:hAnsi="Arial" w:cs="Arial"/>
          <w:b/>
        </w:rPr>
      </w:pPr>
      <w:bookmarkStart w:id="0" w:name="_Hlk220067393"/>
      <w:r w:rsidRPr="00326270">
        <w:rPr>
          <w:rFonts w:ascii="Arial" w:hAnsi="Arial" w:cs="Arial"/>
          <w:b/>
        </w:rPr>
        <w:t>ACUERDO QUE EMITE EL CONSEJO ESTATAL DEL INSTITUTO ELECTORAL Y DE PARTICIPACIÓN CIUDADANA DE TABASCO, MEDIANTE EL CUAL APRUEBA EL PROGRAMA ANUAL DE TRABAJO 202</w:t>
      </w:r>
      <w:r w:rsidR="005E6D7D">
        <w:rPr>
          <w:rFonts w:ascii="Arial" w:hAnsi="Arial" w:cs="Arial"/>
          <w:b/>
        </w:rPr>
        <w:t>6</w:t>
      </w:r>
      <w:r w:rsidRPr="00326270">
        <w:rPr>
          <w:rFonts w:ascii="Arial" w:hAnsi="Arial" w:cs="Arial"/>
          <w:b/>
        </w:rPr>
        <w:t xml:space="preserve"> PROPUESTO POR LA CONTRALORÍA GENERAL DEL PROPIO INSTITUTO</w:t>
      </w:r>
    </w:p>
    <w:bookmarkEnd w:id="0"/>
    <w:p w14:paraId="3B35E77C" w14:textId="3C27C5B0" w:rsidR="00754AE2" w:rsidRPr="0024379E" w:rsidRDefault="00754AE2" w:rsidP="00754AE2">
      <w:pPr>
        <w:rPr>
          <w:rFonts w:ascii="Arial" w:hAnsi="Arial" w:cs="Arial"/>
          <w:sz w:val="22"/>
        </w:rPr>
      </w:pPr>
      <w:r w:rsidRPr="0024379E">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D63CFC" w:rsidRPr="00326270" w14:paraId="7F14DD85" w14:textId="77777777" w:rsidTr="00A11B11">
        <w:trPr>
          <w:trHeight w:val="624"/>
          <w:jc w:val="center"/>
        </w:trPr>
        <w:tc>
          <w:tcPr>
            <w:tcW w:w="2042" w:type="pct"/>
            <w:vAlign w:val="center"/>
          </w:tcPr>
          <w:p w14:paraId="1DFE541E" w14:textId="77777777" w:rsidR="00754AE2" w:rsidRPr="0024379E" w:rsidRDefault="00754AE2" w:rsidP="00A11B11">
            <w:pPr>
              <w:widowControl w:val="0"/>
              <w:spacing w:before="40" w:after="40"/>
              <w:ind w:left="57"/>
              <w:jc w:val="right"/>
              <w:rPr>
                <w:rFonts w:ascii="Arial" w:hAnsi="Arial" w:cs="Arial"/>
                <w:b/>
                <w:sz w:val="20"/>
                <w:szCs w:val="20"/>
              </w:rPr>
            </w:pPr>
            <w:r w:rsidRPr="0024379E">
              <w:rPr>
                <w:rFonts w:ascii="Arial" w:hAnsi="Arial" w:cs="Arial"/>
                <w:b/>
                <w:sz w:val="20"/>
                <w:szCs w:val="20"/>
              </w:rPr>
              <w:t>Consejo Estatal:</w:t>
            </w:r>
          </w:p>
        </w:tc>
        <w:tc>
          <w:tcPr>
            <w:tcW w:w="2958" w:type="pct"/>
            <w:vAlign w:val="center"/>
          </w:tcPr>
          <w:p w14:paraId="40EDD518" w14:textId="77777777" w:rsidR="00754AE2" w:rsidRPr="0024379E" w:rsidRDefault="00754AE2" w:rsidP="00A11B11">
            <w:pPr>
              <w:widowControl w:val="0"/>
              <w:spacing w:before="40" w:after="40"/>
              <w:ind w:left="57"/>
              <w:rPr>
                <w:rFonts w:ascii="Arial" w:hAnsi="Arial" w:cs="Arial"/>
                <w:sz w:val="20"/>
                <w:szCs w:val="20"/>
              </w:rPr>
            </w:pPr>
            <w:r w:rsidRPr="0024379E">
              <w:rPr>
                <w:rFonts w:ascii="Arial" w:hAnsi="Arial" w:cs="Arial"/>
                <w:sz w:val="20"/>
                <w:szCs w:val="20"/>
              </w:rPr>
              <w:t>Consejo Estatal del Instituto Electoral y de Participación Ciudadana de Tabasco.</w:t>
            </w:r>
          </w:p>
        </w:tc>
      </w:tr>
      <w:tr w:rsidR="00D63CFC" w:rsidRPr="00326270" w14:paraId="6062A03B" w14:textId="77777777" w:rsidTr="00A11B11">
        <w:trPr>
          <w:trHeight w:val="624"/>
          <w:jc w:val="center"/>
        </w:trPr>
        <w:tc>
          <w:tcPr>
            <w:tcW w:w="2042" w:type="pct"/>
            <w:vAlign w:val="center"/>
          </w:tcPr>
          <w:p w14:paraId="5E83356B" w14:textId="77777777" w:rsidR="00754AE2" w:rsidRPr="0024379E" w:rsidRDefault="00754AE2" w:rsidP="00A11B11">
            <w:pPr>
              <w:widowControl w:val="0"/>
              <w:spacing w:before="40" w:after="40"/>
              <w:ind w:left="57"/>
              <w:jc w:val="right"/>
              <w:rPr>
                <w:rFonts w:ascii="Arial" w:hAnsi="Arial" w:cs="Arial"/>
                <w:b/>
                <w:sz w:val="20"/>
                <w:szCs w:val="20"/>
              </w:rPr>
            </w:pPr>
            <w:r w:rsidRPr="0024379E">
              <w:rPr>
                <w:rFonts w:ascii="Arial" w:hAnsi="Arial" w:cs="Arial"/>
                <w:b/>
                <w:sz w:val="20"/>
                <w:szCs w:val="20"/>
              </w:rPr>
              <w:t>Constitución Federal:</w:t>
            </w:r>
          </w:p>
        </w:tc>
        <w:tc>
          <w:tcPr>
            <w:tcW w:w="2958" w:type="pct"/>
            <w:vAlign w:val="center"/>
          </w:tcPr>
          <w:p w14:paraId="6AA53EAF" w14:textId="77777777" w:rsidR="00754AE2" w:rsidRPr="0024379E" w:rsidRDefault="00754AE2" w:rsidP="00A11B11">
            <w:pPr>
              <w:widowControl w:val="0"/>
              <w:spacing w:before="40" w:after="40"/>
              <w:ind w:left="57"/>
              <w:rPr>
                <w:rFonts w:ascii="Arial" w:hAnsi="Arial" w:cs="Arial"/>
                <w:sz w:val="20"/>
                <w:szCs w:val="20"/>
              </w:rPr>
            </w:pPr>
            <w:r w:rsidRPr="0024379E">
              <w:rPr>
                <w:rFonts w:ascii="Arial" w:hAnsi="Arial" w:cs="Arial"/>
                <w:sz w:val="20"/>
                <w:szCs w:val="20"/>
              </w:rPr>
              <w:t>Constitución Política de los Estados Unidos Mexicanos.</w:t>
            </w:r>
          </w:p>
        </w:tc>
      </w:tr>
      <w:tr w:rsidR="00D63CFC" w:rsidRPr="00326270" w14:paraId="56738D1F" w14:textId="77777777" w:rsidTr="00A11B11">
        <w:trPr>
          <w:trHeight w:val="624"/>
          <w:jc w:val="center"/>
        </w:trPr>
        <w:tc>
          <w:tcPr>
            <w:tcW w:w="2042" w:type="pct"/>
            <w:vAlign w:val="center"/>
          </w:tcPr>
          <w:p w14:paraId="42A9DD69" w14:textId="77777777" w:rsidR="00754AE2" w:rsidRPr="0024379E" w:rsidRDefault="00754AE2" w:rsidP="00A11B11">
            <w:pPr>
              <w:widowControl w:val="0"/>
              <w:spacing w:before="40" w:after="40"/>
              <w:ind w:left="57"/>
              <w:jc w:val="right"/>
              <w:rPr>
                <w:rFonts w:ascii="Arial" w:hAnsi="Arial" w:cs="Arial"/>
                <w:b/>
                <w:sz w:val="20"/>
                <w:szCs w:val="20"/>
              </w:rPr>
            </w:pPr>
            <w:r w:rsidRPr="0024379E">
              <w:rPr>
                <w:rFonts w:ascii="Arial" w:hAnsi="Arial" w:cs="Arial"/>
                <w:b/>
                <w:sz w:val="20"/>
                <w:szCs w:val="20"/>
              </w:rPr>
              <w:t>Constitución Local:</w:t>
            </w:r>
          </w:p>
        </w:tc>
        <w:tc>
          <w:tcPr>
            <w:tcW w:w="2958" w:type="pct"/>
            <w:vAlign w:val="center"/>
          </w:tcPr>
          <w:p w14:paraId="099FE728" w14:textId="77777777" w:rsidR="00754AE2" w:rsidRPr="0024379E" w:rsidRDefault="00754AE2" w:rsidP="00A11B11">
            <w:pPr>
              <w:widowControl w:val="0"/>
              <w:spacing w:before="40" w:after="40"/>
              <w:ind w:left="57"/>
              <w:rPr>
                <w:rFonts w:ascii="Arial" w:hAnsi="Arial" w:cs="Arial"/>
                <w:sz w:val="20"/>
                <w:szCs w:val="20"/>
              </w:rPr>
            </w:pPr>
            <w:r w:rsidRPr="0024379E">
              <w:rPr>
                <w:rFonts w:ascii="Arial" w:hAnsi="Arial" w:cs="Arial"/>
                <w:sz w:val="20"/>
                <w:szCs w:val="20"/>
              </w:rPr>
              <w:t>Constitución Política del Estado Libre y Soberano de Tabasco.</w:t>
            </w:r>
          </w:p>
        </w:tc>
      </w:tr>
      <w:tr w:rsidR="00D63CFC" w:rsidRPr="00326270" w14:paraId="1E8C71A8" w14:textId="77777777" w:rsidTr="00A11B11">
        <w:trPr>
          <w:trHeight w:val="624"/>
          <w:jc w:val="center"/>
        </w:trPr>
        <w:tc>
          <w:tcPr>
            <w:tcW w:w="2042" w:type="pct"/>
            <w:vAlign w:val="center"/>
          </w:tcPr>
          <w:p w14:paraId="29F9C2D1" w14:textId="77777777" w:rsidR="00754AE2" w:rsidRPr="0024379E" w:rsidRDefault="00754AE2" w:rsidP="00A11B11">
            <w:pPr>
              <w:widowControl w:val="0"/>
              <w:spacing w:before="120" w:after="120"/>
              <w:jc w:val="right"/>
              <w:rPr>
                <w:rFonts w:ascii="Arial" w:hAnsi="Arial" w:cs="Arial"/>
                <w:b/>
                <w:sz w:val="20"/>
                <w:szCs w:val="20"/>
              </w:rPr>
            </w:pPr>
            <w:r w:rsidRPr="0024379E">
              <w:rPr>
                <w:rFonts w:ascii="Arial" w:hAnsi="Arial" w:cs="Arial"/>
                <w:b/>
                <w:sz w:val="20"/>
                <w:szCs w:val="20"/>
              </w:rPr>
              <w:t>Contraloría General:</w:t>
            </w:r>
          </w:p>
        </w:tc>
        <w:tc>
          <w:tcPr>
            <w:tcW w:w="2958" w:type="pct"/>
            <w:vAlign w:val="center"/>
          </w:tcPr>
          <w:p w14:paraId="6DB39C9F" w14:textId="77777777" w:rsidR="00754AE2" w:rsidRPr="0024379E" w:rsidRDefault="00754AE2" w:rsidP="00A11B11">
            <w:pPr>
              <w:widowControl w:val="0"/>
              <w:spacing w:before="120" w:after="120"/>
              <w:rPr>
                <w:rFonts w:ascii="Arial" w:hAnsi="Arial" w:cs="Arial"/>
                <w:bCs/>
                <w:sz w:val="20"/>
                <w:szCs w:val="20"/>
              </w:rPr>
            </w:pPr>
            <w:r w:rsidRPr="0024379E">
              <w:rPr>
                <w:rFonts w:ascii="Arial" w:hAnsi="Arial" w:cs="Arial"/>
                <w:bCs/>
                <w:sz w:val="20"/>
                <w:szCs w:val="20"/>
              </w:rPr>
              <w:t>Contraloría General del Instituto Electoral y de Participación Ciudadana de Tabasco.</w:t>
            </w:r>
          </w:p>
        </w:tc>
      </w:tr>
      <w:tr w:rsidR="00D63CFC" w:rsidRPr="00326270" w14:paraId="4989DCB2" w14:textId="77777777" w:rsidTr="00A11B11">
        <w:trPr>
          <w:trHeight w:val="624"/>
          <w:jc w:val="center"/>
        </w:trPr>
        <w:tc>
          <w:tcPr>
            <w:tcW w:w="2042" w:type="pct"/>
            <w:vAlign w:val="center"/>
          </w:tcPr>
          <w:p w14:paraId="0CF0F11B" w14:textId="77777777" w:rsidR="00754AE2" w:rsidRPr="0024379E" w:rsidRDefault="00754AE2" w:rsidP="00A11B11">
            <w:pPr>
              <w:widowControl w:val="0"/>
              <w:spacing w:before="40" w:after="40"/>
              <w:ind w:left="57"/>
              <w:jc w:val="right"/>
              <w:rPr>
                <w:rFonts w:ascii="Arial" w:hAnsi="Arial" w:cs="Arial"/>
                <w:b/>
                <w:sz w:val="20"/>
                <w:szCs w:val="20"/>
              </w:rPr>
            </w:pPr>
            <w:r w:rsidRPr="0024379E">
              <w:rPr>
                <w:rFonts w:ascii="Arial" w:hAnsi="Arial" w:cs="Arial"/>
                <w:b/>
                <w:sz w:val="20"/>
                <w:szCs w:val="20"/>
              </w:rPr>
              <w:t>Instituto:</w:t>
            </w:r>
          </w:p>
        </w:tc>
        <w:tc>
          <w:tcPr>
            <w:tcW w:w="2958" w:type="pct"/>
          </w:tcPr>
          <w:p w14:paraId="125E5FB2" w14:textId="77777777" w:rsidR="00754AE2" w:rsidRPr="0024379E" w:rsidRDefault="00754AE2" w:rsidP="00A11B11">
            <w:pPr>
              <w:widowControl w:val="0"/>
              <w:spacing w:before="40" w:after="40"/>
              <w:ind w:left="57"/>
              <w:rPr>
                <w:rFonts w:ascii="Arial" w:hAnsi="Arial" w:cs="Arial"/>
                <w:sz w:val="20"/>
                <w:szCs w:val="20"/>
              </w:rPr>
            </w:pPr>
            <w:r w:rsidRPr="0024379E">
              <w:rPr>
                <w:rFonts w:ascii="Arial" w:hAnsi="Arial" w:cs="Arial"/>
                <w:sz w:val="20"/>
                <w:szCs w:val="20"/>
              </w:rPr>
              <w:t>Instituto Electoral y de Participación Ciudadana de Tabasco.</w:t>
            </w:r>
          </w:p>
        </w:tc>
      </w:tr>
      <w:tr w:rsidR="00D63CFC" w:rsidRPr="00326270" w14:paraId="4A5BD9DD" w14:textId="77777777" w:rsidTr="00A11B11">
        <w:trPr>
          <w:trHeight w:val="624"/>
          <w:jc w:val="center"/>
        </w:trPr>
        <w:tc>
          <w:tcPr>
            <w:tcW w:w="2042" w:type="pct"/>
            <w:vAlign w:val="center"/>
          </w:tcPr>
          <w:p w14:paraId="48E478DF" w14:textId="77777777" w:rsidR="00754AE2" w:rsidRPr="0024379E" w:rsidRDefault="00754AE2" w:rsidP="00A11B11">
            <w:pPr>
              <w:widowControl w:val="0"/>
              <w:spacing w:before="40" w:after="40"/>
              <w:ind w:left="57"/>
              <w:jc w:val="right"/>
              <w:rPr>
                <w:rFonts w:ascii="Arial" w:hAnsi="Arial" w:cs="Arial"/>
                <w:b/>
                <w:sz w:val="20"/>
                <w:szCs w:val="20"/>
              </w:rPr>
            </w:pPr>
            <w:r w:rsidRPr="0024379E">
              <w:rPr>
                <w:rFonts w:ascii="Arial" w:hAnsi="Arial" w:cs="Arial"/>
                <w:b/>
                <w:sz w:val="20"/>
                <w:szCs w:val="20"/>
              </w:rPr>
              <w:t>Ley Electoral:</w:t>
            </w:r>
          </w:p>
        </w:tc>
        <w:tc>
          <w:tcPr>
            <w:tcW w:w="2958" w:type="pct"/>
            <w:vAlign w:val="center"/>
          </w:tcPr>
          <w:p w14:paraId="7FFDE58A" w14:textId="77777777" w:rsidR="00754AE2" w:rsidRPr="0024379E" w:rsidRDefault="00754AE2" w:rsidP="00A11B11">
            <w:pPr>
              <w:widowControl w:val="0"/>
              <w:spacing w:before="40" w:after="40"/>
              <w:ind w:left="57"/>
              <w:rPr>
                <w:rFonts w:ascii="Arial" w:hAnsi="Arial" w:cs="Arial"/>
                <w:sz w:val="20"/>
                <w:szCs w:val="20"/>
              </w:rPr>
            </w:pPr>
            <w:r w:rsidRPr="0024379E">
              <w:rPr>
                <w:rFonts w:ascii="Arial" w:hAnsi="Arial" w:cs="Arial"/>
                <w:sz w:val="20"/>
                <w:szCs w:val="20"/>
              </w:rPr>
              <w:t>Ley Electoral y de Partidos Políticos del Estado de Tabasco.</w:t>
            </w:r>
          </w:p>
        </w:tc>
      </w:tr>
      <w:tr w:rsidR="00D63CFC" w:rsidRPr="00326270" w14:paraId="1BD1722F" w14:textId="77777777" w:rsidTr="00A11B11">
        <w:trPr>
          <w:trHeight w:val="624"/>
          <w:jc w:val="center"/>
        </w:trPr>
        <w:tc>
          <w:tcPr>
            <w:tcW w:w="2042" w:type="pct"/>
            <w:vAlign w:val="center"/>
          </w:tcPr>
          <w:p w14:paraId="14AC7461" w14:textId="77777777" w:rsidR="00754AE2" w:rsidRPr="0024379E" w:rsidRDefault="00754AE2" w:rsidP="00A11B11">
            <w:pPr>
              <w:widowControl w:val="0"/>
              <w:spacing w:before="40" w:after="40"/>
              <w:ind w:left="57"/>
              <w:jc w:val="right"/>
              <w:rPr>
                <w:rFonts w:ascii="Arial" w:hAnsi="Arial" w:cs="Arial"/>
                <w:b/>
                <w:sz w:val="20"/>
                <w:szCs w:val="20"/>
              </w:rPr>
            </w:pPr>
            <w:r w:rsidRPr="0024379E">
              <w:rPr>
                <w:rFonts w:ascii="Arial" w:hAnsi="Arial" w:cs="Arial"/>
                <w:b/>
                <w:sz w:val="20"/>
                <w:szCs w:val="20"/>
              </w:rPr>
              <w:t>Secretaría Ejecutiva:</w:t>
            </w:r>
          </w:p>
        </w:tc>
        <w:tc>
          <w:tcPr>
            <w:tcW w:w="2958" w:type="pct"/>
            <w:vAlign w:val="center"/>
          </w:tcPr>
          <w:p w14:paraId="36F97A31" w14:textId="77777777" w:rsidR="00754AE2" w:rsidRPr="0024379E" w:rsidRDefault="00754AE2" w:rsidP="00A11B11">
            <w:pPr>
              <w:widowControl w:val="0"/>
              <w:spacing w:before="40" w:after="40"/>
              <w:ind w:left="57"/>
              <w:rPr>
                <w:rFonts w:ascii="Arial" w:hAnsi="Arial" w:cs="Arial"/>
                <w:sz w:val="20"/>
                <w:szCs w:val="20"/>
              </w:rPr>
            </w:pPr>
            <w:r w:rsidRPr="0024379E">
              <w:rPr>
                <w:rFonts w:ascii="Arial" w:hAnsi="Arial" w:cs="Arial"/>
                <w:sz w:val="20"/>
                <w:szCs w:val="20"/>
              </w:rPr>
              <w:t>Secretaría Ejecutiva del Instituto Electoral y de Participación Ciudadana de Tabasco.</w:t>
            </w:r>
          </w:p>
        </w:tc>
      </w:tr>
    </w:tbl>
    <w:p w14:paraId="36B1201B" w14:textId="77777777" w:rsidR="00AA6B91" w:rsidRPr="00326270" w:rsidRDefault="00AA6B91" w:rsidP="004E00FD">
      <w:pPr>
        <w:pStyle w:val="Ttulo1"/>
        <w:rPr>
          <w:rFonts w:ascii="Arial" w:hAnsi="Arial" w:cs="Arial"/>
          <w:sz w:val="24"/>
          <w:szCs w:val="24"/>
        </w:rPr>
      </w:pPr>
      <w:r w:rsidRPr="00326270">
        <w:rPr>
          <w:rFonts w:ascii="Arial" w:hAnsi="Arial" w:cs="Arial"/>
          <w:sz w:val="24"/>
          <w:szCs w:val="24"/>
        </w:rPr>
        <w:t>Antecedentes</w:t>
      </w:r>
    </w:p>
    <w:p w14:paraId="44297384" w14:textId="77777777" w:rsidR="00AA6B91" w:rsidRPr="00293B28" w:rsidRDefault="00AA6B91" w:rsidP="00AA6B91">
      <w:pPr>
        <w:pStyle w:val="Ttulo2"/>
        <w:rPr>
          <w:rFonts w:ascii="Arial" w:hAnsi="Arial" w:cs="Arial"/>
          <w:sz w:val="22"/>
        </w:rPr>
      </w:pPr>
      <w:r w:rsidRPr="00293B28">
        <w:rPr>
          <w:rFonts w:ascii="Arial" w:hAnsi="Arial" w:cs="Arial"/>
          <w:sz w:val="22"/>
        </w:rPr>
        <w:t>Fines del Instituto</w:t>
      </w:r>
    </w:p>
    <w:p w14:paraId="51D7543B" w14:textId="77777777" w:rsidR="00E4338C" w:rsidRPr="00E4338C" w:rsidRDefault="00E4338C" w:rsidP="00E4338C">
      <w:pPr>
        <w:rPr>
          <w:rFonts w:ascii="Arial" w:hAnsi="Arial" w:cs="Arial"/>
          <w:sz w:val="22"/>
        </w:rPr>
      </w:pPr>
      <w:r w:rsidRPr="00E4338C">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CC74AC7" w14:textId="77777777" w:rsidR="00E4338C" w:rsidRPr="00E4338C" w:rsidRDefault="00E4338C" w:rsidP="00E4338C">
      <w:pPr>
        <w:rPr>
          <w:rFonts w:ascii="Arial" w:hAnsi="Arial" w:cs="Arial"/>
          <w:sz w:val="22"/>
        </w:rPr>
      </w:pPr>
      <w:r w:rsidRPr="00E4338C">
        <w:rPr>
          <w:rFonts w:ascii="Arial" w:hAnsi="Arial" w:cs="Arial"/>
          <w:sz w:val="22"/>
        </w:rPr>
        <w:lastRenderedPageBreak/>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6D14B6C5" w14:textId="148C8AFD" w:rsidR="00AA6B91" w:rsidRPr="00326270" w:rsidRDefault="00E4338C" w:rsidP="00E4338C">
      <w:pPr>
        <w:rPr>
          <w:rFonts w:ascii="Arial" w:hAnsi="Arial" w:cs="Arial"/>
          <w:sz w:val="22"/>
        </w:rPr>
      </w:pPr>
      <w:r w:rsidRPr="00E4338C">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r w:rsidR="004D221F">
        <w:rPr>
          <w:rFonts w:ascii="Arial" w:hAnsi="Arial" w:cs="Arial"/>
          <w:sz w:val="22"/>
        </w:rPr>
        <w:t>.</w:t>
      </w:r>
    </w:p>
    <w:p w14:paraId="4EB49DEC" w14:textId="77777777" w:rsidR="00AA6B91" w:rsidRPr="00326270" w:rsidRDefault="00AA6B91" w:rsidP="00AA6B91">
      <w:pPr>
        <w:pStyle w:val="Ttulo2"/>
        <w:rPr>
          <w:rFonts w:ascii="Arial" w:hAnsi="Arial" w:cs="Arial"/>
          <w:sz w:val="22"/>
        </w:rPr>
      </w:pPr>
      <w:r w:rsidRPr="00326270">
        <w:rPr>
          <w:rFonts w:ascii="Arial" w:hAnsi="Arial" w:cs="Arial"/>
          <w:sz w:val="22"/>
        </w:rPr>
        <w:t>Integración del órgano superior de dirección</w:t>
      </w:r>
    </w:p>
    <w:p w14:paraId="021B5868" w14:textId="77777777" w:rsidR="00AA6B91" w:rsidRPr="00326270" w:rsidRDefault="00AA6B91" w:rsidP="00AA6B91">
      <w:pPr>
        <w:rPr>
          <w:rFonts w:ascii="Arial" w:hAnsi="Arial" w:cs="Arial"/>
          <w:sz w:val="22"/>
        </w:rPr>
      </w:pPr>
      <w:r w:rsidRPr="00326270">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6E1B2FF2" w14:textId="77777777" w:rsidR="00AA6B91" w:rsidRPr="00326270" w:rsidRDefault="00AA6B91" w:rsidP="00AA6B91">
      <w:pPr>
        <w:rPr>
          <w:rFonts w:ascii="Arial" w:hAnsi="Arial" w:cs="Arial"/>
          <w:sz w:val="22"/>
        </w:rPr>
      </w:pPr>
      <w:r w:rsidRPr="00326270">
        <w:rPr>
          <w:rFonts w:ascii="Arial" w:hAnsi="Arial" w:cs="Arial"/>
          <w:sz w:val="22"/>
        </w:rPr>
        <w:t xml:space="preserve">Dicho órgano, de conformidad con los artículos 99 de la Ley General y 107 numeral 1 de la Ley Electoral, disponen que el Consejo Estatal se integrará por una </w:t>
      </w:r>
      <w:proofErr w:type="gramStart"/>
      <w:r w:rsidRPr="00326270">
        <w:rPr>
          <w:rFonts w:ascii="Arial" w:hAnsi="Arial" w:cs="Arial"/>
          <w:sz w:val="22"/>
        </w:rPr>
        <w:t>Consejera</w:t>
      </w:r>
      <w:proofErr w:type="gramEnd"/>
      <w:r w:rsidRPr="00326270">
        <w:rPr>
          <w:rFonts w:ascii="Arial" w:hAnsi="Arial" w:cs="Arial"/>
          <w:sz w:val="22"/>
        </w:rPr>
        <w:t xml:space="preserve"> o un </w:t>
      </w:r>
      <w:proofErr w:type="gramStart"/>
      <w:r w:rsidRPr="00326270">
        <w:rPr>
          <w:rFonts w:ascii="Arial" w:hAnsi="Arial" w:cs="Arial"/>
          <w:sz w:val="22"/>
        </w:rPr>
        <w:t>Consejero Presidente</w:t>
      </w:r>
      <w:proofErr w:type="gramEnd"/>
      <w:r w:rsidRPr="00326270">
        <w:rPr>
          <w:rFonts w:ascii="Arial" w:hAnsi="Arial" w:cs="Arial"/>
          <w:sz w:val="22"/>
        </w:rPr>
        <w:t xml:space="preserve"> y seis consejeras y consejeros electorales, con voz y voto; la </w:t>
      </w:r>
      <w:proofErr w:type="gramStart"/>
      <w:r w:rsidRPr="00326270">
        <w:rPr>
          <w:rFonts w:ascii="Arial" w:hAnsi="Arial" w:cs="Arial"/>
          <w:sz w:val="22"/>
        </w:rPr>
        <w:t>Secretaria</w:t>
      </w:r>
      <w:proofErr w:type="gramEnd"/>
      <w:r w:rsidRPr="00326270">
        <w:rPr>
          <w:rFonts w:ascii="Arial" w:hAnsi="Arial" w:cs="Arial"/>
          <w:sz w:val="22"/>
        </w:rPr>
        <w:t xml:space="preserve"> o el </w:t>
      </w:r>
      <w:proofErr w:type="gramStart"/>
      <w:r w:rsidRPr="00326270">
        <w:rPr>
          <w:rFonts w:ascii="Arial" w:hAnsi="Arial" w:cs="Arial"/>
          <w:sz w:val="22"/>
        </w:rPr>
        <w:t>Secretario Ejecutivo</w:t>
      </w:r>
      <w:proofErr w:type="gramEnd"/>
      <w:r w:rsidRPr="00326270">
        <w:rPr>
          <w:rFonts w:ascii="Arial" w:hAnsi="Arial" w:cs="Arial"/>
          <w:sz w:val="22"/>
        </w:rPr>
        <w:t xml:space="preserve"> y una o un representante por cada partido político con registro nacional o estatal, quienes concurrirán a las sesiones sólo con derecho a voz.</w:t>
      </w:r>
    </w:p>
    <w:p w14:paraId="0EB1C470" w14:textId="3EB285CF" w:rsidR="00326270" w:rsidRDefault="00AA6B91" w:rsidP="00AA6B91">
      <w:pPr>
        <w:rPr>
          <w:rFonts w:ascii="Arial" w:hAnsi="Arial" w:cs="Arial"/>
          <w:sz w:val="22"/>
        </w:rPr>
      </w:pPr>
      <w:bookmarkStart w:id="1" w:name="_Hlk220063898"/>
      <w:r w:rsidRPr="004D221F">
        <w:rPr>
          <w:rFonts w:ascii="Arial" w:hAnsi="Arial" w:cs="Arial"/>
          <w:sz w:val="22"/>
        </w:rPr>
        <w:t xml:space="preserve">No obstante, de acuerdo con el artículo segundo transitorio del decreto 080 de reforma </w:t>
      </w:r>
      <w:r w:rsidR="00945E9B" w:rsidRPr="004D221F">
        <w:rPr>
          <w:rFonts w:ascii="Arial" w:hAnsi="Arial" w:cs="Arial"/>
          <w:sz w:val="22"/>
        </w:rPr>
        <w:t>publicado en el Periódico Oficial del Estado de Tabasco el 16 de diciembre de 2024</w:t>
      </w:r>
      <w:r w:rsidRPr="004D221F">
        <w:rPr>
          <w:rFonts w:ascii="Arial" w:hAnsi="Arial" w:cs="Arial"/>
          <w:sz w:val="22"/>
        </w:rPr>
        <w:t>, se estableció que las y los representantes de los partidos políticos ante el Consejo Estatal no podrán participar en las acciones, activid</w:t>
      </w:r>
      <w:r w:rsidRPr="00326270">
        <w:rPr>
          <w:rFonts w:ascii="Arial" w:hAnsi="Arial" w:cs="Arial"/>
          <w:sz w:val="22"/>
        </w:rPr>
        <w:t xml:space="preserve">ades y sesiones relacionadas con el Proceso </w:t>
      </w:r>
      <w:r w:rsidRPr="00E4338C">
        <w:rPr>
          <w:rFonts w:ascii="Arial" w:hAnsi="Arial" w:cs="Arial"/>
          <w:sz w:val="22"/>
        </w:rPr>
        <w:t xml:space="preserve">Electoral </w:t>
      </w:r>
      <w:r w:rsidR="00E4338C" w:rsidRPr="00E4338C">
        <w:rPr>
          <w:rFonts w:ascii="Arial" w:hAnsi="Arial" w:cs="Arial"/>
          <w:sz w:val="22"/>
        </w:rPr>
        <w:t xml:space="preserve">para personas juzgadoras del Poder </w:t>
      </w:r>
      <w:r w:rsidR="004D221F" w:rsidRPr="00E4338C">
        <w:rPr>
          <w:rFonts w:ascii="Arial" w:hAnsi="Arial" w:cs="Arial"/>
          <w:sz w:val="22"/>
        </w:rPr>
        <w:t>Judicial</w:t>
      </w:r>
      <w:r w:rsidRPr="00E4338C">
        <w:rPr>
          <w:rFonts w:ascii="Arial" w:hAnsi="Arial" w:cs="Arial"/>
          <w:sz w:val="22"/>
        </w:rPr>
        <w:t>.</w:t>
      </w:r>
    </w:p>
    <w:p w14:paraId="5420599E" w14:textId="77777777" w:rsidR="0024379E" w:rsidRDefault="0024379E" w:rsidP="00AA6B91">
      <w:pPr>
        <w:rPr>
          <w:rFonts w:ascii="Arial" w:hAnsi="Arial" w:cs="Arial"/>
          <w:sz w:val="22"/>
        </w:rPr>
      </w:pPr>
    </w:p>
    <w:p w14:paraId="6C7BFA08" w14:textId="77777777" w:rsidR="0024379E" w:rsidRPr="00326270" w:rsidRDefault="0024379E" w:rsidP="00AA6B91">
      <w:pPr>
        <w:rPr>
          <w:rFonts w:ascii="Arial" w:hAnsi="Arial" w:cs="Arial"/>
          <w:sz w:val="22"/>
        </w:rPr>
      </w:pPr>
    </w:p>
    <w:bookmarkEnd w:id="1"/>
    <w:p w14:paraId="68CA9C1D" w14:textId="2724E7B5" w:rsidR="00754AE2" w:rsidRPr="00326270" w:rsidRDefault="00754AE2" w:rsidP="00754AE2">
      <w:pPr>
        <w:pStyle w:val="Ttulo2"/>
        <w:rPr>
          <w:rFonts w:ascii="Arial" w:hAnsi="Arial" w:cs="Arial"/>
          <w:sz w:val="22"/>
        </w:rPr>
      </w:pPr>
      <w:r w:rsidRPr="00326270">
        <w:rPr>
          <w:rFonts w:ascii="Arial" w:hAnsi="Arial" w:cs="Arial"/>
          <w:sz w:val="22"/>
        </w:rPr>
        <w:lastRenderedPageBreak/>
        <w:t xml:space="preserve">Órgano Interno de Control del Instituto </w:t>
      </w:r>
    </w:p>
    <w:p w14:paraId="3FD3EE8F" w14:textId="77777777" w:rsidR="00754AE2" w:rsidRPr="00326270" w:rsidRDefault="00754AE2" w:rsidP="00754AE2">
      <w:pPr>
        <w:rPr>
          <w:rFonts w:ascii="Arial" w:hAnsi="Arial" w:cs="Arial"/>
          <w:sz w:val="22"/>
        </w:rPr>
      </w:pPr>
      <w:r w:rsidRPr="00326270">
        <w:rPr>
          <w:rFonts w:ascii="Arial" w:hAnsi="Arial" w:cs="Arial"/>
          <w:sz w:val="22"/>
        </w:rPr>
        <w:t>De conformidad con lo dispuesto por el artículo 9, apartado C, inciso g) de la Constitución Local, el Instituto contará con una Contraloría General, dotada de autonomía técnica y de gestión, que tendrá a su cargo la fiscalización de todos los ingresos y egresos del propio Instituto.</w:t>
      </w:r>
    </w:p>
    <w:p w14:paraId="4073BE9D" w14:textId="77777777" w:rsidR="00754AE2" w:rsidRPr="00326270" w:rsidRDefault="00754AE2" w:rsidP="00754AE2">
      <w:pPr>
        <w:pStyle w:val="Ttulo2"/>
        <w:rPr>
          <w:rFonts w:ascii="Arial" w:hAnsi="Arial" w:cs="Arial"/>
          <w:sz w:val="22"/>
        </w:rPr>
      </w:pPr>
      <w:r w:rsidRPr="00326270">
        <w:rPr>
          <w:rFonts w:ascii="Arial" w:hAnsi="Arial" w:cs="Arial"/>
          <w:sz w:val="22"/>
        </w:rPr>
        <w:t>Remisión del Programa Anual de Trabajo de la Contraloría General</w:t>
      </w:r>
    </w:p>
    <w:p w14:paraId="33645EA2" w14:textId="5FDCDB65" w:rsidR="00754AE2" w:rsidRDefault="00754AE2" w:rsidP="00293B28">
      <w:pPr>
        <w:spacing w:before="0" w:after="0"/>
        <w:rPr>
          <w:rFonts w:ascii="Arial" w:hAnsi="Arial" w:cs="Arial"/>
          <w:sz w:val="22"/>
        </w:rPr>
      </w:pPr>
      <w:r w:rsidRPr="001B5ABF">
        <w:rPr>
          <w:rFonts w:ascii="Arial" w:hAnsi="Arial" w:cs="Arial"/>
          <w:sz w:val="22"/>
        </w:rPr>
        <w:t xml:space="preserve">El </w:t>
      </w:r>
      <w:r w:rsidR="00C76F2F" w:rsidRPr="001B5ABF">
        <w:rPr>
          <w:rFonts w:ascii="Arial" w:hAnsi="Arial" w:cs="Arial"/>
          <w:sz w:val="22"/>
        </w:rPr>
        <w:t>10</w:t>
      </w:r>
      <w:r w:rsidRPr="001B5ABF">
        <w:rPr>
          <w:rFonts w:ascii="Arial" w:hAnsi="Arial" w:cs="Arial"/>
          <w:sz w:val="22"/>
        </w:rPr>
        <w:t xml:space="preserve"> de </w:t>
      </w:r>
      <w:r w:rsidR="00C76F2F" w:rsidRPr="001B5ABF">
        <w:rPr>
          <w:rFonts w:ascii="Arial" w:hAnsi="Arial" w:cs="Arial"/>
          <w:sz w:val="22"/>
        </w:rPr>
        <w:t>diciembre</w:t>
      </w:r>
      <w:r w:rsidRPr="001B5ABF">
        <w:rPr>
          <w:rFonts w:ascii="Arial" w:hAnsi="Arial" w:cs="Arial"/>
          <w:sz w:val="22"/>
        </w:rPr>
        <w:t xml:space="preserve"> de 202</w:t>
      </w:r>
      <w:r w:rsidR="004D221F">
        <w:rPr>
          <w:rFonts w:ascii="Arial" w:hAnsi="Arial" w:cs="Arial"/>
          <w:sz w:val="22"/>
        </w:rPr>
        <w:t>5</w:t>
      </w:r>
      <w:r w:rsidRPr="001B5ABF">
        <w:rPr>
          <w:rFonts w:ascii="Arial" w:hAnsi="Arial" w:cs="Arial"/>
          <w:sz w:val="22"/>
        </w:rPr>
        <w:t>, mediante oficio CG/</w:t>
      </w:r>
      <w:r w:rsidR="00C76F2F" w:rsidRPr="001B5ABF">
        <w:rPr>
          <w:rFonts w:ascii="Arial" w:hAnsi="Arial" w:cs="Arial"/>
          <w:sz w:val="22"/>
        </w:rPr>
        <w:t>317</w:t>
      </w:r>
      <w:r w:rsidRPr="001B5ABF">
        <w:rPr>
          <w:rFonts w:ascii="Arial" w:hAnsi="Arial" w:cs="Arial"/>
          <w:sz w:val="22"/>
        </w:rPr>
        <w:t>/202</w:t>
      </w:r>
      <w:r w:rsidR="00C76F2F" w:rsidRPr="001B5ABF">
        <w:rPr>
          <w:rFonts w:ascii="Arial" w:hAnsi="Arial" w:cs="Arial"/>
          <w:sz w:val="22"/>
        </w:rPr>
        <w:t>5</w:t>
      </w:r>
      <w:r w:rsidRPr="001B5ABF">
        <w:rPr>
          <w:rFonts w:ascii="Arial" w:hAnsi="Arial" w:cs="Arial"/>
          <w:sz w:val="22"/>
        </w:rPr>
        <w:t>, la Contralora General remitió a la Presidencia del Instituto, el Programa Anual de Trabajo 202</w:t>
      </w:r>
      <w:r w:rsidR="005E6D7D" w:rsidRPr="001B5ABF">
        <w:rPr>
          <w:rFonts w:ascii="Arial" w:hAnsi="Arial" w:cs="Arial"/>
          <w:sz w:val="22"/>
        </w:rPr>
        <w:t>6</w:t>
      </w:r>
      <w:r w:rsidRPr="001B5ABF">
        <w:rPr>
          <w:rFonts w:ascii="Arial" w:hAnsi="Arial" w:cs="Arial"/>
          <w:sz w:val="22"/>
        </w:rPr>
        <w:t xml:space="preserve"> de la propia Contraloría General; para la deliberación y en su caso, aprobación por parte del Consejo Estatal, de conformidad</w:t>
      </w:r>
      <w:r w:rsidRPr="00326270">
        <w:rPr>
          <w:rFonts w:ascii="Arial" w:hAnsi="Arial" w:cs="Arial"/>
          <w:sz w:val="22"/>
        </w:rPr>
        <w:t xml:space="preserve"> con los artículos 377 y 381 numeral 1, fracción XVIII de la Ley Electoral.</w:t>
      </w:r>
    </w:p>
    <w:p w14:paraId="265E1838" w14:textId="77777777" w:rsidR="0024379E" w:rsidRDefault="0024379E" w:rsidP="00293B28">
      <w:pPr>
        <w:spacing w:before="0" w:after="0"/>
        <w:rPr>
          <w:rFonts w:ascii="Arial" w:hAnsi="Arial" w:cs="Arial"/>
          <w:sz w:val="22"/>
        </w:rPr>
      </w:pPr>
    </w:p>
    <w:p w14:paraId="5109A376" w14:textId="77777777" w:rsidR="00293B28" w:rsidRDefault="00293B28" w:rsidP="00293B28">
      <w:pPr>
        <w:spacing w:before="0" w:after="0"/>
        <w:rPr>
          <w:rFonts w:ascii="Arial" w:hAnsi="Arial" w:cs="Arial"/>
          <w:sz w:val="22"/>
        </w:rPr>
      </w:pPr>
    </w:p>
    <w:p w14:paraId="2C8F3F46" w14:textId="478B66B5" w:rsidR="00754AE2" w:rsidRDefault="00D63CFC" w:rsidP="00293B28">
      <w:pPr>
        <w:pStyle w:val="Ttulo1"/>
        <w:spacing w:before="0" w:after="0"/>
        <w:rPr>
          <w:rFonts w:ascii="Arial" w:hAnsi="Arial" w:cs="Arial"/>
          <w:sz w:val="24"/>
          <w:szCs w:val="24"/>
        </w:rPr>
      </w:pPr>
      <w:r w:rsidRPr="00326270">
        <w:rPr>
          <w:rFonts w:ascii="Arial" w:hAnsi="Arial" w:cs="Arial"/>
          <w:sz w:val="24"/>
          <w:szCs w:val="24"/>
        </w:rPr>
        <w:t>Considerando</w:t>
      </w:r>
    </w:p>
    <w:p w14:paraId="49EFF66F" w14:textId="77777777" w:rsidR="00293B28" w:rsidRPr="00293B28" w:rsidRDefault="00293B28" w:rsidP="00293B28">
      <w:pPr>
        <w:spacing w:before="0" w:after="0"/>
      </w:pPr>
    </w:p>
    <w:p w14:paraId="6E67B3C1" w14:textId="77777777" w:rsidR="00D63CFC" w:rsidRPr="00326270" w:rsidRDefault="00D63CFC" w:rsidP="00293B28">
      <w:pPr>
        <w:pStyle w:val="Ttulo2"/>
        <w:spacing w:before="0" w:after="0"/>
        <w:rPr>
          <w:rFonts w:ascii="Arial" w:hAnsi="Arial" w:cs="Arial"/>
          <w:sz w:val="22"/>
        </w:rPr>
      </w:pPr>
      <w:r w:rsidRPr="00326270">
        <w:rPr>
          <w:rFonts w:ascii="Arial" w:hAnsi="Arial" w:cs="Arial"/>
          <w:sz w:val="22"/>
        </w:rPr>
        <w:t>Competencia del Consejo Estatal</w:t>
      </w:r>
    </w:p>
    <w:p w14:paraId="1B67DE0A" w14:textId="408A6940" w:rsidR="00D63CFC" w:rsidRPr="00326270" w:rsidRDefault="00D63CFC" w:rsidP="00D63CFC">
      <w:pPr>
        <w:suppressLineNumbers/>
        <w:rPr>
          <w:rFonts w:ascii="Arial" w:hAnsi="Arial" w:cs="Arial"/>
          <w:sz w:val="22"/>
        </w:rPr>
      </w:pPr>
      <w:r w:rsidRPr="00326270">
        <w:rPr>
          <w:rFonts w:ascii="Arial" w:hAnsi="Arial" w:cs="Arial"/>
          <w:sz w:val="22"/>
        </w:rPr>
        <w:t>Que, de la interpretación sistemática y funcional a los artículos 115</w:t>
      </w:r>
      <w:r w:rsidR="00E4338C">
        <w:rPr>
          <w:rFonts w:ascii="Arial" w:hAnsi="Arial" w:cs="Arial"/>
          <w:sz w:val="22"/>
        </w:rPr>
        <w:t>,</w:t>
      </w:r>
      <w:r w:rsidRPr="00326270">
        <w:rPr>
          <w:rFonts w:ascii="Arial" w:hAnsi="Arial" w:cs="Arial"/>
          <w:sz w:val="22"/>
        </w:rPr>
        <w:t xml:space="preserve"> numeral 1, fracción XXXIX y 381</w:t>
      </w:r>
      <w:r w:rsidR="00E4338C">
        <w:rPr>
          <w:rFonts w:ascii="Arial" w:hAnsi="Arial" w:cs="Arial"/>
          <w:sz w:val="22"/>
        </w:rPr>
        <w:t>,</w:t>
      </w:r>
      <w:r w:rsidRPr="00326270">
        <w:rPr>
          <w:rFonts w:ascii="Arial" w:hAnsi="Arial" w:cs="Arial"/>
          <w:sz w:val="22"/>
        </w:rPr>
        <w:t xml:space="preserve"> numeral 1, fracción XVIII de la Ley Electoral, corresponde al Consejo Estatal aprobar el Programa Anual de Trabajo, previa propuesta que presente la Contraloría General.</w:t>
      </w:r>
    </w:p>
    <w:p w14:paraId="46AC0BA6" w14:textId="18F49664" w:rsidR="00293B28" w:rsidRPr="00326270" w:rsidRDefault="00D63CFC" w:rsidP="00D63CFC">
      <w:pPr>
        <w:suppressLineNumbers/>
        <w:rPr>
          <w:rFonts w:ascii="Arial" w:hAnsi="Arial" w:cs="Arial"/>
          <w:sz w:val="22"/>
        </w:rPr>
      </w:pPr>
      <w:r w:rsidRPr="00326270">
        <w:rPr>
          <w:rFonts w:ascii="Arial" w:hAnsi="Arial" w:cs="Arial"/>
          <w:sz w:val="22"/>
        </w:rPr>
        <w:t>Acorde a lo anterior, el artículo 115</w:t>
      </w:r>
      <w:r w:rsidR="00E4338C">
        <w:rPr>
          <w:rFonts w:ascii="Arial" w:hAnsi="Arial" w:cs="Arial"/>
          <w:sz w:val="22"/>
        </w:rPr>
        <w:t>,</w:t>
      </w:r>
      <w:r w:rsidRPr="00326270">
        <w:rPr>
          <w:rFonts w:ascii="Arial" w:hAnsi="Arial" w:cs="Arial"/>
          <w:sz w:val="22"/>
        </w:rPr>
        <w:t xml:space="preserve"> numeral 2 de la Ley Electoral,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6169CB64" w14:textId="77777777" w:rsidR="00D63CFC" w:rsidRPr="00326270" w:rsidRDefault="00D63CFC" w:rsidP="00D63CFC">
      <w:pPr>
        <w:pStyle w:val="Ttulo2"/>
        <w:rPr>
          <w:rFonts w:ascii="Arial" w:hAnsi="Arial" w:cs="Arial"/>
          <w:sz w:val="22"/>
        </w:rPr>
      </w:pPr>
      <w:r w:rsidRPr="00326270">
        <w:rPr>
          <w:rFonts w:ascii="Arial" w:hAnsi="Arial" w:cs="Arial"/>
          <w:sz w:val="22"/>
        </w:rPr>
        <w:t>Contraloría General</w:t>
      </w:r>
    </w:p>
    <w:p w14:paraId="32ACB4A3" w14:textId="77777777" w:rsidR="00D63CFC" w:rsidRPr="00326270" w:rsidRDefault="00D63CFC" w:rsidP="00D63CFC">
      <w:pPr>
        <w:suppressLineNumbers/>
        <w:rPr>
          <w:rFonts w:ascii="Arial" w:hAnsi="Arial" w:cs="Arial"/>
          <w:sz w:val="22"/>
        </w:rPr>
      </w:pPr>
      <w:r w:rsidRPr="00326270">
        <w:rPr>
          <w:rFonts w:ascii="Arial" w:hAnsi="Arial" w:cs="Arial"/>
          <w:sz w:val="22"/>
        </w:rPr>
        <w:t>Que, de conformidad con el artículo 2, fracción XXI de la Ley General de Responsabilidades Administrativas, los órganos internos de control son las unidades administrativas a cargo de promover, evaluar y fortalecer el buen funcionamiento del control interno en los entes públicos, así como aquellas otras instancias de los órganos constitucionales autónomos que, conforme a sus respectivas leyes, sean competentes para aplicar las leyes en materia de responsabilidades de servidores públicos.</w:t>
      </w:r>
    </w:p>
    <w:p w14:paraId="269AADFA" w14:textId="77777777" w:rsidR="00D63CFC" w:rsidRPr="00326270" w:rsidRDefault="00D63CFC" w:rsidP="00D63CFC">
      <w:pPr>
        <w:suppressLineNumbers/>
        <w:rPr>
          <w:rFonts w:ascii="Arial" w:hAnsi="Arial" w:cs="Arial"/>
          <w:sz w:val="22"/>
        </w:rPr>
      </w:pPr>
      <w:r w:rsidRPr="00326270">
        <w:rPr>
          <w:rFonts w:ascii="Arial" w:hAnsi="Arial" w:cs="Arial"/>
          <w:sz w:val="22"/>
        </w:rPr>
        <w:lastRenderedPageBreak/>
        <w:t>En ese contexto, los artículos 377 y 378, numeral 3 de la Ley Electoral, refieren que la Contraloría General es el órgano de control interno del Instituto, que tiene a su cargo, entre otras actividades, la fiscalización de todos los ingresos y egresos del propio Instituto; contando con la estructura orgánica, personal y recursos que apruebe el Consejo Estatal, a propuesta de su titular.</w:t>
      </w:r>
    </w:p>
    <w:p w14:paraId="171124B8" w14:textId="77777777" w:rsidR="00D63CFC" w:rsidRPr="00326270" w:rsidRDefault="00D63CFC" w:rsidP="00D63CFC">
      <w:pPr>
        <w:pStyle w:val="Ttulo2"/>
        <w:rPr>
          <w:rFonts w:ascii="Arial" w:hAnsi="Arial" w:cs="Arial"/>
          <w:sz w:val="22"/>
        </w:rPr>
      </w:pPr>
      <w:r w:rsidRPr="00326270">
        <w:rPr>
          <w:rFonts w:ascii="Arial" w:hAnsi="Arial" w:cs="Arial"/>
          <w:sz w:val="22"/>
        </w:rPr>
        <w:t>Facultades de la Contraloría General</w:t>
      </w:r>
    </w:p>
    <w:p w14:paraId="07BA529B" w14:textId="7A3A4182" w:rsidR="00D63CFC" w:rsidRPr="00326270" w:rsidRDefault="00D63CFC" w:rsidP="00D63CFC">
      <w:pPr>
        <w:suppressLineNumbers/>
        <w:rPr>
          <w:rFonts w:ascii="Arial" w:hAnsi="Arial" w:cs="Arial"/>
          <w:sz w:val="22"/>
        </w:rPr>
      </w:pPr>
      <w:r w:rsidRPr="00326270">
        <w:rPr>
          <w:rFonts w:ascii="Arial" w:hAnsi="Arial" w:cs="Arial"/>
          <w:sz w:val="22"/>
        </w:rPr>
        <w:t>Que, el artículo 381</w:t>
      </w:r>
      <w:r w:rsidR="00E4338C">
        <w:rPr>
          <w:rFonts w:ascii="Arial" w:hAnsi="Arial" w:cs="Arial"/>
          <w:sz w:val="22"/>
        </w:rPr>
        <w:t>,</w:t>
      </w:r>
      <w:r w:rsidRPr="00326270">
        <w:rPr>
          <w:rFonts w:ascii="Arial" w:hAnsi="Arial" w:cs="Arial"/>
          <w:sz w:val="22"/>
        </w:rPr>
        <w:t xml:space="preserve"> numeral 1 de la Ley Electoral establece que la Contraloría General tendrá las siguientes facultades:</w:t>
      </w:r>
    </w:p>
    <w:p w14:paraId="11FFBAC9" w14:textId="29C3336C"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Fijar los criterios para la realización de las auditorías, procedimientos, métodos y sistemas necesarios para la revisión y fiscalización de los recursos a cargo de las áreas y órganos del Instituto</w:t>
      </w:r>
      <w:r w:rsidR="00A3027F">
        <w:rPr>
          <w:rFonts w:ascii="Arial" w:hAnsi="Arial" w:cs="Arial"/>
          <w:sz w:val="22"/>
        </w:rPr>
        <w:t xml:space="preserve"> Estatal</w:t>
      </w:r>
      <w:r w:rsidRPr="00326270">
        <w:rPr>
          <w:rFonts w:ascii="Arial" w:hAnsi="Arial" w:cs="Arial"/>
          <w:sz w:val="22"/>
        </w:rPr>
        <w:t>;</w:t>
      </w:r>
    </w:p>
    <w:p w14:paraId="1AAD668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w:t>
      </w:r>
    </w:p>
    <w:p w14:paraId="0942CA52"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Evaluar los informes de avance de la gestión financiera respecto de los programas autorizados y los relativos a procesos concluidos;</w:t>
      </w:r>
    </w:p>
    <w:p w14:paraId="625862A3"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Evaluar el cumplimiento de los objetivos y metas fijadas en los programas de naturaleza administrativa contenidos en el presupuesto de egresos del Instituto Estatal;</w:t>
      </w:r>
    </w:p>
    <w:p w14:paraId="73CCDF8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Verificar que las diversas áreas administrativas del Instituto Estatal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w:t>
      </w:r>
    </w:p>
    <w:p w14:paraId="15A92A59"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Revisar que las operaciones presupuestales que realice el Instituto Estatal se hagan con apego a las disposiciones legales y administrativas aplicables a estas materias;</w:t>
      </w:r>
    </w:p>
    <w:p w14:paraId="15CA513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Verificar las obras, bienes adquiridos o arrendados y servicios contratados, para comprobar que las inversiones y gastos autorizados se han aplicado, legal y eficientemente, al logro de los objetivos y metas de los programas aprobados;</w:t>
      </w:r>
    </w:p>
    <w:p w14:paraId="0D9A0C90"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lastRenderedPageBreak/>
        <w:t>Requerir a terceros que hubieran contratado bienes o servicios con el Instituto la información relacionada con la documentación justificativa y comprobatoria respectiva, a efecto de realizar las compulsas que correspondan;</w:t>
      </w:r>
    </w:p>
    <w:p w14:paraId="69E0AD87"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Solicitar y obtener la información necesaria para el cumplimiento de sus funciones. Por lo que hace a la información relativa a las operaciones de cualquier tipo proporcionada por las instituciones de crédito, les será aplicable a todos los servidores públicos de la propia Contraloría General, así como a los profesionales contratados para la práctica de auditorías, la obligación de guardar la reserva a que aluden las disposiciones normativas en materia de transparencia y acceso a la información pública;</w:t>
      </w:r>
    </w:p>
    <w:p w14:paraId="6B6DFD3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Emitir los lineamientos, instruir, desahogar y resolver los procedimientos administrativos respecto de las quejas que se presenten en contra de los servidores públicos del Instituto que se encuentren en el supuesto del numeral 3 del artículo 368 de la Ley Electoral, y llevar el registro de los servidores públicos sancionados;</w:t>
      </w:r>
    </w:p>
    <w:p w14:paraId="75990E42" w14:textId="630E8DE5"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Investigar, en el ámbito de su competencia, los actos u omisiones que impliquen alguna irregularidad o conducta ilícita en el ingreso, egreso, manejo, custodia y aplicación de fondos y recursos del Instituto</w:t>
      </w:r>
      <w:r w:rsidR="00A3027F">
        <w:rPr>
          <w:rFonts w:ascii="Arial" w:hAnsi="Arial" w:cs="Arial"/>
          <w:sz w:val="22"/>
        </w:rPr>
        <w:t xml:space="preserve"> Estatal</w:t>
      </w:r>
      <w:r w:rsidRPr="00326270">
        <w:rPr>
          <w:rFonts w:ascii="Arial" w:hAnsi="Arial" w:cs="Arial"/>
          <w:sz w:val="22"/>
        </w:rPr>
        <w:t>;</w:t>
      </w:r>
    </w:p>
    <w:p w14:paraId="0BC4F8FC"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Recibir denuncias o quejas directamente relacionadas con el uso y disposición de los ingresos y recursos del Instituto por parte de los servidores públicos del mismo y desahogar los procedimientos a que haya lugar;</w:t>
      </w:r>
    </w:p>
    <w:p w14:paraId="1E908A87"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Efectuar visitas a las sedes físicas de las áreas y órganos del Instituto para solicitar la exhibición de los libros y papeles indispensables para la realización de sus investigaciones, sujetándose a las formalidades respectivas;</w:t>
      </w:r>
    </w:p>
    <w:p w14:paraId="2A1F329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Establecer los mecanismos de orientación y cursos de capacitación que resulten necesarios para que los servidores públicos del Instituto cumplan adecuadamente con sus responsabilidades administrativas;</w:t>
      </w:r>
    </w:p>
    <w:p w14:paraId="09E57526"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Formular pliegos de observaciones en materia administrativa;</w:t>
      </w:r>
    </w:p>
    <w:p w14:paraId="42CBEA8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Determinar los daños y perjuicios que afecten al Instituto en su patrimonio y fincar directamente a los responsables las indemnizaciones y sanciones pecuniarias correspondientes;</w:t>
      </w:r>
    </w:p>
    <w:p w14:paraId="23F2027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Fincar las responsabilidades e imponer las sanciones en términos de los lineamientos respectivos;</w:t>
      </w:r>
    </w:p>
    <w:p w14:paraId="1655172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Presentar a la aprobación del Consejo Estatal sus programas anuales de trabajo;</w:t>
      </w:r>
    </w:p>
    <w:p w14:paraId="5966D690"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lastRenderedPageBreak/>
        <w:t xml:space="preserve">Presentar al Consejo Estatal los informes previo y anual de resultados de su gestión, y acudir ante el mismo cuando así lo requiera la </w:t>
      </w:r>
      <w:proofErr w:type="gramStart"/>
      <w:r w:rsidRPr="00326270">
        <w:rPr>
          <w:rFonts w:ascii="Arial" w:hAnsi="Arial" w:cs="Arial"/>
          <w:sz w:val="22"/>
        </w:rPr>
        <w:t>Consejera</w:t>
      </w:r>
      <w:proofErr w:type="gramEnd"/>
      <w:r w:rsidRPr="00326270">
        <w:rPr>
          <w:rFonts w:ascii="Arial" w:hAnsi="Arial" w:cs="Arial"/>
          <w:sz w:val="22"/>
        </w:rPr>
        <w:t xml:space="preserve"> o </w:t>
      </w:r>
      <w:proofErr w:type="gramStart"/>
      <w:r w:rsidRPr="00326270">
        <w:rPr>
          <w:rFonts w:ascii="Arial" w:hAnsi="Arial" w:cs="Arial"/>
          <w:sz w:val="22"/>
        </w:rPr>
        <w:t>Consejero Presidente</w:t>
      </w:r>
      <w:proofErr w:type="gramEnd"/>
      <w:r w:rsidRPr="00326270">
        <w:rPr>
          <w:rFonts w:ascii="Arial" w:hAnsi="Arial" w:cs="Arial"/>
          <w:sz w:val="22"/>
        </w:rPr>
        <w:t>;</w:t>
      </w:r>
    </w:p>
    <w:p w14:paraId="59423B83"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 xml:space="preserve">Participar, a través de su titular, con voz, pero sin voto, en las sesiones de la Junta Ejecutiva del Instituto, cuando por motivo del ejercicio de sus facultades así lo considere necesario la </w:t>
      </w:r>
      <w:proofErr w:type="gramStart"/>
      <w:r w:rsidRPr="00326270">
        <w:rPr>
          <w:rFonts w:ascii="Arial" w:hAnsi="Arial" w:cs="Arial"/>
          <w:sz w:val="22"/>
        </w:rPr>
        <w:t>Consejera</w:t>
      </w:r>
      <w:proofErr w:type="gramEnd"/>
      <w:r w:rsidRPr="00326270">
        <w:rPr>
          <w:rFonts w:ascii="Arial" w:hAnsi="Arial" w:cs="Arial"/>
          <w:sz w:val="22"/>
        </w:rPr>
        <w:t xml:space="preserve"> o </w:t>
      </w:r>
      <w:proofErr w:type="gramStart"/>
      <w:r w:rsidRPr="00326270">
        <w:rPr>
          <w:rFonts w:ascii="Arial" w:hAnsi="Arial" w:cs="Arial"/>
          <w:sz w:val="22"/>
        </w:rPr>
        <w:t>Consejero Presidente</w:t>
      </w:r>
      <w:proofErr w:type="gramEnd"/>
      <w:r w:rsidRPr="00326270">
        <w:rPr>
          <w:rFonts w:ascii="Arial" w:hAnsi="Arial" w:cs="Arial"/>
          <w:sz w:val="22"/>
        </w:rPr>
        <w:t>;</w:t>
      </w:r>
    </w:p>
    <w:p w14:paraId="5CF1EB54"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Recibir y resguardar las declaraciones patrimoniales que deban presentar los servidores públicos del Instituto, a partir del nivel de jefe de departamento, conforme a los formatos y procedimientos que establezca la propia Contraloría General. Serán aplicables en lo conducente las normas establecidas en la ley de la materia;</w:t>
      </w:r>
    </w:p>
    <w:p w14:paraId="47DDCE1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Intervenir en los procesos de entrega-recepción por inicio o conclusión de encargo de los servidores públicos que corresponda.</w:t>
      </w:r>
    </w:p>
    <w:p w14:paraId="2337C9EE" w14:textId="37AA43F1" w:rsidR="00D63CFC" w:rsidRPr="00326270" w:rsidRDefault="00D63CFC" w:rsidP="00D63CFC">
      <w:pPr>
        <w:pStyle w:val="Ttulo2"/>
        <w:rPr>
          <w:rFonts w:ascii="Arial" w:hAnsi="Arial" w:cs="Arial"/>
          <w:sz w:val="22"/>
        </w:rPr>
      </w:pPr>
      <w:r w:rsidRPr="00326270">
        <w:rPr>
          <w:rFonts w:ascii="Arial" w:hAnsi="Arial" w:cs="Arial"/>
          <w:sz w:val="22"/>
        </w:rPr>
        <w:t>Programa Anual de Trabajo 202</w:t>
      </w:r>
      <w:r w:rsidR="00A3027F">
        <w:rPr>
          <w:rFonts w:ascii="Arial" w:hAnsi="Arial" w:cs="Arial"/>
          <w:sz w:val="22"/>
        </w:rPr>
        <w:t>6</w:t>
      </w:r>
    </w:p>
    <w:p w14:paraId="4116056E" w14:textId="54B07C39" w:rsidR="00B05834" w:rsidRPr="003869F4" w:rsidRDefault="001371C8" w:rsidP="00D63CFC">
      <w:pPr>
        <w:suppressLineNumbers/>
        <w:rPr>
          <w:rFonts w:ascii="Arial" w:hAnsi="Arial" w:cs="Arial"/>
          <w:sz w:val="22"/>
        </w:rPr>
      </w:pPr>
      <w:r>
        <w:rPr>
          <w:rFonts w:ascii="Arial" w:hAnsi="Arial" w:cs="Arial"/>
          <w:sz w:val="22"/>
        </w:rPr>
        <w:t>E</w:t>
      </w:r>
      <w:r w:rsidR="00B05834" w:rsidRPr="00326270">
        <w:rPr>
          <w:rFonts w:ascii="Arial" w:hAnsi="Arial" w:cs="Arial"/>
          <w:sz w:val="22"/>
        </w:rPr>
        <w:t xml:space="preserve">n el ejercicio de sus atribuciones la Contraloría General </w:t>
      </w:r>
      <w:r>
        <w:rPr>
          <w:rFonts w:ascii="Arial" w:hAnsi="Arial" w:cs="Arial"/>
          <w:sz w:val="22"/>
        </w:rPr>
        <w:t>de conformidad con</w:t>
      </w:r>
      <w:r w:rsidR="00B05834" w:rsidRPr="00326270">
        <w:rPr>
          <w:rFonts w:ascii="Arial" w:hAnsi="Arial" w:cs="Arial"/>
          <w:sz w:val="22"/>
        </w:rPr>
        <w:t xml:space="preserve"> </w:t>
      </w:r>
      <w:r>
        <w:rPr>
          <w:rFonts w:ascii="Arial" w:hAnsi="Arial" w:cs="Arial"/>
          <w:sz w:val="22"/>
        </w:rPr>
        <w:t xml:space="preserve">lo </w:t>
      </w:r>
      <w:r w:rsidRPr="003869F4">
        <w:rPr>
          <w:rFonts w:ascii="Arial" w:hAnsi="Arial" w:cs="Arial"/>
          <w:sz w:val="22"/>
        </w:rPr>
        <w:t>dispuesto a los</w:t>
      </w:r>
      <w:r w:rsidR="00B05834" w:rsidRPr="003869F4">
        <w:rPr>
          <w:rFonts w:ascii="Arial" w:hAnsi="Arial" w:cs="Arial"/>
          <w:sz w:val="22"/>
        </w:rPr>
        <w:t xml:space="preserve"> artículos 377 y 381 numeral 1, fracción XVIII, de la Ley Electoral, presentó su propuesta relativa al Programa Anual de Trabajo 202</w:t>
      </w:r>
      <w:r w:rsidR="004D221F" w:rsidRPr="003869F4">
        <w:rPr>
          <w:rFonts w:ascii="Arial" w:hAnsi="Arial" w:cs="Arial"/>
          <w:sz w:val="22"/>
        </w:rPr>
        <w:t>6</w:t>
      </w:r>
      <w:r w:rsidR="00B05834" w:rsidRPr="003869F4">
        <w:rPr>
          <w:rFonts w:ascii="Arial" w:hAnsi="Arial" w:cs="Arial"/>
          <w:sz w:val="22"/>
        </w:rPr>
        <w:t xml:space="preserve">. </w:t>
      </w:r>
    </w:p>
    <w:p w14:paraId="6A7B50D7" w14:textId="02EFC12D" w:rsidR="003869F4" w:rsidRPr="003869F4" w:rsidRDefault="00B05834" w:rsidP="00B05834">
      <w:pPr>
        <w:suppressLineNumbers/>
        <w:rPr>
          <w:rFonts w:ascii="Arial" w:hAnsi="Arial" w:cs="Arial"/>
          <w:sz w:val="22"/>
        </w:rPr>
      </w:pPr>
      <w:r w:rsidRPr="003869F4">
        <w:rPr>
          <w:rFonts w:ascii="Arial" w:hAnsi="Arial" w:cs="Arial"/>
          <w:sz w:val="22"/>
        </w:rPr>
        <w:t>En ese contexto, el Programa formulado por la Contraloría General refuerza el compromiso</w:t>
      </w:r>
      <w:r w:rsidR="003869F4" w:rsidRPr="003869F4">
        <w:rPr>
          <w:rFonts w:ascii="Arial" w:hAnsi="Arial" w:cs="Arial"/>
          <w:sz w:val="22"/>
        </w:rPr>
        <w:t xml:space="preserve"> de promover, evaluar y fortalecer el control interno, la fiscalización de los ingresos y egresos, así como prevenir, investigar y sancionar </w:t>
      </w:r>
      <w:r w:rsidR="00C818E4" w:rsidRPr="003869F4">
        <w:rPr>
          <w:rFonts w:ascii="Arial" w:hAnsi="Arial" w:cs="Arial"/>
          <w:sz w:val="22"/>
        </w:rPr>
        <w:t>prácticas</w:t>
      </w:r>
      <w:r w:rsidR="003869F4" w:rsidRPr="003869F4">
        <w:rPr>
          <w:rFonts w:ascii="Arial" w:hAnsi="Arial" w:cs="Arial"/>
          <w:sz w:val="22"/>
        </w:rPr>
        <w:t xml:space="preserve"> irregulares relacionadas con el servicio P</w:t>
      </w:r>
      <w:r w:rsidR="00C818E4">
        <w:rPr>
          <w:rFonts w:ascii="Arial" w:hAnsi="Arial" w:cs="Arial"/>
          <w:sz w:val="22"/>
        </w:rPr>
        <w:t>ú</w:t>
      </w:r>
      <w:r w:rsidR="003869F4" w:rsidRPr="003869F4">
        <w:rPr>
          <w:rFonts w:ascii="Arial" w:hAnsi="Arial" w:cs="Arial"/>
          <w:sz w:val="22"/>
        </w:rPr>
        <w:t>blico del Instituto.</w:t>
      </w:r>
    </w:p>
    <w:p w14:paraId="1FB17EE6" w14:textId="2FAFA98F" w:rsidR="00B05834" w:rsidRPr="00326270" w:rsidRDefault="003869F4" w:rsidP="00D46943">
      <w:pPr>
        <w:suppressLineNumbers/>
        <w:rPr>
          <w:rFonts w:ascii="Arial" w:hAnsi="Arial" w:cs="Arial"/>
          <w:sz w:val="22"/>
        </w:rPr>
      </w:pPr>
      <w:r w:rsidRPr="003869F4">
        <w:rPr>
          <w:rFonts w:ascii="Arial" w:hAnsi="Arial" w:cs="Arial"/>
          <w:sz w:val="22"/>
        </w:rPr>
        <w:t xml:space="preserve">El programa da continuidad a la misión y visión de la </w:t>
      </w:r>
      <w:r w:rsidR="00D46943" w:rsidRPr="003869F4">
        <w:rPr>
          <w:rFonts w:ascii="Arial" w:hAnsi="Arial" w:cs="Arial"/>
          <w:sz w:val="22"/>
        </w:rPr>
        <w:t>Contralor</w:t>
      </w:r>
      <w:r w:rsidR="00D46943">
        <w:rPr>
          <w:rFonts w:ascii="Arial" w:hAnsi="Arial" w:cs="Arial"/>
          <w:sz w:val="22"/>
        </w:rPr>
        <w:t>í</w:t>
      </w:r>
      <w:r w:rsidR="00D46943" w:rsidRPr="003869F4">
        <w:rPr>
          <w:rFonts w:ascii="Arial" w:hAnsi="Arial" w:cs="Arial"/>
          <w:sz w:val="22"/>
        </w:rPr>
        <w:t>a</w:t>
      </w:r>
      <w:r w:rsidRPr="003869F4">
        <w:rPr>
          <w:rFonts w:ascii="Arial" w:hAnsi="Arial" w:cs="Arial"/>
          <w:sz w:val="22"/>
        </w:rPr>
        <w:t xml:space="preserve"> General, por lo que en correlación con sus obligaciones y atribuciones</w:t>
      </w:r>
      <w:r w:rsidR="00C818E4">
        <w:rPr>
          <w:rFonts w:ascii="Arial" w:hAnsi="Arial" w:cs="Arial"/>
          <w:sz w:val="22"/>
        </w:rPr>
        <w:t>, d</w:t>
      </w:r>
      <w:r w:rsidR="00D46943" w:rsidRPr="00D46943">
        <w:rPr>
          <w:rFonts w:ascii="Arial" w:hAnsi="Arial" w:cs="Arial"/>
          <w:sz w:val="22"/>
        </w:rPr>
        <w:t>entro de sus objetivos se encuentra establecer las actividades y líneas de acción que permitan el complimiento de los objetivos referentes al fortalecimiento del control interno, la fiscalización de los ingresos y egresos de este Instituto, el ejercicio del derecho disciplinario sancionador, así como ser un referente en la transparencia de la gestión pública</w:t>
      </w:r>
      <w:r w:rsidR="00D46943">
        <w:rPr>
          <w:rFonts w:ascii="Arial" w:hAnsi="Arial" w:cs="Arial"/>
          <w:sz w:val="22"/>
        </w:rPr>
        <w:t xml:space="preserve">, implementar un sistema de control interno que promueva el complimiento de los objetivos institucionales, reduzca los riesgos e inhiba y prevenga la comisión de posibles conductas irregulares o hechos de corrupción, garantizar el ejercicio de los derechos de acceso a la información </w:t>
      </w:r>
      <w:r w:rsidR="00C818E4">
        <w:rPr>
          <w:rFonts w:ascii="Arial" w:hAnsi="Arial" w:cs="Arial"/>
          <w:sz w:val="22"/>
        </w:rPr>
        <w:t>pública</w:t>
      </w:r>
      <w:r w:rsidR="00D46943">
        <w:rPr>
          <w:rFonts w:ascii="Arial" w:hAnsi="Arial" w:cs="Arial"/>
          <w:sz w:val="22"/>
        </w:rPr>
        <w:t xml:space="preserve"> y la protección de datos personales, conforme a los principios y bases establecidas en la normativa aplicable.</w:t>
      </w:r>
    </w:p>
    <w:p w14:paraId="2E4A822F" w14:textId="01088D53" w:rsidR="00D63CFC" w:rsidRPr="00326270" w:rsidRDefault="00D63CFC" w:rsidP="00D63CFC">
      <w:pPr>
        <w:suppressLineNumbers/>
        <w:rPr>
          <w:rFonts w:ascii="Arial" w:hAnsi="Arial" w:cs="Arial"/>
          <w:sz w:val="22"/>
        </w:rPr>
      </w:pPr>
      <w:r w:rsidRPr="00326270">
        <w:rPr>
          <w:rFonts w:ascii="Arial" w:hAnsi="Arial" w:cs="Arial"/>
          <w:sz w:val="22"/>
        </w:rPr>
        <w:t xml:space="preserve">Con ello, la Contraloría General cumple con la obligación de presentar para la aprobación del Consejo Estatal, su </w:t>
      </w:r>
      <w:r w:rsidR="00E4338C">
        <w:rPr>
          <w:rFonts w:ascii="Arial" w:hAnsi="Arial" w:cs="Arial"/>
          <w:sz w:val="22"/>
        </w:rPr>
        <w:t>programa</w:t>
      </w:r>
      <w:r w:rsidRPr="00326270">
        <w:rPr>
          <w:rFonts w:ascii="Arial" w:hAnsi="Arial" w:cs="Arial"/>
          <w:sz w:val="22"/>
        </w:rPr>
        <w:t xml:space="preserve"> anual de trabajo, en el que se precisan los objetivos y metas a alcanzar en el ejercicio 202</w:t>
      </w:r>
      <w:r w:rsidR="00A3027F">
        <w:rPr>
          <w:rFonts w:ascii="Arial" w:hAnsi="Arial" w:cs="Arial"/>
          <w:sz w:val="22"/>
        </w:rPr>
        <w:t>6</w:t>
      </w:r>
      <w:r w:rsidRPr="00326270">
        <w:rPr>
          <w:rFonts w:ascii="Arial" w:hAnsi="Arial" w:cs="Arial"/>
          <w:sz w:val="22"/>
        </w:rPr>
        <w:t>.</w:t>
      </w:r>
    </w:p>
    <w:p w14:paraId="7B710CED" w14:textId="77777777" w:rsidR="00D63CFC" w:rsidRPr="00326270" w:rsidRDefault="00D63CFC" w:rsidP="00D63CFC">
      <w:pPr>
        <w:suppressLineNumbers/>
        <w:rPr>
          <w:rFonts w:ascii="Arial" w:hAnsi="Arial" w:cs="Arial"/>
          <w:sz w:val="22"/>
        </w:rPr>
      </w:pPr>
      <w:r w:rsidRPr="00326270">
        <w:rPr>
          <w:rFonts w:ascii="Arial" w:hAnsi="Arial" w:cs="Arial"/>
          <w:sz w:val="22"/>
        </w:rPr>
        <w:lastRenderedPageBreak/>
        <w:t>Sobre la base de las consideraciones señaladas, este Consejo Estatal emite el siguiente:</w:t>
      </w:r>
    </w:p>
    <w:p w14:paraId="79D592D8" w14:textId="63D97AAF" w:rsidR="00293B28" w:rsidRPr="00240D8E" w:rsidRDefault="00D63CFC" w:rsidP="00293B28">
      <w:pPr>
        <w:pStyle w:val="Ttulo1"/>
        <w:rPr>
          <w:rFonts w:ascii="Arial" w:hAnsi="Arial" w:cs="Arial"/>
          <w:sz w:val="24"/>
          <w:szCs w:val="24"/>
        </w:rPr>
      </w:pPr>
      <w:r w:rsidRPr="00326270">
        <w:rPr>
          <w:rFonts w:ascii="Arial" w:hAnsi="Arial" w:cs="Arial"/>
          <w:sz w:val="24"/>
          <w:szCs w:val="24"/>
        </w:rPr>
        <w:t>Acuerdo</w:t>
      </w:r>
    </w:p>
    <w:p w14:paraId="060B4EFF" w14:textId="022F2CC2" w:rsidR="00D63CFC" w:rsidRPr="0024379E" w:rsidRDefault="00D63CFC" w:rsidP="00D63CFC">
      <w:pPr>
        <w:suppressLineNumbers/>
        <w:rPr>
          <w:rFonts w:ascii="Arial" w:hAnsi="Arial" w:cs="Arial"/>
          <w:sz w:val="22"/>
        </w:rPr>
      </w:pPr>
      <w:r w:rsidRPr="0024379E">
        <w:rPr>
          <w:rFonts w:ascii="Arial" w:hAnsi="Arial" w:cs="Arial"/>
          <w:b/>
          <w:sz w:val="22"/>
        </w:rPr>
        <w:t>Primero.</w:t>
      </w:r>
      <w:r w:rsidRPr="0024379E">
        <w:rPr>
          <w:rFonts w:ascii="Arial" w:hAnsi="Arial" w:cs="Arial"/>
          <w:sz w:val="22"/>
        </w:rPr>
        <w:t xml:space="preserve"> Se aprueba el Programa Anual de Trabajo 202</w:t>
      </w:r>
      <w:r w:rsidR="00A3027F" w:rsidRPr="0024379E">
        <w:rPr>
          <w:rFonts w:ascii="Arial" w:hAnsi="Arial" w:cs="Arial"/>
          <w:sz w:val="22"/>
        </w:rPr>
        <w:t>6</w:t>
      </w:r>
      <w:r w:rsidRPr="0024379E">
        <w:rPr>
          <w:rFonts w:ascii="Arial" w:hAnsi="Arial" w:cs="Arial"/>
          <w:sz w:val="22"/>
        </w:rPr>
        <w:t xml:space="preserve"> de la Contraloría General del Instituto Electoral y de Participación Ciudadana de Tabasco, anexo a</w:t>
      </w:r>
      <w:r w:rsidR="00626F9E" w:rsidRPr="0024379E">
        <w:rPr>
          <w:rFonts w:ascii="Arial" w:hAnsi="Arial" w:cs="Arial"/>
          <w:sz w:val="22"/>
        </w:rPr>
        <w:t>l presente</w:t>
      </w:r>
      <w:r w:rsidRPr="0024379E">
        <w:rPr>
          <w:rFonts w:ascii="Arial" w:hAnsi="Arial" w:cs="Arial"/>
          <w:sz w:val="22"/>
        </w:rPr>
        <w:t xml:space="preserve"> acuerdo</w:t>
      </w:r>
      <w:r w:rsidR="00E4338C" w:rsidRPr="0024379E">
        <w:rPr>
          <w:rFonts w:ascii="Arial" w:hAnsi="Arial" w:cs="Arial"/>
          <w:sz w:val="22"/>
        </w:rPr>
        <w:t>, mismo que estará sujeto a la disponibilidad y suficiencia presupuestal</w:t>
      </w:r>
      <w:r w:rsidRPr="0024379E">
        <w:rPr>
          <w:rFonts w:ascii="Arial" w:hAnsi="Arial" w:cs="Arial"/>
          <w:sz w:val="22"/>
        </w:rPr>
        <w:t>.</w:t>
      </w:r>
    </w:p>
    <w:p w14:paraId="7AE2353F" w14:textId="77777777" w:rsidR="00D63CFC" w:rsidRPr="0024379E" w:rsidRDefault="00D63CFC" w:rsidP="00D63CFC">
      <w:pPr>
        <w:suppressLineNumbers/>
        <w:rPr>
          <w:rFonts w:ascii="Arial" w:hAnsi="Arial" w:cs="Arial"/>
          <w:sz w:val="22"/>
        </w:rPr>
      </w:pPr>
      <w:r w:rsidRPr="0024379E">
        <w:rPr>
          <w:rFonts w:ascii="Arial" w:hAnsi="Arial" w:cs="Arial"/>
          <w:b/>
          <w:sz w:val="22"/>
        </w:rPr>
        <w:t>Segundo.</w:t>
      </w:r>
      <w:r w:rsidRPr="0024379E">
        <w:rPr>
          <w:rFonts w:ascii="Arial" w:hAnsi="Arial" w:cs="Arial"/>
          <w:sz w:val="22"/>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3219CF5" w14:textId="77777777" w:rsidR="00D63CFC" w:rsidRPr="0024379E" w:rsidRDefault="00D63CFC" w:rsidP="00D63CFC">
      <w:pPr>
        <w:suppressLineNumbers/>
        <w:rPr>
          <w:rFonts w:ascii="Arial" w:hAnsi="Arial" w:cs="Arial"/>
          <w:sz w:val="22"/>
        </w:rPr>
      </w:pPr>
      <w:r w:rsidRPr="0024379E">
        <w:rPr>
          <w:rFonts w:ascii="Arial" w:hAnsi="Arial" w:cs="Arial"/>
          <w:b/>
          <w:sz w:val="22"/>
        </w:rPr>
        <w:t>Tercero.</w:t>
      </w:r>
      <w:r w:rsidRPr="0024379E">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FB55C69" w14:textId="35E7710A" w:rsidR="009875D3" w:rsidRPr="0024379E" w:rsidRDefault="009875D3" w:rsidP="009875D3">
      <w:pPr>
        <w:spacing w:line="288" w:lineRule="auto"/>
        <w:rPr>
          <w:rFonts w:ascii="Arial" w:hAnsi="Arial" w:cs="Arial"/>
          <w:sz w:val="22"/>
        </w:rPr>
      </w:pPr>
      <w:r w:rsidRPr="0024379E">
        <w:rPr>
          <w:rFonts w:ascii="Arial" w:hAnsi="Arial" w:cs="Arial"/>
          <w:sz w:val="22"/>
        </w:rPr>
        <w:t xml:space="preserve">El presente acuerdo </w:t>
      </w:r>
      <w:r w:rsidR="004C3515" w:rsidRPr="0024379E">
        <w:rPr>
          <w:rFonts w:ascii="Arial" w:hAnsi="Arial" w:cs="Arial"/>
          <w:sz w:val="22"/>
        </w:rPr>
        <w:t xml:space="preserve">fue aprobado </w:t>
      </w:r>
      <w:r w:rsidRPr="0024379E">
        <w:rPr>
          <w:rFonts w:ascii="Arial" w:hAnsi="Arial" w:cs="Arial"/>
          <w:sz w:val="22"/>
        </w:rPr>
        <w:t>en sesión</w:t>
      </w:r>
      <w:r w:rsidR="005D19BA" w:rsidRPr="0024379E">
        <w:rPr>
          <w:rFonts w:ascii="Arial" w:hAnsi="Arial" w:cs="Arial"/>
          <w:sz w:val="22"/>
        </w:rPr>
        <w:t xml:space="preserve"> ordinaria </w:t>
      </w:r>
      <w:r w:rsidRPr="0024379E">
        <w:rPr>
          <w:rFonts w:ascii="Arial" w:hAnsi="Arial" w:cs="Arial"/>
          <w:sz w:val="22"/>
        </w:rPr>
        <w:t xml:space="preserve">efectuada el </w:t>
      </w:r>
      <w:r w:rsidR="0024379E">
        <w:rPr>
          <w:rFonts w:ascii="Arial" w:hAnsi="Arial" w:cs="Arial"/>
          <w:sz w:val="22"/>
        </w:rPr>
        <w:t>día veintinueve</w:t>
      </w:r>
      <w:r w:rsidRPr="0024379E">
        <w:rPr>
          <w:rFonts w:ascii="Arial" w:hAnsi="Arial" w:cs="Arial"/>
          <w:sz w:val="22"/>
        </w:rPr>
        <w:t xml:space="preserve"> de </w:t>
      </w:r>
      <w:r w:rsidR="005D19BA" w:rsidRPr="0024379E">
        <w:rPr>
          <w:rFonts w:ascii="Arial" w:hAnsi="Arial" w:cs="Arial"/>
          <w:sz w:val="22"/>
        </w:rPr>
        <w:t>enero</w:t>
      </w:r>
      <w:r w:rsidRPr="0024379E">
        <w:rPr>
          <w:rFonts w:ascii="Arial" w:hAnsi="Arial" w:cs="Arial"/>
          <w:sz w:val="22"/>
        </w:rPr>
        <w:t xml:space="preserve"> del año dos mil </w:t>
      </w:r>
      <w:r w:rsidR="00240D8E" w:rsidRPr="0024379E">
        <w:rPr>
          <w:rFonts w:ascii="Arial" w:hAnsi="Arial" w:cs="Arial"/>
          <w:sz w:val="22"/>
        </w:rPr>
        <w:t>veintiséis</w:t>
      </w:r>
      <w:r w:rsidRPr="0024379E">
        <w:rPr>
          <w:rFonts w:ascii="Arial" w:hAnsi="Arial" w:cs="Arial"/>
          <w:sz w:val="22"/>
        </w:rPr>
        <w:t>, por</w:t>
      </w:r>
      <w:r w:rsidR="0024379E">
        <w:rPr>
          <w:rFonts w:ascii="Arial" w:hAnsi="Arial" w:cs="Arial"/>
          <w:sz w:val="22"/>
        </w:rPr>
        <w:t xml:space="preserve"> unanimidad</w:t>
      </w:r>
      <w:r w:rsidRPr="0024379E">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0BA6DDB9" w14:textId="77777777" w:rsidR="009875D3" w:rsidRDefault="009875D3" w:rsidP="009875D3">
      <w:pPr>
        <w:spacing w:line="288" w:lineRule="auto"/>
        <w:rPr>
          <w:rFonts w:ascii="Arial" w:hAnsi="Arial" w:cs="Arial"/>
          <w:sz w:val="22"/>
        </w:rPr>
      </w:pPr>
    </w:p>
    <w:p w14:paraId="49064047" w14:textId="77777777" w:rsidR="00A867B6" w:rsidRDefault="00A867B6" w:rsidP="009875D3">
      <w:pPr>
        <w:spacing w:line="288" w:lineRule="auto"/>
        <w:rPr>
          <w:rFonts w:ascii="Arial" w:hAnsi="Arial" w:cs="Arial"/>
          <w:sz w:val="22"/>
        </w:rPr>
      </w:pPr>
    </w:p>
    <w:p w14:paraId="1866F4DE" w14:textId="77777777" w:rsidR="0024379E" w:rsidRPr="0024379E" w:rsidRDefault="0024379E" w:rsidP="009875D3">
      <w:pPr>
        <w:spacing w:line="288" w:lineRule="auto"/>
        <w:rPr>
          <w:rFonts w:ascii="Arial" w:hAnsi="Arial" w:cs="Arial"/>
          <w:sz w:val="22"/>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36"/>
        <w:gridCol w:w="4305"/>
      </w:tblGrid>
      <w:tr w:rsidR="009875D3" w:rsidRPr="0024379E" w14:paraId="489D2C4C" w14:textId="77777777" w:rsidTr="009875D3">
        <w:tc>
          <w:tcPr>
            <w:tcW w:w="4390" w:type="dxa"/>
          </w:tcPr>
          <w:p w14:paraId="324FF4A7" w14:textId="77777777" w:rsidR="009875D3" w:rsidRPr="0024379E" w:rsidRDefault="009875D3" w:rsidP="004B55BC">
            <w:pPr>
              <w:spacing w:before="0" w:after="0" w:line="288" w:lineRule="auto"/>
              <w:jc w:val="center"/>
              <w:rPr>
                <w:rFonts w:ascii="Arial" w:hAnsi="Arial" w:cs="Arial"/>
                <w:b/>
                <w:bCs/>
                <w:sz w:val="22"/>
              </w:rPr>
            </w:pPr>
            <w:r w:rsidRPr="0024379E">
              <w:rPr>
                <w:rFonts w:ascii="Arial" w:hAnsi="Arial" w:cs="Arial"/>
                <w:b/>
                <w:bCs/>
                <w:sz w:val="22"/>
              </w:rPr>
              <w:t>MTRA. ELIZABETH NAVA GUTIÉRREZ</w:t>
            </w:r>
          </w:p>
          <w:p w14:paraId="40698362" w14:textId="77777777" w:rsidR="009875D3" w:rsidRPr="0024379E" w:rsidRDefault="009875D3" w:rsidP="004B55BC">
            <w:pPr>
              <w:spacing w:before="0" w:after="0" w:line="288" w:lineRule="auto"/>
              <w:jc w:val="center"/>
              <w:rPr>
                <w:rFonts w:ascii="Arial" w:hAnsi="Arial" w:cs="Arial"/>
                <w:b/>
                <w:bCs/>
                <w:sz w:val="22"/>
              </w:rPr>
            </w:pPr>
            <w:r w:rsidRPr="0024379E">
              <w:rPr>
                <w:rFonts w:ascii="Arial" w:hAnsi="Arial" w:cs="Arial"/>
                <w:b/>
                <w:bCs/>
                <w:sz w:val="22"/>
              </w:rPr>
              <w:t>CONSEJERA PRESIDENTA</w:t>
            </w:r>
          </w:p>
        </w:tc>
        <w:tc>
          <w:tcPr>
            <w:tcW w:w="236" w:type="dxa"/>
          </w:tcPr>
          <w:p w14:paraId="2AE222D7" w14:textId="77777777" w:rsidR="009875D3" w:rsidRPr="0024379E" w:rsidRDefault="009875D3" w:rsidP="004B55BC">
            <w:pPr>
              <w:spacing w:before="0" w:after="0" w:line="288" w:lineRule="auto"/>
              <w:rPr>
                <w:rFonts w:ascii="Arial" w:hAnsi="Arial" w:cs="Arial"/>
                <w:b/>
                <w:bCs/>
                <w:sz w:val="22"/>
              </w:rPr>
            </w:pPr>
          </w:p>
        </w:tc>
        <w:tc>
          <w:tcPr>
            <w:tcW w:w="4305" w:type="dxa"/>
          </w:tcPr>
          <w:p w14:paraId="405F5C96" w14:textId="77777777" w:rsidR="009875D3" w:rsidRPr="0024379E" w:rsidRDefault="009875D3" w:rsidP="004B55BC">
            <w:pPr>
              <w:spacing w:before="0" w:after="0" w:line="288" w:lineRule="auto"/>
              <w:jc w:val="center"/>
              <w:rPr>
                <w:rFonts w:ascii="Arial" w:hAnsi="Arial" w:cs="Arial"/>
                <w:b/>
                <w:bCs/>
                <w:sz w:val="22"/>
              </w:rPr>
            </w:pPr>
            <w:r w:rsidRPr="0024379E">
              <w:rPr>
                <w:rFonts w:ascii="Arial" w:hAnsi="Arial" w:cs="Arial"/>
                <w:b/>
                <w:bCs/>
                <w:sz w:val="22"/>
              </w:rPr>
              <w:t>LIC. JORGE ALBERTO ZAVALA FRÍAS</w:t>
            </w:r>
          </w:p>
          <w:p w14:paraId="256FAF1A" w14:textId="77777777" w:rsidR="009875D3" w:rsidRPr="0024379E" w:rsidRDefault="009875D3" w:rsidP="004B55BC">
            <w:pPr>
              <w:spacing w:before="0" w:after="0" w:line="288" w:lineRule="auto"/>
              <w:jc w:val="center"/>
              <w:rPr>
                <w:rFonts w:ascii="Arial" w:hAnsi="Arial" w:cs="Arial"/>
                <w:b/>
                <w:bCs/>
                <w:sz w:val="22"/>
              </w:rPr>
            </w:pPr>
            <w:r w:rsidRPr="0024379E">
              <w:rPr>
                <w:rFonts w:ascii="Arial" w:hAnsi="Arial" w:cs="Arial"/>
                <w:b/>
                <w:bCs/>
                <w:sz w:val="22"/>
              </w:rPr>
              <w:t>SECRETARIO DEL CONSEJO</w:t>
            </w:r>
          </w:p>
        </w:tc>
      </w:tr>
    </w:tbl>
    <w:p w14:paraId="03DF11AA" w14:textId="77777777" w:rsidR="009875D3" w:rsidRPr="0024379E" w:rsidRDefault="009875D3" w:rsidP="00D63CFC">
      <w:pPr>
        <w:suppressLineNumbers/>
        <w:rPr>
          <w:rFonts w:ascii="Arial" w:hAnsi="Arial" w:cs="Arial"/>
          <w:sz w:val="22"/>
        </w:rPr>
      </w:pPr>
    </w:p>
    <w:sectPr w:rsidR="009875D3" w:rsidRPr="0024379E" w:rsidSect="00CE4CEB">
      <w:headerReference w:type="default" r:id="rId8"/>
      <w:footerReference w:type="default" r:id="rId9"/>
      <w:pgSz w:w="12240" w:h="15840" w:code="1"/>
      <w:pgMar w:top="2836" w:right="1467"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8E9F7" w14:textId="77777777" w:rsidR="00A47CCE" w:rsidRDefault="00A47CCE" w:rsidP="00D63CFC">
      <w:pPr>
        <w:spacing w:before="0" w:after="0" w:line="240" w:lineRule="auto"/>
      </w:pPr>
      <w:r>
        <w:separator/>
      </w:r>
    </w:p>
  </w:endnote>
  <w:endnote w:type="continuationSeparator" w:id="0">
    <w:p w14:paraId="03851D74" w14:textId="77777777" w:rsidR="00A47CCE" w:rsidRDefault="00A47CCE" w:rsidP="00D63C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4DDDD7-0995-45E9-98CF-E10168F793C3}"/>
    <w:embedBold r:id="rId2" w:fontKey="{2FE43BEC-F3D0-4545-B100-75986F3FEF21}"/>
  </w:font>
  <w:font w:name="Exo">
    <w:altName w:val="Times New Roman"/>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E8F190BE-87C5-4357-A252-5424A35BAFFE}"/>
    <w:embedItalic r:id="rId4" w:fontKey="{36F2C474-0A1E-4F34-B6A5-F9C70B5C18AB}"/>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993366"/>
        <w:szCs w:val="24"/>
      </w:rPr>
      <w:id w:val="2110769244"/>
      <w:docPartObj>
        <w:docPartGallery w:val="Page Numbers (Top of Page)"/>
        <w:docPartUnique/>
      </w:docPartObj>
    </w:sdtPr>
    <w:sdtContent>
      <w:p w14:paraId="4705B91F" w14:textId="21F7DC62" w:rsidR="00D63CFC" w:rsidRPr="0024379E" w:rsidRDefault="00D63CFC" w:rsidP="00D63CFC">
        <w:pPr>
          <w:pStyle w:val="Piedepgina"/>
          <w:jc w:val="right"/>
          <w:rPr>
            <w:rFonts w:ascii="Arial" w:hAnsi="Arial" w:cs="Arial"/>
            <w:color w:val="993366"/>
            <w:szCs w:val="24"/>
          </w:rPr>
        </w:pPr>
        <w:r w:rsidRPr="0024379E">
          <w:rPr>
            <w:rFonts w:ascii="Arial" w:hAnsi="Arial" w:cs="Arial"/>
            <w:b/>
            <w:bCs/>
            <w:color w:val="993366"/>
            <w:szCs w:val="24"/>
          </w:rPr>
          <w:t xml:space="preserve">Página </w:t>
        </w:r>
        <w:r w:rsidRPr="0024379E">
          <w:rPr>
            <w:rFonts w:ascii="Arial" w:hAnsi="Arial" w:cs="Arial"/>
            <w:b/>
            <w:bCs/>
            <w:color w:val="993366"/>
            <w:szCs w:val="24"/>
          </w:rPr>
          <w:fldChar w:fldCharType="begin"/>
        </w:r>
        <w:r w:rsidRPr="0024379E">
          <w:rPr>
            <w:rFonts w:ascii="Arial" w:hAnsi="Arial" w:cs="Arial"/>
            <w:b/>
            <w:bCs/>
            <w:color w:val="993366"/>
            <w:szCs w:val="24"/>
          </w:rPr>
          <w:instrText>PAGE</w:instrText>
        </w:r>
        <w:r w:rsidRPr="0024379E">
          <w:rPr>
            <w:rFonts w:ascii="Arial" w:hAnsi="Arial" w:cs="Arial"/>
            <w:b/>
            <w:bCs/>
            <w:color w:val="993366"/>
            <w:szCs w:val="24"/>
          </w:rPr>
          <w:fldChar w:fldCharType="separate"/>
        </w:r>
        <w:r w:rsidR="0048348B" w:rsidRPr="0024379E">
          <w:rPr>
            <w:rFonts w:ascii="Arial" w:hAnsi="Arial" w:cs="Arial"/>
            <w:b/>
            <w:bCs/>
            <w:noProof/>
            <w:color w:val="993366"/>
            <w:szCs w:val="24"/>
          </w:rPr>
          <w:t>8</w:t>
        </w:r>
        <w:r w:rsidRPr="0024379E">
          <w:rPr>
            <w:rFonts w:ascii="Arial" w:hAnsi="Arial" w:cs="Arial"/>
            <w:b/>
            <w:bCs/>
            <w:color w:val="993366"/>
            <w:szCs w:val="24"/>
          </w:rPr>
          <w:fldChar w:fldCharType="end"/>
        </w:r>
        <w:r w:rsidRPr="0024379E">
          <w:rPr>
            <w:rFonts w:ascii="Arial" w:hAnsi="Arial" w:cs="Arial"/>
            <w:b/>
            <w:bCs/>
            <w:color w:val="993366"/>
            <w:szCs w:val="24"/>
          </w:rPr>
          <w:t xml:space="preserve"> | </w:t>
        </w:r>
        <w:r w:rsidRPr="0024379E">
          <w:rPr>
            <w:rFonts w:ascii="Arial" w:hAnsi="Arial" w:cs="Arial"/>
            <w:b/>
            <w:bCs/>
            <w:color w:val="993366"/>
            <w:szCs w:val="24"/>
          </w:rPr>
          <w:fldChar w:fldCharType="begin"/>
        </w:r>
        <w:r w:rsidRPr="0024379E">
          <w:rPr>
            <w:rFonts w:ascii="Arial" w:hAnsi="Arial" w:cs="Arial"/>
            <w:b/>
            <w:bCs/>
            <w:color w:val="993366"/>
            <w:szCs w:val="24"/>
          </w:rPr>
          <w:instrText>NUMPAGES</w:instrText>
        </w:r>
        <w:r w:rsidRPr="0024379E">
          <w:rPr>
            <w:rFonts w:ascii="Arial" w:hAnsi="Arial" w:cs="Arial"/>
            <w:b/>
            <w:bCs/>
            <w:color w:val="993366"/>
            <w:szCs w:val="24"/>
          </w:rPr>
          <w:fldChar w:fldCharType="separate"/>
        </w:r>
        <w:r w:rsidR="0048348B" w:rsidRPr="0024379E">
          <w:rPr>
            <w:rFonts w:ascii="Arial" w:hAnsi="Arial" w:cs="Arial"/>
            <w:b/>
            <w:bCs/>
            <w:noProof/>
            <w:color w:val="993366"/>
            <w:szCs w:val="24"/>
          </w:rPr>
          <w:t>8</w:t>
        </w:r>
        <w:r w:rsidRPr="0024379E">
          <w:rPr>
            <w:rFonts w:ascii="Arial" w:hAnsi="Arial" w:cs="Arial"/>
            <w:b/>
            <w:bCs/>
            <w:color w:val="993366"/>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B291" w14:textId="77777777" w:rsidR="00A47CCE" w:rsidRDefault="00A47CCE" w:rsidP="00D63CFC">
      <w:pPr>
        <w:spacing w:before="0" w:after="0" w:line="240" w:lineRule="auto"/>
      </w:pPr>
      <w:r>
        <w:separator/>
      </w:r>
    </w:p>
  </w:footnote>
  <w:footnote w:type="continuationSeparator" w:id="0">
    <w:p w14:paraId="53310EF5" w14:textId="77777777" w:rsidR="00A47CCE" w:rsidRDefault="00A47CCE" w:rsidP="00D63C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3A7927" w14:paraId="550AD4CE" w14:textId="77777777" w:rsidTr="004B55BC">
      <w:tc>
        <w:tcPr>
          <w:tcW w:w="1813" w:type="dxa"/>
        </w:tcPr>
        <w:p w14:paraId="77BD9610" w14:textId="77777777" w:rsidR="003A7927" w:rsidRDefault="003A7927" w:rsidP="003A7927">
          <w:pPr>
            <w:pStyle w:val="Encabezado"/>
          </w:pPr>
          <w:r>
            <w:rPr>
              <w:b/>
              <w:noProof/>
              <w:sz w:val="32"/>
              <w:lang w:eastAsia="es-MX"/>
            </w:rPr>
            <w:drawing>
              <wp:inline distT="0" distB="0" distL="0" distR="0" wp14:anchorId="1B92BD5A" wp14:editId="6776E95A">
                <wp:extent cx="1014331" cy="1199403"/>
                <wp:effectExtent l="0" t="0" r="0" b="1270"/>
                <wp:docPr id="1670695053" name="Imagen 167069505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F32CCDD" w14:textId="77777777" w:rsidR="003A7927" w:rsidRPr="00B33A23" w:rsidRDefault="003A7927" w:rsidP="003A7927">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1AEA073D" w14:textId="77777777" w:rsidR="003A7927" w:rsidRDefault="003A7927" w:rsidP="003A7927">
          <w:pPr>
            <w:pStyle w:val="Encabezado"/>
            <w:spacing w:before="60"/>
            <w:jc w:val="center"/>
          </w:pPr>
          <w:r w:rsidRPr="00B33A23">
            <w:rPr>
              <w:rFonts w:ascii="Arial" w:hAnsi="Arial" w:cs="Arial"/>
              <w:b/>
              <w:bCs/>
              <w:sz w:val="28"/>
              <w:szCs w:val="28"/>
            </w:rPr>
            <w:t>CONSEJO ESTATAL</w:t>
          </w:r>
        </w:p>
      </w:tc>
      <w:tc>
        <w:tcPr>
          <w:tcW w:w="1560" w:type="dxa"/>
        </w:tcPr>
        <w:p w14:paraId="1F24778B" w14:textId="77777777" w:rsidR="003A7927" w:rsidRDefault="003A7927" w:rsidP="003A7927">
          <w:pPr>
            <w:pStyle w:val="Encabezado"/>
            <w:spacing w:before="480"/>
            <w:jc w:val="right"/>
          </w:pPr>
          <w:r>
            <w:rPr>
              <w:noProof/>
              <w:lang w:eastAsia="es-MX"/>
            </w:rPr>
            <w:drawing>
              <wp:inline distT="0" distB="0" distL="0" distR="0" wp14:anchorId="57E322B8" wp14:editId="3FB7E4CE">
                <wp:extent cx="921600" cy="756000"/>
                <wp:effectExtent l="0" t="0" r="0" b="6350"/>
                <wp:docPr id="1461446803"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3B184D33" w14:textId="610F2495" w:rsidR="00D63CFC" w:rsidRPr="00293B28" w:rsidRDefault="00293B28" w:rsidP="00293B28">
    <w:pPr>
      <w:pStyle w:val="Encabezado"/>
      <w:jc w:val="right"/>
      <w:rPr>
        <w:rFonts w:ascii="Arial" w:hAnsi="Arial" w:cs="Arial"/>
        <w:b/>
      </w:rPr>
    </w:pPr>
    <w:r w:rsidRPr="0024379E">
      <w:rPr>
        <w:rFonts w:ascii="Arial" w:hAnsi="Arial" w:cs="Arial"/>
        <w:b/>
      </w:rPr>
      <w:t>CE/202</w:t>
    </w:r>
    <w:r w:rsidR="005E6D7D" w:rsidRPr="0024379E">
      <w:rPr>
        <w:rFonts w:ascii="Arial" w:hAnsi="Arial" w:cs="Arial"/>
        <w:b/>
      </w:rPr>
      <w:t>6</w:t>
    </w:r>
    <w:r w:rsidRPr="0024379E">
      <w:rPr>
        <w:rFonts w:ascii="Arial" w:hAnsi="Arial" w:cs="Arial"/>
        <w:b/>
      </w:rPr>
      <w:t>/00</w:t>
    </w:r>
    <w:r w:rsidR="0024379E">
      <w:rPr>
        <w:rFonts w:ascii="Arial" w:hAnsi="Arial" w:cs="Arial"/>
        <w:b/>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20125"/>
    <w:multiLevelType w:val="hybridMultilevel"/>
    <w:tmpl w:val="CA7A5DBA"/>
    <w:lvl w:ilvl="0" w:tplc="0B064A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E44644A"/>
    <w:multiLevelType w:val="hybridMultilevel"/>
    <w:tmpl w:val="6F0ED0C4"/>
    <w:lvl w:ilvl="0" w:tplc="B3D44E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B025734"/>
    <w:multiLevelType w:val="multilevel"/>
    <w:tmpl w:val="E558F8F2"/>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239828853">
    <w:abstractNumId w:val="1"/>
  </w:num>
  <w:num w:numId="2" w16cid:durableId="376471066">
    <w:abstractNumId w:val="0"/>
  </w:num>
  <w:num w:numId="3" w16cid:durableId="2026051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AE2"/>
    <w:rsid w:val="0000542C"/>
    <w:rsid w:val="00012EA3"/>
    <w:rsid w:val="00055F7F"/>
    <w:rsid w:val="00071F3F"/>
    <w:rsid w:val="001371C8"/>
    <w:rsid w:val="001434E6"/>
    <w:rsid w:val="00144EB4"/>
    <w:rsid w:val="00146E38"/>
    <w:rsid w:val="001B5ABF"/>
    <w:rsid w:val="0021715D"/>
    <w:rsid w:val="00223EDE"/>
    <w:rsid w:val="00240D8E"/>
    <w:rsid w:val="0024379E"/>
    <w:rsid w:val="00264F95"/>
    <w:rsid w:val="00293B28"/>
    <w:rsid w:val="002A0547"/>
    <w:rsid w:val="002C12BC"/>
    <w:rsid w:val="00326270"/>
    <w:rsid w:val="003869F4"/>
    <w:rsid w:val="00396A35"/>
    <w:rsid w:val="003A7927"/>
    <w:rsid w:val="004074CC"/>
    <w:rsid w:val="004277E8"/>
    <w:rsid w:val="00477577"/>
    <w:rsid w:val="0048348B"/>
    <w:rsid w:val="004A3555"/>
    <w:rsid w:val="004B0CF5"/>
    <w:rsid w:val="004C3515"/>
    <w:rsid w:val="004D221F"/>
    <w:rsid w:val="004E00FD"/>
    <w:rsid w:val="004F3B62"/>
    <w:rsid w:val="0051535D"/>
    <w:rsid w:val="00532339"/>
    <w:rsid w:val="00532E7D"/>
    <w:rsid w:val="00571B7A"/>
    <w:rsid w:val="00596DEF"/>
    <w:rsid w:val="005C0A47"/>
    <w:rsid w:val="005D19BA"/>
    <w:rsid w:val="005E6D7D"/>
    <w:rsid w:val="005F52DA"/>
    <w:rsid w:val="00621F65"/>
    <w:rsid w:val="00626F9E"/>
    <w:rsid w:val="006411C8"/>
    <w:rsid w:val="0068466C"/>
    <w:rsid w:val="00694D26"/>
    <w:rsid w:val="00754AE2"/>
    <w:rsid w:val="007D6913"/>
    <w:rsid w:val="007D6F94"/>
    <w:rsid w:val="007F250C"/>
    <w:rsid w:val="00842566"/>
    <w:rsid w:val="008936D2"/>
    <w:rsid w:val="008B5EC9"/>
    <w:rsid w:val="008C59EA"/>
    <w:rsid w:val="008D6F2F"/>
    <w:rsid w:val="009314BD"/>
    <w:rsid w:val="009415DA"/>
    <w:rsid w:val="00945E9B"/>
    <w:rsid w:val="0098459A"/>
    <w:rsid w:val="009875D3"/>
    <w:rsid w:val="009A71A2"/>
    <w:rsid w:val="00A3027F"/>
    <w:rsid w:val="00A47CCE"/>
    <w:rsid w:val="00A52AF4"/>
    <w:rsid w:val="00A867B6"/>
    <w:rsid w:val="00AA6B91"/>
    <w:rsid w:val="00B05834"/>
    <w:rsid w:val="00B4466B"/>
    <w:rsid w:val="00B73806"/>
    <w:rsid w:val="00BD1C7B"/>
    <w:rsid w:val="00C270B0"/>
    <w:rsid w:val="00C76F2F"/>
    <w:rsid w:val="00C818B3"/>
    <w:rsid w:val="00C818E4"/>
    <w:rsid w:val="00C85335"/>
    <w:rsid w:val="00CE4CEB"/>
    <w:rsid w:val="00CF5345"/>
    <w:rsid w:val="00D46943"/>
    <w:rsid w:val="00D63CFC"/>
    <w:rsid w:val="00E3030E"/>
    <w:rsid w:val="00E4338C"/>
    <w:rsid w:val="00F25112"/>
    <w:rsid w:val="00F8679F"/>
    <w:rsid w:val="00FA0E1A"/>
    <w:rsid w:val="00FA73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8351A"/>
  <w15:chartTrackingRefBased/>
  <w15:docId w15:val="{D5E166BD-C808-4D43-94DD-FDF75B92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AE2"/>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4E00FD"/>
    <w:pPr>
      <w:keepNext/>
      <w:keepLines/>
      <w:numPr>
        <w:numId w:val="3"/>
      </w:numPr>
      <w:spacing w:before="600" w:after="36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754AE2"/>
    <w:pPr>
      <w:numPr>
        <w:ilvl w:val="1"/>
        <w:numId w:val="3"/>
      </w:numPr>
      <w:spacing w:before="480"/>
      <w:outlineLvl w:val="1"/>
    </w:pPr>
    <w:rPr>
      <w:b/>
    </w:rPr>
  </w:style>
  <w:style w:type="paragraph" w:styleId="Ttulo3">
    <w:name w:val="heading 3"/>
    <w:basedOn w:val="Normal"/>
    <w:next w:val="Normal"/>
    <w:link w:val="Ttulo3Car"/>
    <w:uiPriority w:val="9"/>
    <w:semiHidden/>
    <w:unhideWhenUsed/>
    <w:qFormat/>
    <w:rsid w:val="007D6F94"/>
    <w:pPr>
      <w:keepNext/>
      <w:keepLines/>
      <w:numPr>
        <w:ilvl w:val="2"/>
        <w:numId w:val="3"/>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7D6F94"/>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D6F94"/>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D6F94"/>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D6F94"/>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D6F94"/>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D6F94"/>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00FD"/>
    <w:rPr>
      <w:rFonts w:ascii="Exo" w:eastAsiaTheme="majorEastAsia" w:hAnsi="Exo" w:cstheme="majorBidi"/>
      <w:b/>
      <w:sz w:val="28"/>
      <w:szCs w:val="32"/>
    </w:rPr>
  </w:style>
  <w:style w:type="character" w:customStyle="1" w:styleId="Ttulo2Car">
    <w:name w:val="Título 2 Car"/>
    <w:basedOn w:val="Fuentedeprrafopredeter"/>
    <w:link w:val="Ttulo2"/>
    <w:uiPriority w:val="9"/>
    <w:rsid w:val="00754AE2"/>
    <w:rPr>
      <w:rFonts w:ascii="Exo" w:hAnsi="Exo"/>
      <w:b/>
      <w:sz w:val="24"/>
    </w:rPr>
  </w:style>
  <w:style w:type="paragraph" w:styleId="Prrafodelista">
    <w:name w:val="List Paragraph"/>
    <w:basedOn w:val="Normal"/>
    <w:uiPriority w:val="34"/>
    <w:qFormat/>
    <w:rsid w:val="00D63CFC"/>
    <w:pPr>
      <w:ind w:left="720"/>
      <w:contextualSpacing/>
    </w:pPr>
  </w:style>
  <w:style w:type="paragraph" w:styleId="Encabezado">
    <w:name w:val="header"/>
    <w:basedOn w:val="Normal"/>
    <w:link w:val="EncabezadoCar"/>
    <w:uiPriority w:val="99"/>
    <w:unhideWhenUsed/>
    <w:rsid w:val="00D63CF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63CFC"/>
    <w:rPr>
      <w:rFonts w:ascii="Exo" w:hAnsi="Exo"/>
      <w:sz w:val="24"/>
    </w:rPr>
  </w:style>
  <w:style w:type="paragraph" w:styleId="Piedepgina">
    <w:name w:val="footer"/>
    <w:basedOn w:val="Normal"/>
    <w:link w:val="PiedepginaCar"/>
    <w:uiPriority w:val="99"/>
    <w:unhideWhenUsed/>
    <w:rsid w:val="00D63CF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63CFC"/>
    <w:rPr>
      <w:rFonts w:ascii="Exo" w:hAnsi="Exo"/>
      <w:sz w:val="24"/>
    </w:rPr>
  </w:style>
  <w:style w:type="table" w:styleId="Tablaconcuadrcula">
    <w:name w:val="Table Grid"/>
    <w:basedOn w:val="Tablanormal"/>
    <w:uiPriority w:val="39"/>
    <w:rsid w:val="00D63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D6F9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D6F94"/>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7D6F94"/>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7D6F9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7D6F94"/>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7D6F9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D6F9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0942B-79A8-4709-8A50-20D5E31E4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Pages>
  <Words>2278</Words>
  <Characters>12533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Coordinación Técnica</cp:lastModifiedBy>
  <cp:revision>49</cp:revision>
  <cp:lastPrinted>2026-01-29T17:36:00Z</cp:lastPrinted>
  <dcterms:created xsi:type="dcterms:W3CDTF">2024-12-02T16:03:00Z</dcterms:created>
  <dcterms:modified xsi:type="dcterms:W3CDTF">2026-01-29T17:37:00Z</dcterms:modified>
</cp:coreProperties>
</file>