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59B23" w14:textId="076F0D4E" w:rsidR="00B75B39" w:rsidRPr="00EF2FBB" w:rsidRDefault="00F64457" w:rsidP="00B75B39">
      <w:pPr>
        <w:rPr>
          <w:rFonts w:ascii="Arial" w:hAnsi="Arial" w:cs="Arial"/>
          <w:b/>
          <w:sz w:val="24"/>
          <w:szCs w:val="24"/>
        </w:rPr>
      </w:pPr>
      <w:r w:rsidRPr="00EF2FBB">
        <w:rPr>
          <w:rFonts w:ascii="Arial" w:hAnsi="Arial" w:cs="Arial"/>
          <w:b/>
          <w:sz w:val="24"/>
          <w:szCs w:val="24"/>
        </w:rPr>
        <w:t xml:space="preserve">ACUERDO QUE EMITE EL CONSEJO ESTATAL DEL INSTITUTO ELECTORAL Y DE PARTICIPACIÓN CIUDADANA DE TABASCO, MEDIANTE EL CUAL </w:t>
      </w:r>
      <w:r w:rsidR="00FE5847" w:rsidRPr="00EF2FBB">
        <w:rPr>
          <w:rFonts w:ascii="Arial" w:hAnsi="Arial" w:cs="Arial"/>
          <w:b/>
          <w:sz w:val="24"/>
          <w:szCs w:val="24"/>
        </w:rPr>
        <w:t>SE REALIZAN AJUSTES A</w:t>
      </w:r>
      <w:r w:rsidRPr="00EF2FBB">
        <w:rPr>
          <w:rFonts w:ascii="Arial" w:hAnsi="Arial" w:cs="Arial"/>
          <w:b/>
          <w:sz w:val="24"/>
          <w:szCs w:val="24"/>
        </w:rPr>
        <w:t xml:space="preserve">L TABULADOR DE </w:t>
      </w:r>
      <w:r w:rsidR="00096841" w:rsidRPr="00EF2FBB">
        <w:rPr>
          <w:rFonts w:ascii="Arial" w:hAnsi="Arial" w:cs="Arial"/>
          <w:b/>
          <w:sz w:val="24"/>
          <w:szCs w:val="24"/>
        </w:rPr>
        <w:t>SUELDOS Y</w:t>
      </w:r>
      <w:r w:rsidR="00FE5847" w:rsidRPr="00EF2FBB">
        <w:rPr>
          <w:rFonts w:ascii="Arial" w:hAnsi="Arial" w:cs="Arial"/>
          <w:b/>
          <w:sz w:val="24"/>
          <w:szCs w:val="24"/>
        </w:rPr>
        <w:t xml:space="preserve"> SALARIOS PARA EL EJERCICIO </w:t>
      </w:r>
      <w:r w:rsidR="009F4180" w:rsidRPr="00EF2FBB">
        <w:rPr>
          <w:rFonts w:ascii="Arial" w:hAnsi="Arial" w:cs="Arial"/>
          <w:b/>
          <w:sz w:val="24"/>
          <w:szCs w:val="24"/>
        </w:rPr>
        <w:t>2026</w:t>
      </w:r>
      <w:r w:rsidR="00FE5847" w:rsidRPr="00EF2FBB">
        <w:rPr>
          <w:rFonts w:ascii="Arial" w:hAnsi="Arial" w:cs="Arial"/>
          <w:b/>
          <w:sz w:val="24"/>
          <w:szCs w:val="24"/>
        </w:rPr>
        <w:t xml:space="preserve"> DEL PROPIO INSTITUTO</w:t>
      </w:r>
    </w:p>
    <w:p w14:paraId="5D8D3606" w14:textId="77777777" w:rsidR="00A578DE" w:rsidRPr="00EF2FBB" w:rsidRDefault="00B75B39" w:rsidP="00B75B39">
      <w:pPr>
        <w:rPr>
          <w:rFonts w:ascii="Arial" w:hAnsi="Arial" w:cs="Arial"/>
          <w:sz w:val="22"/>
          <w:szCs w:val="22"/>
        </w:rPr>
      </w:pPr>
      <w:r w:rsidRPr="00EF2FBB">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DF381C" w:rsidRPr="00EF2FBB" w14:paraId="629A59C4" w14:textId="77777777" w:rsidTr="00455F3E">
        <w:trPr>
          <w:trHeight w:val="624"/>
          <w:jc w:val="center"/>
        </w:trPr>
        <w:tc>
          <w:tcPr>
            <w:tcW w:w="2042" w:type="pct"/>
            <w:vAlign w:val="center"/>
          </w:tcPr>
          <w:p w14:paraId="78407058"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Consejo Estatal:</w:t>
            </w:r>
          </w:p>
        </w:tc>
        <w:tc>
          <w:tcPr>
            <w:tcW w:w="2958" w:type="pct"/>
            <w:vAlign w:val="center"/>
          </w:tcPr>
          <w:p w14:paraId="5B22D6E1"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Consejo Estatal del Instituto Electoral y de Participación Ciudadana de Tabasco.</w:t>
            </w:r>
          </w:p>
        </w:tc>
      </w:tr>
      <w:tr w:rsidR="00DF381C" w:rsidRPr="00EF2FBB" w14:paraId="18E30512" w14:textId="77777777" w:rsidTr="00455F3E">
        <w:trPr>
          <w:trHeight w:val="624"/>
          <w:jc w:val="center"/>
        </w:trPr>
        <w:tc>
          <w:tcPr>
            <w:tcW w:w="2042" w:type="pct"/>
            <w:vAlign w:val="center"/>
          </w:tcPr>
          <w:p w14:paraId="5672A0D9"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Constitución Federal:</w:t>
            </w:r>
          </w:p>
        </w:tc>
        <w:tc>
          <w:tcPr>
            <w:tcW w:w="2958" w:type="pct"/>
            <w:vAlign w:val="center"/>
          </w:tcPr>
          <w:p w14:paraId="06918D36"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Constitución Política de los Estados Unidos Mexicanos.</w:t>
            </w:r>
          </w:p>
        </w:tc>
      </w:tr>
      <w:tr w:rsidR="00DF381C" w:rsidRPr="00EF2FBB" w14:paraId="587722B4" w14:textId="77777777" w:rsidTr="00455F3E">
        <w:trPr>
          <w:trHeight w:val="624"/>
          <w:jc w:val="center"/>
        </w:trPr>
        <w:tc>
          <w:tcPr>
            <w:tcW w:w="2042" w:type="pct"/>
            <w:vAlign w:val="center"/>
          </w:tcPr>
          <w:p w14:paraId="58463CB5"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Constitución Local:</w:t>
            </w:r>
          </w:p>
        </w:tc>
        <w:tc>
          <w:tcPr>
            <w:tcW w:w="2958" w:type="pct"/>
            <w:vAlign w:val="center"/>
          </w:tcPr>
          <w:p w14:paraId="1993DC4D"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Constitución Política del Estado Libre y Soberano de Tabasco.</w:t>
            </w:r>
          </w:p>
        </w:tc>
      </w:tr>
      <w:tr w:rsidR="00DF381C" w:rsidRPr="00EF2FBB" w14:paraId="0DD7B0AD" w14:textId="77777777" w:rsidTr="00455F3E">
        <w:trPr>
          <w:trHeight w:val="624"/>
          <w:jc w:val="center"/>
        </w:trPr>
        <w:tc>
          <w:tcPr>
            <w:tcW w:w="2042" w:type="pct"/>
            <w:vAlign w:val="center"/>
          </w:tcPr>
          <w:p w14:paraId="6D7B3E16"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INE:</w:t>
            </w:r>
          </w:p>
        </w:tc>
        <w:tc>
          <w:tcPr>
            <w:tcW w:w="2958" w:type="pct"/>
            <w:vAlign w:val="center"/>
          </w:tcPr>
          <w:p w14:paraId="2C09C502"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Instituto Nacional Electoral.</w:t>
            </w:r>
          </w:p>
        </w:tc>
      </w:tr>
      <w:tr w:rsidR="00DF381C" w:rsidRPr="00EF2FBB" w14:paraId="0BE346C8" w14:textId="77777777" w:rsidTr="00455F3E">
        <w:trPr>
          <w:trHeight w:val="624"/>
          <w:jc w:val="center"/>
        </w:trPr>
        <w:tc>
          <w:tcPr>
            <w:tcW w:w="2042" w:type="pct"/>
            <w:vAlign w:val="center"/>
          </w:tcPr>
          <w:p w14:paraId="26A1933F"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Instituto:</w:t>
            </w:r>
          </w:p>
        </w:tc>
        <w:tc>
          <w:tcPr>
            <w:tcW w:w="2958" w:type="pct"/>
          </w:tcPr>
          <w:p w14:paraId="1F9AACC8"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Instituto Electoral y de Participación Ciudadana de Tabasco.</w:t>
            </w:r>
          </w:p>
        </w:tc>
      </w:tr>
      <w:tr w:rsidR="00DF381C" w:rsidRPr="00EF2FBB" w14:paraId="79E9B731" w14:textId="77777777" w:rsidTr="00455F3E">
        <w:trPr>
          <w:trHeight w:val="624"/>
          <w:jc w:val="center"/>
        </w:trPr>
        <w:tc>
          <w:tcPr>
            <w:tcW w:w="2042" w:type="pct"/>
            <w:vAlign w:val="center"/>
          </w:tcPr>
          <w:p w14:paraId="291F1D21"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Ley de Partidos:</w:t>
            </w:r>
          </w:p>
        </w:tc>
        <w:tc>
          <w:tcPr>
            <w:tcW w:w="2958" w:type="pct"/>
            <w:vAlign w:val="center"/>
          </w:tcPr>
          <w:p w14:paraId="29AD56DA"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Ley General de Partidos Políticos.</w:t>
            </w:r>
          </w:p>
        </w:tc>
      </w:tr>
      <w:tr w:rsidR="00DF381C" w:rsidRPr="00EF2FBB" w14:paraId="0AFFAB98" w14:textId="77777777" w:rsidTr="00455F3E">
        <w:trPr>
          <w:trHeight w:val="624"/>
          <w:jc w:val="center"/>
        </w:trPr>
        <w:tc>
          <w:tcPr>
            <w:tcW w:w="2042" w:type="pct"/>
            <w:vAlign w:val="center"/>
          </w:tcPr>
          <w:p w14:paraId="5C003BBE"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Ley Electoral:</w:t>
            </w:r>
          </w:p>
        </w:tc>
        <w:tc>
          <w:tcPr>
            <w:tcW w:w="2958" w:type="pct"/>
            <w:vAlign w:val="center"/>
          </w:tcPr>
          <w:p w14:paraId="1000D532"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Ley Electoral y de Partidos Políticos del Estado de Tabasco.</w:t>
            </w:r>
          </w:p>
        </w:tc>
      </w:tr>
      <w:tr w:rsidR="00DF381C" w:rsidRPr="00EF2FBB" w14:paraId="0F2B8C54" w14:textId="77777777" w:rsidTr="00455F3E">
        <w:trPr>
          <w:trHeight w:val="624"/>
          <w:jc w:val="center"/>
        </w:trPr>
        <w:tc>
          <w:tcPr>
            <w:tcW w:w="2042" w:type="pct"/>
            <w:vAlign w:val="center"/>
          </w:tcPr>
          <w:p w14:paraId="0D66A430"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Ley General:</w:t>
            </w:r>
          </w:p>
        </w:tc>
        <w:tc>
          <w:tcPr>
            <w:tcW w:w="2958" w:type="pct"/>
            <w:vAlign w:val="center"/>
          </w:tcPr>
          <w:p w14:paraId="35B5813B"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Ley General de Instituciones y Procedimientos Electorales.</w:t>
            </w:r>
          </w:p>
        </w:tc>
      </w:tr>
      <w:tr w:rsidR="00DF381C" w:rsidRPr="00EF2FBB" w14:paraId="5F1F8DB2" w14:textId="77777777" w:rsidTr="00455F3E">
        <w:trPr>
          <w:trHeight w:val="624"/>
          <w:jc w:val="center"/>
        </w:trPr>
        <w:tc>
          <w:tcPr>
            <w:tcW w:w="2042" w:type="pct"/>
            <w:vAlign w:val="center"/>
          </w:tcPr>
          <w:p w14:paraId="14B32878"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Organismo electoral:</w:t>
            </w:r>
          </w:p>
        </w:tc>
        <w:tc>
          <w:tcPr>
            <w:tcW w:w="2958" w:type="pct"/>
            <w:vAlign w:val="center"/>
          </w:tcPr>
          <w:p w14:paraId="38242EAE"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 xml:space="preserve">Organismo(s) público(s) local(es) electoral(es). </w:t>
            </w:r>
          </w:p>
        </w:tc>
      </w:tr>
      <w:tr w:rsidR="00DF381C" w:rsidRPr="00EF2FBB" w14:paraId="3CEF4911" w14:textId="77777777" w:rsidTr="00455F3E">
        <w:trPr>
          <w:trHeight w:val="624"/>
          <w:jc w:val="center"/>
        </w:trPr>
        <w:tc>
          <w:tcPr>
            <w:tcW w:w="2042" w:type="pct"/>
            <w:vAlign w:val="center"/>
          </w:tcPr>
          <w:p w14:paraId="588BC040" w14:textId="77777777" w:rsidR="00DF381C" w:rsidRPr="00EF2FBB" w:rsidRDefault="00DF381C"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Secretaría Ejecutiva:</w:t>
            </w:r>
          </w:p>
        </w:tc>
        <w:tc>
          <w:tcPr>
            <w:tcW w:w="2958" w:type="pct"/>
            <w:vAlign w:val="center"/>
          </w:tcPr>
          <w:p w14:paraId="045B483F" w14:textId="77777777" w:rsidR="00DF381C" w:rsidRPr="00EF2FBB" w:rsidRDefault="00DF381C" w:rsidP="00455F3E">
            <w:pPr>
              <w:spacing w:before="60" w:after="60" w:line="288" w:lineRule="auto"/>
              <w:ind w:left="57"/>
              <w:rPr>
                <w:rFonts w:ascii="Arial" w:hAnsi="Arial" w:cs="Arial"/>
                <w:sz w:val="20"/>
                <w:szCs w:val="20"/>
              </w:rPr>
            </w:pPr>
            <w:r w:rsidRPr="00EF2FBB">
              <w:rPr>
                <w:rFonts w:ascii="Arial" w:hAnsi="Arial" w:cs="Arial"/>
                <w:sz w:val="20"/>
                <w:szCs w:val="20"/>
              </w:rPr>
              <w:t>Secretaría Ejecutiva del Instituto Electoral y de Participación Ciudadana de Tabasco.</w:t>
            </w:r>
          </w:p>
        </w:tc>
      </w:tr>
      <w:tr w:rsidR="00AD74EB" w:rsidRPr="00EF2FBB" w14:paraId="7C9DF026" w14:textId="77777777" w:rsidTr="00455F3E">
        <w:trPr>
          <w:trHeight w:val="624"/>
          <w:jc w:val="center"/>
        </w:trPr>
        <w:tc>
          <w:tcPr>
            <w:tcW w:w="2042" w:type="pct"/>
            <w:vAlign w:val="center"/>
          </w:tcPr>
          <w:p w14:paraId="576A8C6A" w14:textId="650D78AA" w:rsidR="00AD74EB" w:rsidRPr="00EF2FBB" w:rsidRDefault="00AD74EB" w:rsidP="00455F3E">
            <w:pPr>
              <w:spacing w:before="60" w:after="60" w:line="288" w:lineRule="auto"/>
              <w:ind w:left="57"/>
              <w:jc w:val="right"/>
              <w:rPr>
                <w:rFonts w:ascii="Arial" w:hAnsi="Arial" w:cs="Arial"/>
                <w:b/>
                <w:sz w:val="20"/>
                <w:szCs w:val="20"/>
              </w:rPr>
            </w:pPr>
            <w:r w:rsidRPr="00EF2FBB">
              <w:rPr>
                <w:rFonts w:ascii="Arial" w:hAnsi="Arial" w:cs="Arial"/>
                <w:b/>
                <w:sz w:val="20"/>
                <w:szCs w:val="20"/>
              </w:rPr>
              <w:t>Tabulador:</w:t>
            </w:r>
          </w:p>
        </w:tc>
        <w:tc>
          <w:tcPr>
            <w:tcW w:w="2958" w:type="pct"/>
            <w:vAlign w:val="center"/>
          </w:tcPr>
          <w:p w14:paraId="2D99B412" w14:textId="4630BE75" w:rsidR="00AD74EB" w:rsidRPr="00EF2FBB" w:rsidRDefault="00AD74EB" w:rsidP="00455F3E">
            <w:pPr>
              <w:spacing w:before="60" w:after="60" w:line="288" w:lineRule="auto"/>
              <w:ind w:left="57"/>
              <w:rPr>
                <w:rFonts w:ascii="Arial" w:hAnsi="Arial" w:cs="Arial"/>
                <w:sz w:val="20"/>
                <w:szCs w:val="20"/>
              </w:rPr>
            </w:pPr>
            <w:r w:rsidRPr="00EF2FBB">
              <w:rPr>
                <w:rFonts w:ascii="Arial" w:hAnsi="Arial" w:cs="Arial"/>
                <w:sz w:val="20"/>
                <w:szCs w:val="20"/>
              </w:rPr>
              <w:t>Tabulador de sueldos y Salarios del Instituto Electoral y de Participación Ciudadana de Tabasco</w:t>
            </w:r>
            <w:r w:rsidR="00AF263F" w:rsidRPr="00EF2FBB">
              <w:rPr>
                <w:rFonts w:ascii="Arial" w:hAnsi="Arial" w:cs="Arial"/>
                <w:sz w:val="20"/>
                <w:szCs w:val="20"/>
              </w:rPr>
              <w:t>.</w:t>
            </w:r>
          </w:p>
        </w:tc>
      </w:tr>
    </w:tbl>
    <w:p w14:paraId="7FE39D8C" w14:textId="77777777" w:rsidR="00EF2FBB" w:rsidRDefault="00EF2FBB" w:rsidP="00EF2FBB">
      <w:pPr>
        <w:pStyle w:val="Ttulo1"/>
        <w:ind w:left="432"/>
        <w:jc w:val="both"/>
        <w:rPr>
          <w:rFonts w:ascii="Arial" w:hAnsi="Arial" w:cs="Arial"/>
        </w:rPr>
      </w:pPr>
    </w:p>
    <w:p w14:paraId="6A1565AF" w14:textId="084CA85D" w:rsidR="00B75B39" w:rsidRPr="00EF2FBB" w:rsidRDefault="00B75B39" w:rsidP="00250C08">
      <w:pPr>
        <w:pStyle w:val="Ttulo1"/>
        <w:numPr>
          <w:ilvl w:val="0"/>
          <w:numId w:val="1"/>
        </w:numPr>
        <w:ind w:left="432"/>
        <w:rPr>
          <w:rFonts w:ascii="Arial" w:hAnsi="Arial" w:cs="Arial"/>
          <w:sz w:val="24"/>
          <w:szCs w:val="24"/>
        </w:rPr>
      </w:pPr>
      <w:r w:rsidRPr="00EF2FBB">
        <w:rPr>
          <w:rFonts w:ascii="Arial" w:hAnsi="Arial" w:cs="Arial"/>
          <w:sz w:val="24"/>
          <w:szCs w:val="24"/>
        </w:rPr>
        <w:lastRenderedPageBreak/>
        <w:t>Antecedentes</w:t>
      </w:r>
    </w:p>
    <w:p w14:paraId="6E8BE417" w14:textId="5D113ED1" w:rsidR="00F64457" w:rsidRPr="00EF2FBB" w:rsidRDefault="00250C08" w:rsidP="00F64457">
      <w:pPr>
        <w:pStyle w:val="Ttulo2"/>
        <w:rPr>
          <w:rFonts w:ascii="Arial" w:hAnsi="Arial" w:cs="Arial"/>
          <w:sz w:val="22"/>
          <w:szCs w:val="22"/>
        </w:rPr>
      </w:pPr>
      <w:r w:rsidRPr="00EF2FBB">
        <w:rPr>
          <w:rFonts w:ascii="Arial" w:hAnsi="Arial" w:cs="Arial"/>
        </w:rPr>
        <w:t xml:space="preserve">1.1 </w:t>
      </w:r>
      <w:r w:rsidR="00F64457" w:rsidRPr="00EF2FBB">
        <w:rPr>
          <w:rFonts w:ascii="Arial" w:hAnsi="Arial" w:cs="Arial"/>
          <w:sz w:val="22"/>
          <w:szCs w:val="22"/>
        </w:rPr>
        <w:t xml:space="preserve">Fines del Instituto </w:t>
      </w:r>
    </w:p>
    <w:p w14:paraId="07BA3B53" w14:textId="4810A422" w:rsidR="00F64457" w:rsidRPr="00EF2FBB" w:rsidRDefault="00F64457" w:rsidP="00F64457">
      <w:pPr>
        <w:rPr>
          <w:rFonts w:ascii="Arial" w:hAnsi="Arial" w:cs="Arial"/>
          <w:sz w:val="22"/>
          <w:szCs w:val="22"/>
        </w:rPr>
      </w:pPr>
      <w:r w:rsidRPr="00EF2FBB">
        <w:rPr>
          <w:rFonts w:ascii="Arial" w:hAnsi="Arial" w:cs="Arial"/>
          <w:sz w:val="22"/>
          <w:szCs w:val="22"/>
        </w:rPr>
        <w:t>Que, de conformidad con los artículos 9</w:t>
      </w:r>
      <w:r w:rsidR="00DF4AF0" w:rsidRPr="00EF2FBB">
        <w:rPr>
          <w:rFonts w:ascii="Arial" w:hAnsi="Arial" w:cs="Arial"/>
          <w:sz w:val="22"/>
          <w:szCs w:val="22"/>
        </w:rPr>
        <w:t>,</w:t>
      </w:r>
      <w:r w:rsidRPr="00EF2FBB">
        <w:rPr>
          <w:rFonts w:ascii="Arial" w:hAnsi="Arial" w:cs="Arial"/>
          <w:sz w:val="22"/>
          <w:szCs w:val="22"/>
        </w:rPr>
        <w:t xml:space="preserve"> apartado C, fracción I</w:t>
      </w:r>
      <w:r w:rsidR="00DF4AF0" w:rsidRPr="00EF2FBB">
        <w:rPr>
          <w:rFonts w:ascii="Arial" w:hAnsi="Arial" w:cs="Arial"/>
          <w:sz w:val="22"/>
          <w:szCs w:val="22"/>
        </w:rPr>
        <w:t>,</w:t>
      </w:r>
      <w:r w:rsidRPr="00EF2FBB">
        <w:rPr>
          <w:rFonts w:ascii="Arial" w:hAnsi="Arial" w:cs="Arial"/>
          <w:sz w:val="22"/>
          <w:szCs w:val="22"/>
        </w:rPr>
        <w:t xml:space="preserve"> de la Constitución Local, 3 numeral 3, 100 y 102</w:t>
      </w:r>
      <w:r w:rsidR="00DF4AF0" w:rsidRPr="00EF2FBB">
        <w:rPr>
          <w:rFonts w:ascii="Arial" w:hAnsi="Arial" w:cs="Arial"/>
          <w:sz w:val="22"/>
          <w:szCs w:val="22"/>
        </w:rPr>
        <w:t>,</w:t>
      </w:r>
      <w:r w:rsidRPr="00EF2FBB">
        <w:rPr>
          <w:rFonts w:ascii="Arial" w:hAnsi="Arial" w:cs="Arial"/>
          <w:sz w:val="22"/>
          <w:szCs w:val="22"/>
        </w:rPr>
        <w:t xml:space="preserve"> numeral 1</w:t>
      </w:r>
      <w:r w:rsidR="00DF4AF0" w:rsidRPr="00EF2FBB">
        <w:rPr>
          <w:rFonts w:ascii="Arial" w:hAnsi="Arial" w:cs="Arial"/>
          <w:sz w:val="22"/>
          <w:szCs w:val="22"/>
        </w:rPr>
        <w:t>,</w:t>
      </w:r>
      <w:r w:rsidRPr="00EF2FBB">
        <w:rPr>
          <w:rFonts w:ascii="Arial" w:hAnsi="Arial" w:cs="Arial"/>
          <w:sz w:val="22"/>
          <w:szCs w:val="22"/>
        </w:rPr>
        <w:t xml:space="preserve">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E828119" w14:textId="77777777" w:rsidR="00F64457" w:rsidRPr="00EF2FBB" w:rsidRDefault="00F64457" w:rsidP="00F64457">
      <w:pPr>
        <w:rPr>
          <w:rFonts w:ascii="Arial" w:hAnsi="Arial" w:cs="Arial"/>
          <w:sz w:val="22"/>
          <w:szCs w:val="22"/>
        </w:rPr>
      </w:pPr>
      <w:r w:rsidRPr="00EF2FBB">
        <w:rPr>
          <w:rFonts w:ascii="Arial" w:hAnsi="Arial" w:cs="Arial"/>
          <w:sz w:val="22"/>
          <w:szCs w:val="22"/>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3F9F5A6C" w14:textId="413EAB65" w:rsidR="00F64457" w:rsidRPr="00EF2FBB" w:rsidRDefault="00250C08" w:rsidP="00F64457">
      <w:pPr>
        <w:pStyle w:val="Ttulo2"/>
        <w:rPr>
          <w:rFonts w:ascii="Arial" w:hAnsi="Arial" w:cs="Arial"/>
          <w:sz w:val="22"/>
          <w:szCs w:val="22"/>
        </w:rPr>
      </w:pPr>
      <w:r w:rsidRPr="00EF2FBB">
        <w:rPr>
          <w:rFonts w:ascii="Arial" w:hAnsi="Arial" w:cs="Arial"/>
          <w:sz w:val="22"/>
          <w:szCs w:val="22"/>
        </w:rPr>
        <w:t xml:space="preserve">1.2 </w:t>
      </w:r>
      <w:r w:rsidR="00F64457" w:rsidRPr="00EF2FBB">
        <w:rPr>
          <w:rFonts w:ascii="Arial" w:hAnsi="Arial" w:cs="Arial"/>
          <w:sz w:val="22"/>
          <w:szCs w:val="22"/>
        </w:rPr>
        <w:t xml:space="preserve">Órgano Superior de Dirección del Instituto </w:t>
      </w:r>
    </w:p>
    <w:p w14:paraId="5F5CBFDE" w14:textId="5529AC9E" w:rsidR="00F64457" w:rsidRDefault="00F64457" w:rsidP="00F64457">
      <w:pPr>
        <w:rPr>
          <w:rFonts w:ascii="Arial" w:hAnsi="Arial" w:cs="Arial"/>
          <w:sz w:val="22"/>
          <w:szCs w:val="22"/>
        </w:rPr>
      </w:pPr>
      <w:r w:rsidRPr="00EF2FBB">
        <w:rPr>
          <w:rFonts w:ascii="Arial" w:hAnsi="Arial" w:cs="Arial"/>
          <w:sz w:val="22"/>
          <w:szCs w:val="22"/>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3ACFFBAC" w14:textId="4F6842A8" w:rsidR="00EF2FBB" w:rsidRDefault="00EF2FBB" w:rsidP="00F64457">
      <w:pPr>
        <w:rPr>
          <w:rFonts w:ascii="Arial" w:hAnsi="Arial" w:cs="Arial"/>
          <w:sz w:val="22"/>
          <w:szCs w:val="22"/>
        </w:rPr>
      </w:pPr>
    </w:p>
    <w:p w14:paraId="6DD1F7CD" w14:textId="77777777" w:rsidR="00EF2FBB" w:rsidRPr="00EF2FBB" w:rsidRDefault="00EF2FBB" w:rsidP="00F64457">
      <w:pPr>
        <w:rPr>
          <w:rFonts w:ascii="Arial" w:hAnsi="Arial" w:cs="Arial"/>
          <w:sz w:val="22"/>
          <w:szCs w:val="22"/>
        </w:rPr>
      </w:pPr>
    </w:p>
    <w:p w14:paraId="0439914D" w14:textId="063CAF97" w:rsidR="00F64457" w:rsidRPr="00EF2FBB" w:rsidRDefault="00250C08" w:rsidP="00F64457">
      <w:pPr>
        <w:pStyle w:val="Ttulo2"/>
        <w:rPr>
          <w:rFonts w:ascii="Arial" w:hAnsi="Arial" w:cs="Arial"/>
          <w:sz w:val="22"/>
          <w:szCs w:val="22"/>
        </w:rPr>
      </w:pPr>
      <w:r w:rsidRPr="00EF2FBB">
        <w:rPr>
          <w:rFonts w:ascii="Arial" w:hAnsi="Arial" w:cs="Arial"/>
          <w:sz w:val="22"/>
          <w:szCs w:val="22"/>
        </w:rPr>
        <w:lastRenderedPageBreak/>
        <w:t xml:space="preserve">1.3 </w:t>
      </w:r>
      <w:r w:rsidR="00F64457" w:rsidRPr="00EF2FBB">
        <w:rPr>
          <w:rFonts w:ascii="Arial" w:hAnsi="Arial" w:cs="Arial"/>
          <w:sz w:val="22"/>
          <w:szCs w:val="22"/>
        </w:rPr>
        <w:t>Integración del Órgano de Dirección Superior</w:t>
      </w:r>
    </w:p>
    <w:p w14:paraId="42E9A55A" w14:textId="51B4BC31" w:rsidR="00F64457" w:rsidRPr="00EF2FBB" w:rsidRDefault="00F64457" w:rsidP="00F64457">
      <w:pPr>
        <w:rPr>
          <w:rFonts w:ascii="Arial" w:hAnsi="Arial" w:cs="Arial"/>
          <w:sz w:val="22"/>
          <w:szCs w:val="22"/>
        </w:rPr>
      </w:pPr>
      <w:r w:rsidRPr="00EF2FBB">
        <w:rPr>
          <w:rFonts w:ascii="Arial" w:hAnsi="Arial" w:cs="Arial"/>
          <w:sz w:val="22"/>
          <w:szCs w:val="22"/>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DA496E5" w14:textId="6298AC0B" w:rsidR="00DF4AF0" w:rsidRPr="00EF2FBB" w:rsidRDefault="00DF4AF0" w:rsidP="00DF4AF0">
      <w:pPr>
        <w:rPr>
          <w:rFonts w:ascii="Arial" w:hAnsi="Arial" w:cs="Arial"/>
          <w:b/>
          <w:sz w:val="22"/>
          <w:szCs w:val="22"/>
        </w:rPr>
      </w:pPr>
      <w:r w:rsidRPr="00EF2FBB">
        <w:rPr>
          <w:rFonts w:ascii="Arial" w:hAnsi="Arial" w:cs="Arial"/>
          <w:b/>
          <w:sz w:val="22"/>
          <w:szCs w:val="22"/>
        </w:rPr>
        <w:t>1.4 Aprobación del Tabulador</w:t>
      </w:r>
    </w:p>
    <w:p w14:paraId="160D19E2" w14:textId="494F45FE" w:rsidR="00DF4AF0" w:rsidRPr="00EF2FBB" w:rsidRDefault="00DF4AF0" w:rsidP="00DF4AF0">
      <w:pPr>
        <w:rPr>
          <w:rFonts w:ascii="Arial" w:hAnsi="Arial" w:cs="Arial"/>
          <w:sz w:val="22"/>
          <w:szCs w:val="22"/>
        </w:rPr>
      </w:pPr>
      <w:r w:rsidRPr="00EF2FBB">
        <w:rPr>
          <w:rFonts w:ascii="Arial" w:hAnsi="Arial" w:cs="Arial"/>
          <w:sz w:val="22"/>
          <w:szCs w:val="22"/>
        </w:rPr>
        <w:t>El 08 de octubre del 2025, mediante acuerdo CE/2025/085, el Consejo Estatal aprobó el Anteproyecto de Presupuesto de Egresos del Instituto para el ejercicio 2026 que incluyó el Tabulador.</w:t>
      </w:r>
    </w:p>
    <w:p w14:paraId="6077CF01" w14:textId="77777777" w:rsidR="00C916B3" w:rsidRPr="00EF2FBB" w:rsidRDefault="00C916B3" w:rsidP="00DF4AF0">
      <w:pPr>
        <w:rPr>
          <w:rFonts w:ascii="Arial" w:hAnsi="Arial" w:cs="Arial"/>
          <w:b/>
          <w:sz w:val="22"/>
          <w:szCs w:val="22"/>
        </w:rPr>
      </w:pPr>
      <w:r w:rsidRPr="00EF2FBB">
        <w:rPr>
          <w:rFonts w:ascii="Arial" w:hAnsi="Arial" w:cs="Arial"/>
          <w:b/>
          <w:sz w:val="22"/>
          <w:szCs w:val="22"/>
        </w:rPr>
        <w:t>1.5 Presupuesto de egresos 2026</w:t>
      </w:r>
    </w:p>
    <w:p w14:paraId="493E9231" w14:textId="3935CFF5" w:rsidR="00DF4AF0" w:rsidRPr="00EF2FBB" w:rsidRDefault="00DF4AF0" w:rsidP="00DF4AF0">
      <w:pPr>
        <w:rPr>
          <w:rFonts w:ascii="Arial" w:hAnsi="Arial" w:cs="Arial"/>
          <w:sz w:val="22"/>
          <w:szCs w:val="22"/>
        </w:rPr>
      </w:pPr>
      <w:r w:rsidRPr="00EF2FBB">
        <w:rPr>
          <w:rFonts w:ascii="Arial" w:hAnsi="Arial" w:cs="Arial"/>
          <w:sz w:val="22"/>
          <w:szCs w:val="22"/>
        </w:rPr>
        <w:t>El 24 de diciembre de 2025, se publicó en la edición 8692, del Periódico Oficial del Estado, el decreto 191 relativo al Presupuesto Anual de Egresos aprobado por el Honorable Congreso del Estado de Tabasco, correspondiente al ejercicio 2026, el cual contiene, entre otros aspectos, la política de gasto de los órganos autónomos.</w:t>
      </w:r>
    </w:p>
    <w:p w14:paraId="4D91B997" w14:textId="538FAD3B" w:rsidR="00DF4AF0" w:rsidRPr="00EF2FBB" w:rsidRDefault="00DF4AF0" w:rsidP="00DF4AF0">
      <w:pPr>
        <w:rPr>
          <w:rFonts w:ascii="Arial" w:hAnsi="Arial" w:cs="Arial"/>
          <w:sz w:val="22"/>
          <w:szCs w:val="22"/>
        </w:rPr>
      </w:pPr>
      <w:r w:rsidRPr="00EF2FBB">
        <w:rPr>
          <w:rFonts w:ascii="Arial" w:hAnsi="Arial" w:cs="Arial"/>
          <w:sz w:val="22"/>
          <w:szCs w:val="22"/>
        </w:rPr>
        <w:t>De conformidad con el Presupuesto antes mencionado, el H. Congreso del Estado, para el ejercicio 2026, asignó al Instituto recursos por la cantidad de $185’264,738.00. (ciento ochenta y cinco millones doscientos sesenta y cuatro mil novecientos setecientos treinta y ocho 00/100), cantidad que incluye el gasto previsto para el financiamiento público de los partidos políticos con derecho a recibirlo.</w:t>
      </w:r>
    </w:p>
    <w:p w14:paraId="49F5A060" w14:textId="6ADD4170" w:rsidR="00C916B3" w:rsidRPr="00EF2FBB" w:rsidRDefault="00C916B3" w:rsidP="00DF4AF0">
      <w:pPr>
        <w:rPr>
          <w:rFonts w:ascii="Arial" w:hAnsi="Arial" w:cs="Arial"/>
          <w:b/>
          <w:sz w:val="22"/>
          <w:szCs w:val="22"/>
        </w:rPr>
      </w:pPr>
      <w:r w:rsidRPr="00EF2FBB">
        <w:rPr>
          <w:rFonts w:ascii="Arial" w:hAnsi="Arial" w:cs="Arial"/>
          <w:b/>
          <w:sz w:val="22"/>
          <w:szCs w:val="22"/>
        </w:rPr>
        <w:t>1.6 Resolución de miscelánea fiscal para 2026</w:t>
      </w:r>
    </w:p>
    <w:p w14:paraId="5766C40C" w14:textId="1AD7F12A" w:rsidR="00455F3E" w:rsidRPr="00EF2FBB" w:rsidRDefault="00C916B3" w:rsidP="00DF4AF0">
      <w:pPr>
        <w:rPr>
          <w:rFonts w:ascii="Arial" w:hAnsi="Arial" w:cs="Arial"/>
          <w:sz w:val="22"/>
          <w:szCs w:val="22"/>
        </w:rPr>
      </w:pPr>
      <w:r w:rsidRPr="00EF2FBB">
        <w:rPr>
          <w:rFonts w:ascii="Arial" w:hAnsi="Arial" w:cs="Arial"/>
          <w:sz w:val="22"/>
          <w:szCs w:val="22"/>
        </w:rPr>
        <w:t xml:space="preserve">El 28 de diciembre de 2025 fue publicada en el Diario Oficial de la Federación </w:t>
      </w:r>
      <w:r w:rsidR="00AF263F" w:rsidRPr="00EF2FBB">
        <w:rPr>
          <w:rFonts w:ascii="Arial" w:hAnsi="Arial" w:cs="Arial"/>
          <w:sz w:val="22"/>
          <w:szCs w:val="22"/>
        </w:rPr>
        <w:t xml:space="preserve">la </w:t>
      </w:r>
      <w:r w:rsidRPr="00EF2FBB">
        <w:rPr>
          <w:rFonts w:ascii="Arial" w:hAnsi="Arial" w:cs="Arial"/>
          <w:sz w:val="22"/>
          <w:szCs w:val="22"/>
        </w:rPr>
        <w:t>Resolución miscelánea fiscal para 2026 y sus anexos, entre ellos el Anexo 8 correspondiente a las Tarifas aplicables a pagos provisionales, retenciones y cálculo del ISR</w:t>
      </w:r>
      <w:r w:rsidR="007B19AC" w:rsidRPr="00EF2FBB">
        <w:rPr>
          <w:rFonts w:ascii="Arial" w:hAnsi="Arial" w:cs="Arial"/>
          <w:sz w:val="22"/>
          <w:szCs w:val="22"/>
        </w:rPr>
        <w:t>.</w:t>
      </w:r>
    </w:p>
    <w:p w14:paraId="452449DE" w14:textId="0298BFCE" w:rsidR="00C916B3" w:rsidRPr="00EF2FBB" w:rsidRDefault="00455F3E" w:rsidP="00DF4AF0">
      <w:pPr>
        <w:rPr>
          <w:rFonts w:ascii="Arial" w:hAnsi="Arial" w:cs="Arial"/>
          <w:b/>
          <w:sz w:val="22"/>
          <w:szCs w:val="22"/>
        </w:rPr>
      </w:pPr>
      <w:r w:rsidRPr="00EF2FBB">
        <w:rPr>
          <w:rFonts w:ascii="Arial" w:hAnsi="Arial" w:cs="Arial"/>
          <w:b/>
          <w:sz w:val="22"/>
          <w:szCs w:val="22"/>
        </w:rPr>
        <w:t>1.7 Aprobación de la presentación de la propuesta</w:t>
      </w:r>
    </w:p>
    <w:p w14:paraId="390303C6" w14:textId="54C51FFB" w:rsidR="00455F3E" w:rsidRPr="00EF2FBB" w:rsidRDefault="00455F3E" w:rsidP="00DF4AF0">
      <w:pPr>
        <w:rPr>
          <w:rFonts w:ascii="Arial" w:hAnsi="Arial" w:cs="Arial"/>
          <w:sz w:val="22"/>
          <w:szCs w:val="22"/>
        </w:rPr>
      </w:pPr>
      <w:r w:rsidRPr="00EF2FBB">
        <w:rPr>
          <w:rFonts w:ascii="Arial" w:hAnsi="Arial" w:cs="Arial"/>
          <w:sz w:val="22"/>
          <w:szCs w:val="22"/>
        </w:rPr>
        <w:t xml:space="preserve">El 13 de enero de 2026 la Junta Estatal Ejecutiva aprobó mediante acta </w:t>
      </w:r>
      <w:r w:rsidR="00AF263F" w:rsidRPr="00EF2FBB">
        <w:rPr>
          <w:rFonts w:ascii="Arial" w:hAnsi="Arial" w:cs="Arial"/>
          <w:sz w:val="22"/>
          <w:szCs w:val="22"/>
        </w:rPr>
        <w:t>JEE/EXT/01/10/202</w:t>
      </w:r>
      <w:r w:rsidRPr="00EF2FBB">
        <w:rPr>
          <w:rFonts w:ascii="Arial" w:hAnsi="Arial" w:cs="Arial"/>
          <w:sz w:val="22"/>
          <w:szCs w:val="22"/>
        </w:rPr>
        <w:t xml:space="preserve"> la presentación de la propuesta de </w:t>
      </w:r>
      <w:r w:rsidR="00AF263F" w:rsidRPr="00EF2FBB">
        <w:rPr>
          <w:rFonts w:ascii="Arial" w:hAnsi="Arial" w:cs="Arial"/>
          <w:sz w:val="22"/>
          <w:szCs w:val="22"/>
        </w:rPr>
        <w:t>ajustes</w:t>
      </w:r>
      <w:r w:rsidRPr="00EF2FBB">
        <w:rPr>
          <w:rFonts w:ascii="Arial" w:hAnsi="Arial" w:cs="Arial"/>
          <w:sz w:val="22"/>
          <w:szCs w:val="22"/>
        </w:rPr>
        <w:t xml:space="preserve"> del Tabulador para aprobación del</w:t>
      </w:r>
      <w:r w:rsidR="00256E70" w:rsidRPr="00EF2FBB">
        <w:rPr>
          <w:rFonts w:ascii="Arial" w:hAnsi="Arial" w:cs="Arial"/>
          <w:sz w:val="22"/>
          <w:szCs w:val="22"/>
        </w:rPr>
        <w:t xml:space="preserve"> Consejo Estatal.</w:t>
      </w:r>
    </w:p>
    <w:p w14:paraId="4219275C" w14:textId="29E42723" w:rsidR="00882579" w:rsidRDefault="00882579" w:rsidP="00DF4AF0">
      <w:pPr>
        <w:rPr>
          <w:rFonts w:ascii="Arial" w:hAnsi="Arial" w:cs="Arial"/>
          <w:sz w:val="22"/>
          <w:szCs w:val="22"/>
        </w:rPr>
      </w:pPr>
    </w:p>
    <w:p w14:paraId="7D2197FC" w14:textId="77777777" w:rsidR="00F64457" w:rsidRPr="00EF2FBB" w:rsidRDefault="00F64457" w:rsidP="00250C08">
      <w:pPr>
        <w:pStyle w:val="Ttulo1"/>
        <w:numPr>
          <w:ilvl w:val="0"/>
          <w:numId w:val="1"/>
        </w:numPr>
        <w:ind w:left="432"/>
        <w:rPr>
          <w:rFonts w:ascii="Arial" w:hAnsi="Arial" w:cs="Arial"/>
          <w:sz w:val="24"/>
          <w:szCs w:val="24"/>
        </w:rPr>
      </w:pPr>
      <w:r w:rsidRPr="00EF2FBB">
        <w:rPr>
          <w:rFonts w:ascii="Arial" w:hAnsi="Arial" w:cs="Arial"/>
          <w:sz w:val="24"/>
          <w:szCs w:val="24"/>
        </w:rPr>
        <w:lastRenderedPageBreak/>
        <w:t>Considerando</w:t>
      </w:r>
    </w:p>
    <w:p w14:paraId="0CD0A80B" w14:textId="07A77B43" w:rsidR="00F64457" w:rsidRPr="00EF2FBB" w:rsidRDefault="00250C08" w:rsidP="00F64457">
      <w:pPr>
        <w:pStyle w:val="Ttulo2"/>
        <w:rPr>
          <w:rFonts w:ascii="Arial" w:hAnsi="Arial" w:cs="Arial"/>
          <w:sz w:val="22"/>
          <w:szCs w:val="22"/>
        </w:rPr>
      </w:pPr>
      <w:r w:rsidRPr="00EF2FBB">
        <w:rPr>
          <w:rFonts w:ascii="Arial" w:hAnsi="Arial" w:cs="Arial"/>
        </w:rPr>
        <w:t xml:space="preserve">2.1 </w:t>
      </w:r>
      <w:r w:rsidR="00F64457" w:rsidRPr="00EF2FBB">
        <w:rPr>
          <w:rFonts w:ascii="Arial" w:hAnsi="Arial" w:cs="Arial"/>
          <w:sz w:val="22"/>
          <w:szCs w:val="22"/>
        </w:rPr>
        <w:t>Competencia del Consejo Estatal</w:t>
      </w:r>
    </w:p>
    <w:p w14:paraId="3BCB6D76" w14:textId="5F138035" w:rsidR="00F64457" w:rsidRPr="00EF2FBB" w:rsidRDefault="00F64457" w:rsidP="00F64457">
      <w:pPr>
        <w:rPr>
          <w:rFonts w:ascii="Arial" w:hAnsi="Arial" w:cs="Arial"/>
          <w:sz w:val="22"/>
          <w:szCs w:val="22"/>
        </w:rPr>
      </w:pPr>
      <w:r w:rsidRPr="00EF2FBB">
        <w:rPr>
          <w:rFonts w:ascii="Arial" w:hAnsi="Arial" w:cs="Arial"/>
          <w:sz w:val="22"/>
          <w:szCs w:val="22"/>
        </w:rPr>
        <w:t>Que, de conformidad con el artículo 115 numeral 1, fracción XXXII de la Ley Electoral, corresponde al Consejo Estatal aprobar anualmente el anteproyecto del presupuesto del Instituto que le proponga la Presidenta o Presidente del propio Consejo y remitirlo, una vez aprobado, al Ejecutivo local para su inclusión en el proyecto de Presupuesto de Egresos del Estado.</w:t>
      </w:r>
    </w:p>
    <w:p w14:paraId="0A2A4EFE" w14:textId="3CD62FE5" w:rsidR="003A28B0" w:rsidRPr="00EF2FBB" w:rsidRDefault="003A28B0" w:rsidP="00F64457">
      <w:pPr>
        <w:rPr>
          <w:rFonts w:ascii="Arial" w:hAnsi="Arial" w:cs="Arial"/>
          <w:sz w:val="22"/>
          <w:szCs w:val="22"/>
        </w:rPr>
      </w:pPr>
      <w:r w:rsidRPr="00EF2FBB">
        <w:rPr>
          <w:rFonts w:ascii="Arial" w:hAnsi="Arial" w:cs="Arial"/>
          <w:sz w:val="22"/>
          <w:szCs w:val="22"/>
        </w:rPr>
        <w:t>Además, conforme a los artículos 14, 15 y 16 de la Ley de Remuneraciones de los Servidores Públicos del Estado de Tabasco y sus Municipios, es necesario la inclusión del tabulador en el Presupuesto de Egresos, el cual debe contener los niveles mínimos y máximos de las remuneraciones, estos deberán estar apegados a las bases establecidas por dicha ley y, entre otras cosas, se estimule el mejor desempeño y el desarrollo profesional del servidor público.</w:t>
      </w:r>
    </w:p>
    <w:p w14:paraId="06331BF1" w14:textId="446ED18F" w:rsidR="00F64457" w:rsidRPr="00EF2FBB" w:rsidRDefault="00F64457" w:rsidP="00F64457">
      <w:pPr>
        <w:rPr>
          <w:rFonts w:ascii="Arial" w:hAnsi="Arial" w:cs="Arial"/>
          <w:sz w:val="22"/>
          <w:szCs w:val="22"/>
        </w:rPr>
      </w:pPr>
      <w:r w:rsidRPr="00EF2FBB">
        <w:rPr>
          <w:rFonts w:ascii="Arial" w:hAnsi="Arial" w:cs="Arial"/>
          <w:sz w:val="22"/>
          <w:szCs w:val="22"/>
        </w:rPr>
        <w:t xml:space="preserve">Acorde a lo anterior, el numeral 2 del artículo </w:t>
      </w:r>
      <w:r w:rsidR="003A28B0" w:rsidRPr="00EF2FBB">
        <w:rPr>
          <w:rFonts w:ascii="Arial" w:hAnsi="Arial" w:cs="Arial"/>
          <w:sz w:val="22"/>
          <w:szCs w:val="22"/>
        </w:rPr>
        <w:t>115 de la Ley Electoral</w:t>
      </w:r>
      <w:r w:rsidRPr="00EF2FBB">
        <w:rPr>
          <w:rFonts w:ascii="Arial" w:hAnsi="Arial" w:cs="Arial"/>
          <w:sz w:val="22"/>
          <w:szCs w:val="22"/>
        </w:rPr>
        <w:t xml:space="preserve">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71C39862" w14:textId="3A6638C5" w:rsidR="00F64457" w:rsidRPr="00EF2FBB" w:rsidRDefault="00250C08" w:rsidP="00F64457">
      <w:pPr>
        <w:pStyle w:val="Ttulo2"/>
        <w:rPr>
          <w:rFonts w:ascii="Arial" w:hAnsi="Arial" w:cs="Arial"/>
          <w:sz w:val="22"/>
          <w:szCs w:val="22"/>
        </w:rPr>
      </w:pPr>
      <w:r w:rsidRPr="00EF2FBB">
        <w:rPr>
          <w:rFonts w:ascii="Arial" w:hAnsi="Arial" w:cs="Arial"/>
          <w:sz w:val="22"/>
          <w:szCs w:val="22"/>
        </w:rPr>
        <w:t xml:space="preserve">2.2 </w:t>
      </w:r>
      <w:r w:rsidR="00F64457" w:rsidRPr="00EF2FBB">
        <w:rPr>
          <w:rFonts w:ascii="Arial" w:hAnsi="Arial" w:cs="Arial"/>
          <w:sz w:val="22"/>
          <w:szCs w:val="22"/>
        </w:rPr>
        <w:t>Remuneraciones de las y los servidores públicos en la Constitución local</w:t>
      </w:r>
    </w:p>
    <w:p w14:paraId="77B9CB67" w14:textId="77777777" w:rsidR="00F64457" w:rsidRPr="00EF2FBB" w:rsidRDefault="00F64457" w:rsidP="00F64457">
      <w:pPr>
        <w:rPr>
          <w:rFonts w:ascii="Arial" w:hAnsi="Arial" w:cs="Arial"/>
          <w:sz w:val="22"/>
          <w:szCs w:val="22"/>
        </w:rPr>
      </w:pPr>
      <w:r w:rsidRPr="00EF2FBB">
        <w:rPr>
          <w:rFonts w:ascii="Arial" w:hAnsi="Arial" w:cs="Arial"/>
          <w:sz w:val="22"/>
          <w:szCs w:val="22"/>
        </w:rPr>
        <w:t xml:space="preserve">Que, el artículo 75 fracción II de la Constitución local establece que ninguna persona dedicada al servicio público podrá recibir remuneración por el desempeño de su función, empleo, cargo o comisión, mayor a la establecida en el presupuesto de egresos que corresponda, para las personas titulares de la Presidencia de la República y del Poder Ejecutivo del Estado, respectivamente. </w:t>
      </w:r>
    </w:p>
    <w:p w14:paraId="2DBD2C86" w14:textId="77777777" w:rsidR="00F64457" w:rsidRPr="00EF2FBB" w:rsidRDefault="00F64457" w:rsidP="00F64457">
      <w:pPr>
        <w:rPr>
          <w:rFonts w:ascii="Arial" w:hAnsi="Arial" w:cs="Arial"/>
          <w:sz w:val="22"/>
          <w:szCs w:val="22"/>
        </w:rPr>
      </w:pPr>
      <w:r w:rsidRPr="00EF2FBB">
        <w:rPr>
          <w:rFonts w:ascii="Arial" w:hAnsi="Arial" w:cs="Arial"/>
          <w:sz w:val="22"/>
          <w:szCs w:val="22"/>
        </w:rPr>
        <w:t xml:space="preserve">Asimismo, conforme a la fracción III del artículo en cita, las personas dedicadas al servicio público no podrán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w:t>
      </w:r>
      <w:r w:rsidRPr="00EF2FBB">
        <w:rPr>
          <w:rFonts w:ascii="Arial" w:hAnsi="Arial" w:cs="Arial"/>
          <w:sz w:val="22"/>
          <w:szCs w:val="22"/>
        </w:rPr>
        <w:lastRenderedPageBreak/>
        <w:t>retribuciones no deberá exceder la mitad de la remuneración establecida en el presupuesto, que corresponda para la persona titular del Poder Ejecutivo del Estado.</w:t>
      </w:r>
    </w:p>
    <w:p w14:paraId="4D61DF21" w14:textId="5A61994B" w:rsidR="00F64457" w:rsidRPr="00EF2FBB" w:rsidRDefault="00250C08" w:rsidP="00F64457">
      <w:pPr>
        <w:pStyle w:val="Ttulo2"/>
        <w:rPr>
          <w:rFonts w:ascii="Arial" w:hAnsi="Arial" w:cs="Arial"/>
          <w:sz w:val="22"/>
          <w:szCs w:val="22"/>
        </w:rPr>
      </w:pPr>
      <w:r w:rsidRPr="00EF2FBB">
        <w:rPr>
          <w:rFonts w:ascii="Arial" w:hAnsi="Arial" w:cs="Arial"/>
          <w:sz w:val="22"/>
          <w:szCs w:val="22"/>
        </w:rPr>
        <w:t xml:space="preserve">2.3 </w:t>
      </w:r>
      <w:r w:rsidR="00F64457" w:rsidRPr="00EF2FBB">
        <w:rPr>
          <w:rFonts w:ascii="Arial" w:hAnsi="Arial" w:cs="Arial"/>
          <w:sz w:val="22"/>
          <w:szCs w:val="22"/>
        </w:rPr>
        <w:t xml:space="preserve">Atribución de la Presidencia del Consejo Estatal </w:t>
      </w:r>
    </w:p>
    <w:p w14:paraId="07B9D423" w14:textId="779F86B3" w:rsidR="00F64457" w:rsidRPr="00EF2FBB" w:rsidRDefault="00F64457" w:rsidP="00F64457">
      <w:pPr>
        <w:rPr>
          <w:rFonts w:ascii="Arial" w:hAnsi="Arial" w:cs="Arial"/>
          <w:sz w:val="22"/>
          <w:szCs w:val="22"/>
        </w:rPr>
      </w:pPr>
      <w:r w:rsidRPr="00EF2FBB">
        <w:rPr>
          <w:rFonts w:ascii="Arial" w:hAnsi="Arial" w:cs="Arial"/>
          <w:sz w:val="22"/>
          <w:szCs w:val="22"/>
        </w:rPr>
        <w:t>Que, el artículo 116, numeral 1, fracción IX de la Ley Electoral, establece como atribución de la Presidencia del Consejo, poner a consideración de Consejo Estatal el anteproyecto de presupuesto anual del Instituto, para los efectos correspondientes.</w:t>
      </w:r>
    </w:p>
    <w:p w14:paraId="2FFA9AEF" w14:textId="6CE28F5D" w:rsidR="00B75B39" w:rsidRPr="00EF2FBB" w:rsidRDefault="00250C08" w:rsidP="00B75B39">
      <w:pPr>
        <w:pStyle w:val="Ttulo2"/>
        <w:rPr>
          <w:rFonts w:ascii="Arial" w:hAnsi="Arial" w:cs="Arial"/>
          <w:sz w:val="22"/>
          <w:szCs w:val="22"/>
        </w:rPr>
      </w:pPr>
      <w:r w:rsidRPr="00EF2FBB">
        <w:rPr>
          <w:rFonts w:ascii="Arial" w:hAnsi="Arial" w:cs="Arial"/>
          <w:sz w:val="22"/>
          <w:szCs w:val="22"/>
        </w:rPr>
        <w:t xml:space="preserve">2.4 </w:t>
      </w:r>
      <w:r w:rsidR="00B75B39" w:rsidRPr="00EF2FBB">
        <w:rPr>
          <w:rFonts w:ascii="Arial" w:hAnsi="Arial" w:cs="Arial"/>
          <w:sz w:val="22"/>
          <w:szCs w:val="22"/>
        </w:rPr>
        <w:t>Anteproyecto de Presupuesto de Egresos</w:t>
      </w:r>
    </w:p>
    <w:p w14:paraId="3C168091" w14:textId="52DDEFC1" w:rsidR="00B75B39" w:rsidRPr="00EF2FBB" w:rsidRDefault="00B75B39" w:rsidP="00B75B39">
      <w:pPr>
        <w:rPr>
          <w:rFonts w:ascii="Arial" w:hAnsi="Arial" w:cs="Arial"/>
          <w:sz w:val="22"/>
          <w:szCs w:val="22"/>
        </w:rPr>
      </w:pPr>
      <w:r w:rsidRPr="00EF2FBB">
        <w:rPr>
          <w:rFonts w:ascii="Arial" w:hAnsi="Arial" w:cs="Arial"/>
          <w:sz w:val="22"/>
          <w:szCs w:val="22"/>
        </w:rPr>
        <w:t>De conformidad con el artículo 9, apartado C, fracción II de la Constitución Local, el Consejo Estatal, a través de su Presidencia, deberá remitir al Ejecutivo Estatal el anteproyecto de egresos de cada año, para su inclusión en el proyecto del Presupuesto General de Egresos del Estado, mismo que será revisado y, en su caso, aprobado por el Congreso. En los años electorales se aumentará conforme a lo dispuesto por las leyes en la materia, tomando en cuenta las elecciones de que se trate.</w:t>
      </w:r>
    </w:p>
    <w:p w14:paraId="2743AE02" w14:textId="2B091FE3" w:rsidR="00310921" w:rsidRPr="00EF2FBB" w:rsidRDefault="00250C08" w:rsidP="001403A3">
      <w:pPr>
        <w:pStyle w:val="Ttulo2"/>
        <w:rPr>
          <w:rFonts w:ascii="Arial" w:hAnsi="Arial" w:cs="Arial"/>
          <w:sz w:val="22"/>
          <w:szCs w:val="22"/>
        </w:rPr>
      </w:pPr>
      <w:r w:rsidRPr="00EF2FBB">
        <w:rPr>
          <w:rFonts w:ascii="Arial" w:hAnsi="Arial" w:cs="Arial"/>
          <w:sz w:val="22"/>
          <w:szCs w:val="22"/>
        </w:rPr>
        <w:t xml:space="preserve">2.5 </w:t>
      </w:r>
      <w:r w:rsidR="00310921" w:rsidRPr="00EF2FBB">
        <w:rPr>
          <w:rFonts w:ascii="Arial" w:hAnsi="Arial" w:cs="Arial"/>
          <w:sz w:val="22"/>
          <w:szCs w:val="22"/>
        </w:rPr>
        <w:t>Tabulador</w:t>
      </w:r>
    </w:p>
    <w:p w14:paraId="29E5985A" w14:textId="13036E58" w:rsidR="00310921" w:rsidRPr="00EF2FBB" w:rsidRDefault="00E76952" w:rsidP="00310921">
      <w:pPr>
        <w:rPr>
          <w:rFonts w:ascii="Arial" w:hAnsi="Arial" w:cs="Arial"/>
          <w:sz w:val="22"/>
          <w:szCs w:val="22"/>
        </w:rPr>
      </w:pPr>
      <w:r w:rsidRPr="00EF2FBB">
        <w:rPr>
          <w:rFonts w:ascii="Arial" w:hAnsi="Arial" w:cs="Arial"/>
          <w:sz w:val="22"/>
          <w:szCs w:val="22"/>
        </w:rPr>
        <w:t xml:space="preserve">El </w:t>
      </w:r>
      <w:r w:rsidR="00F64457" w:rsidRPr="00EF2FBB">
        <w:rPr>
          <w:rFonts w:ascii="Arial" w:hAnsi="Arial" w:cs="Arial"/>
          <w:sz w:val="22"/>
          <w:szCs w:val="22"/>
        </w:rPr>
        <w:t>03</w:t>
      </w:r>
      <w:r w:rsidR="00310921" w:rsidRPr="00EF2FBB">
        <w:rPr>
          <w:rFonts w:ascii="Arial" w:hAnsi="Arial" w:cs="Arial"/>
          <w:sz w:val="22"/>
          <w:szCs w:val="22"/>
        </w:rPr>
        <w:t xml:space="preserve"> de octubre de 202</w:t>
      </w:r>
      <w:r w:rsidR="00F64457" w:rsidRPr="00EF2FBB">
        <w:rPr>
          <w:rFonts w:ascii="Arial" w:hAnsi="Arial" w:cs="Arial"/>
          <w:sz w:val="22"/>
          <w:szCs w:val="22"/>
        </w:rPr>
        <w:t>5</w:t>
      </w:r>
      <w:r w:rsidR="00310921" w:rsidRPr="00EF2FBB">
        <w:rPr>
          <w:rFonts w:ascii="Arial" w:hAnsi="Arial" w:cs="Arial"/>
          <w:sz w:val="22"/>
          <w:szCs w:val="22"/>
        </w:rPr>
        <w:t>, la Junta Estatal Ejecutiva,</w:t>
      </w:r>
      <w:r w:rsidR="000D7764" w:rsidRPr="00EF2FBB">
        <w:rPr>
          <w:rFonts w:ascii="Arial" w:hAnsi="Arial" w:cs="Arial"/>
          <w:sz w:val="22"/>
          <w:szCs w:val="22"/>
        </w:rPr>
        <w:t xml:space="preserve"> mediante Acuerdo de Consejo JEE/EXT/03/10/2025</w:t>
      </w:r>
      <w:r w:rsidR="00310921" w:rsidRPr="00EF2FBB">
        <w:rPr>
          <w:rFonts w:ascii="Arial" w:hAnsi="Arial" w:cs="Arial"/>
          <w:sz w:val="22"/>
          <w:szCs w:val="22"/>
        </w:rPr>
        <w:t xml:space="preserve"> en cumplimiento a lo que establecen los artículos 7 de la Ley de Remuneraciones de los Servidores Públicos del Estado de Tabasco y sus Municipio</w:t>
      </w:r>
      <w:r w:rsidR="00AF263F" w:rsidRPr="00EF2FBB">
        <w:rPr>
          <w:rFonts w:ascii="Arial" w:hAnsi="Arial" w:cs="Arial"/>
          <w:sz w:val="22"/>
          <w:szCs w:val="22"/>
        </w:rPr>
        <w:t>s</w:t>
      </w:r>
      <w:r w:rsidR="00310921" w:rsidRPr="00EF2FBB">
        <w:rPr>
          <w:rFonts w:ascii="Arial" w:hAnsi="Arial" w:cs="Arial"/>
          <w:sz w:val="22"/>
          <w:szCs w:val="22"/>
        </w:rPr>
        <w:t>, 41 fracción XIII y 44 fracción III del Reglamento Interior, 6 y 7 del Manual de Remuneraciones de los Servidores Públicos, numerales 3.1. y 3.2. segundo párrafo del Manual de Normas Presupuestarias y Administrativas para el Control del Ejercicio Presupuestal aprobó el Tabulador de este órgano electoral, estableciendo las percepciones ordinarias y extraordinarias con sus importes mínimos y máximos, así como las prestaciones en numerario o en especie.</w:t>
      </w:r>
    </w:p>
    <w:p w14:paraId="7FC78EAA" w14:textId="586AD43C" w:rsidR="001457C3" w:rsidRPr="00EF2FBB" w:rsidRDefault="00250C08" w:rsidP="001457C3">
      <w:pPr>
        <w:pStyle w:val="Ttulo2"/>
        <w:rPr>
          <w:rFonts w:ascii="Arial" w:hAnsi="Arial" w:cs="Arial"/>
          <w:sz w:val="22"/>
          <w:szCs w:val="22"/>
        </w:rPr>
      </w:pPr>
      <w:r w:rsidRPr="00EF2FBB">
        <w:rPr>
          <w:rFonts w:ascii="Arial" w:hAnsi="Arial" w:cs="Arial"/>
          <w:sz w:val="22"/>
          <w:szCs w:val="22"/>
        </w:rPr>
        <w:t xml:space="preserve">2.6 </w:t>
      </w:r>
      <w:r w:rsidR="001457C3" w:rsidRPr="00EF2FBB">
        <w:rPr>
          <w:rFonts w:ascii="Arial" w:hAnsi="Arial" w:cs="Arial"/>
          <w:sz w:val="22"/>
          <w:szCs w:val="22"/>
        </w:rPr>
        <w:t>Tabulador de remuneraciones</w:t>
      </w:r>
    </w:p>
    <w:p w14:paraId="5CAD4F49" w14:textId="463072ED" w:rsidR="001457C3" w:rsidRPr="00EF2FBB" w:rsidRDefault="001457C3" w:rsidP="00310921">
      <w:pPr>
        <w:rPr>
          <w:rFonts w:ascii="Arial" w:hAnsi="Arial" w:cs="Arial"/>
          <w:sz w:val="22"/>
          <w:szCs w:val="22"/>
        </w:rPr>
      </w:pPr>
      <w:r w:rsidRPr="00EF2FBB">
        <w:rPr>
          <w:rFonts w:ascii="Arial" w:hAnsi="Arial" w:cs="Arial"/>
          <w:sz w:val="22"/>
          <w:szCs w:val="22"/>
        </w:rPr>
        <w:t xml:space="preserve">Que, en términos de los artículos 14 y 15 de la Ley de Remuneraciones de los Servidores Públicos del Estado y sus Municipios, dentro de los presupuestos de egresos que correspondan a cada entidad pública, deberán elaborarse y presentarse las remuneraciones, así como los tabuladores que correspondan a cada empleo, cargo   comisión, debiendo especificar y diferenciar sus elementos fijos y variables tanto en </w:t>
      </w:r>
      <w:r w:rsidRPr="00EF2FBB">
        <w:rPr>
          <w:rFonts w:ascii="Arial" w:hAnsi="Arial" w:cs="Arial"/>
          <w:sz w:val="22"/>
          <w:szCs w:val="22"/>
        </w:rPr>
        <w:lastRenderedPageBreak/>
        <w:t>efectivo como en especie. Asimismo, el tabulador determinará los rangos o niveles mínimos y máximos de los montos de las remuneraciones que deberán percibir los servidores públicos por nivel, categoría o puesto.</w:t>
      </w:r>
    </w:p>
    <w:p w14:paraId="0C7EF771" w14:textId="0578EB35" w:rsidR="00F64457" w:rsidRPr="00EF2FBB" w:rsidRDefault="00250C08" w:rsidP="000D7764">
      <w:pPr>
        <w:pStyle w:val="Ttulo2"/>
        <w:rPr>
          <w:rFonts w:ascii="Arial" w:hAnsi="Arial" w:cs="Arial"/>
          <w:sz w:val="22"/>
          <w:szCs w:val="22"/>
        </w:rPr>
      </w:pPr>
      <w:r w:rsidRPr="00EF2FBB">
        <w:rPr>
          <w:rFonts w:ascii="Arial" w:hAnsi="Arial" w:cs="Arial"/>
          <w:sz w:val="22"/>
          <w:szCs w:val="22"/>
        </w:rPr>
        <w:t xml:space="preserve">2.7 </w:t>
      </w:r>
      <w:r w:rsidR="00AF263F" w:rsidRPr="00EF2FBB">
        <w:rPr>
          <w:rFonts w:ascii="Arial" w:hAnsi="Arial" w:cs="Arial"/>
          <w:sz w:val="22"/>
          <w:szCs w:val="22"/>
        </w:rPr>
        <w:t>Ajustes</w:t>
      </w:r>
      <w:r w:rsidR="003D79E7" w:rsidRPr="00EF2FBB">
        <w:rPr>
          <w:rFonts w:ascii="Arial" w:hAnsi="Arial" w:cs="Arial"/>
          <w:sz w:val="22"/>
          <w:szCs w:val="22"/>
        </w:rPr>
        <w:t xml:space="preserve"> del</w:t>
      </w:r>
      <w:r w:rsidR="000D7764" w:rsidRPr="00EF2FBB">
        <w:rPr>
          <w:rFonts w:ascii="Arial" w:hAnsi="Arial" w:cs="Arial"/>
          <w:sz w:val="22"/>
          <w:szCs w:val="22"/>
        </w:rPr>
        <w:t xml:space="preserve"> Tabulador</w:t>
      </w:r>
    </w:p>
    <w:p w14:paraId="234C5490" w14:textId="2E52E6F2" w:rsidR="003D79E7" w:rsidRPr="00EF2FBB" w:rsidRDefault="000D7764" w:rsidP="00310921">
      <w:pPr>
        <w:rPr>
          <w:rFonts w:ascii="Arial" w:hAnsi="Arial" w:cs="Arial"/>
          <w:sz w:val="22"/>
          <w:szCs w:val="22"/>
        </w:rPr>
      </w:pPr>
      <w:r w:rsidRPr="00EF2FBB">
        <w:rPr>
          <w:rFonts w:ascii="Arial" w:hAnsi="Arial" w:cs="Arial"/>
          <w:sz w:val="22"/>
          <w:szCs w:val="22"/>
        </w:rPr>
        <w:t xml:space="preserve">Del punto que antecede se desprende que resulta necesario realizar el ajuste del Impuesto Sobre la Renta (ISR) </w:t>
      </w:r>
      <w:r w:rsidR="00330FC0" w:rsidRPr="00EF2FBB">
        <w:rPr>
          <w:rFonts w:ascii="Arial" w:hAnsi="Arial" w:cs="Arial"/>
          <w:sz w:val="22"/>
          <w:szCs w:val="22"/>
        </w:rPr>
        <w:t>aplicable a</w:t>
      </w:r>
      <w:r w:rsidRPr="00EF2FBB">
        <w:rPr>
          <w:rFonts w:ascii="Arial" w:hAnsi="Arial" w:cs="Arial"/>
          <w:sz w:val="22"/>
          <w:szCs w:val="22"/>
        </w:rPr>
        <w:t xml:space="preserve"> la totalidad de las percepciones correspondientes a cada una de las categorías, y por tanto se actualice </w:t>
      </w:r>
      <w:r w:rsidR="00AF263F" w:rsidRPr="00EF2FBB">
        <w:rPr>
          <w:rFonts w:ascii="Arial" w:hAnsi="Arial" w:cs="Arial"/>
          <w:sz w:val="22"/>
          <w:szCs w:val="22"/>
        </w:rPr>
        <w:t>el</w:t>
      </w:r>
      <w:r w:rsidRPr="00EF2FBB">
        <w:rPr>
          <w:rFonts w:ascii="Arial" w:hAnsi="Arial" w:cs="Arial"/>
          <w:sz w:val="22"/>
          <w:szCs w:val="22"/>
        </w:rPr>
        <w:t xml:space="preserve"> Tabuladores aprobado para el ejercicio fiscal 2026 mediante Acuerdo de Consejo</w:t>
      </w:r>
      <w:r w:rsidR="00330FC0" w:rsidRPr="00EF2FBB">
        <w:rPr>
          <w:rFonts w:ascii="Arial" w:hAnsi="Arial" w:cs="Arial"/>
          <w:sz w:val="22"/>
          <w:szCs w:val="22"/>
        </w:rPr>
        <w:t>.</w:t>
      </w:r>
    </w:p>
    <w:p w14:paraId="0F85959B" w14:textId="28309C18" w:rsidR="003D79E7" w:rsidRPr="00EF2FBB" w:rsidRDefault="003D79E7" w:rsidP="00310921">
      <w:pPr>
        <w:rPr>
          <w:rFonts w:ascii="Arial" w:hAnsi="Arial" w:cs="Arial"/>
          <w:sz w:val="22"/>
          <w:szCs w:val="22"/>
        </w:rPr>
      </w:pPr>
      <w:r w:rsidRPr="00EF2FBB">
        <w:rPr>
          <w:rFonts w:ascii="Arial" w:hAnsi="Arial" w:cs="Arial"/>
          <w:sz w:val="22"/>
          <w:szCs w:val="22"/>
        </w:rPr>
        <w:t xml:space="preserve">Dado que dicho ajuste impactará el monto neto que percibirán las personas trabajadoras a partir de la primera quincena de enero de 2026, resulta necesario actualizar </w:t>
      </w:r>
      <w:r w:rsidR="00AF263F" w:rsidRPr="00EF2FBB">
        <w:rPr>
          <w:rFonts w:ascii="Arial" w:hAnsi="Arial" w:cs="Arial"/>
          <w:sz w:val="22"/>
          <w:szCs w:val="22"/>
        </w:rPr>
        <w:t>el Tabulador co</w:t>
      </w:r>
      <w:r w:rsidRPr="00EF2FBB">
        <w:rPr>
          <w:rFonts w:ascii="Arial" w:hAnsi="Arial" w:cs="Arial"/>
          <w:sz w:val="22"/>
          <w:szCs w:val="22"/>
        </w:rPr>
        <w:t>rrespondiente y someterlo nuevamente a la aprobación de</w:t>
      </w:r>
      <w:r w:rsidR="00AF263F" w:rsidRPr="00EF2FBB">
        <w:rPr>
          <w:rFonts w:ascii="Arial" w:hAnsi="Arial" w:cs="Arial"/>
          <w:sz w:val="22"/>
          <w:szCs w:val="22"/>
        </w:rPr>
        <w:t xml:space="preserve"> este</w:t>
      </w:r>
      <w:r w:rsidRPr="00EF2FBB">
        <w:rPr>
          <w:rFonts w:ascii="Arial" w:hAnsi="Arial" w:cs="Arial"/>
          <w:sz w:val="22"/>
          <w:szCs w:val="22"/>
        </w:rPr>
        <w:t xml:space="preserve"> Consejo</w:t>
      </w:r>
      <w:r w:rsidR="00AF263F" w:rsidRPr="00EF2FBB">
        <w:rPr>
          <w:rFonts w:ascii="Arial" w:hAnsi="Arial" w:cs="Arial"/>
          <w:sz w:val="22"/>
          <w:szCs w:val="22"/>
        </w:rPr>
        <w:t xml:space="preserve"> Estatal</w:t>
      </w:r>
      <w:r w:rsidRPr="00EF2FBB">
        <w:rPr>
          <w:rFonts w:ascii="Arial" w:hAnsi="Arial" w:cs="Arial"/>
          <w:sz w:val="22"/>
          <w:szCs w:val="22"/>
        </w:rPr>
        <w:t>.</w:t>
      </w:r>
    </w:p>
    <w:p w14:paraId="14F62C5A" w14:textId="77777777" w:rsidR="00AF263F" w:rsidRPr="00EF2FBB" w:rsidRDefault="00AF263F" w:rsidP="00AF263F">
      <w:pPr>
        <w:rPr>
          <w:rFonts w:ascii="Arial" w:hAnsi="Arial" w:cs="Arial"/>
          <w:sz w:val="22"/>
          <w:szCs w:val="22"/>
        </w:rPr>
      </w:pPr>
      <w:r w:rsidRPr="00EF2FBB">
        <w:rPr>
          <w:rFonts w:ascii="Arial" w:hAnsi="Arial" w:cs="Arial"/>
          <w:sz w:val="22"/>
          <w:szCs w:val="22"/>
        </w:rPr>
        <w:t>Lo anterior de conformidad con los artículos 14 y 15 de la Ley de Remuneraciones de los Servidores Públicos del Estado y sus Municipios; dentro de los presupuestos de egresos que correspondan a cada entidad pública, deberán elaborarse y presentarse las remuneraciones, así como los tabuladores que correspondan a cada empleo, cargo comisión, debiendo especificar y diferenciar sus elementos fijos y variables tanto en efectivo como en especie. Asimismo, el tabulador determinará los rangos o niveles mínimos y máximos de los montos de las remuneraciones que deberán percibir los servidores públicos por nivel, categoría o puesto.</w:t>
      </w:r>
    </w:p>
    <w:p w14:paraId="43103829" w14:textId="77777777" w:rsidR="00AF263F" w:rsidRPr="00EF2FBB" w:rsidRDefault="00AF263F" w:rsidP="00AF263F">
      <w:pPr>
        <w:rPr>
          <w:rFonts w:ascii="Arial" w:hAnsi="Arial" w:cs="Arial"/>
          <w:sz w:val="22"/>
          <w:szCs w:val="22"/>
        </w:rPr>
      </w:pPr>
      <w:r w:rsidRPr="00EF2FBB">
        <w:rPr>
          <w:rFonts w:ascii="Arial" w:hAnsi="Arial" w:cs="Arial"/>
          <w:sz w:val="22"/>
          <w:szCs w:val="22"/>
        </w:rPr>
        <w:t>Para dar cumplimiento, la Junta Estatal aprobó la presentación de la propuesta de modificación del Tabulador, cuya propuesta se anexa al presente acuerdo.</w:t>
      </w:r>
    </w:p>
    <w:p w14:paraId="604750F6" w14:textId="77777777" w:rsidR="00AF263F" w:rsidRPr="00EF2FBB" w:rsidRDefault="00AF263F" w:rsidP="00AF263F">
      <w:pPr>
        <w:rPr>
          <w:rFonts w:ascii="Arial" w:hAnsi="Arial" w:cs="Arial"/>
          <w:sz w:val="22"/>
          <w:szCs w:val="22"/>
        </w:rPr>
      </w:pPr>
      <w:r w:rsidRPr="00EF2FBB">
        <w:rPr>
          <w:rFonts w:ascii="Arial" w:hAnsi="Arial" w:cs="Arial"/>
          <w:sz w:val="22"/>
          <w:szCs w:val="22"/>
        </w:rPr>
        <w:t>Se advierte que, al preverse un cambio en las tarifas aplicables a los pagos provisionales, retenciones y al cálculo del Impuesto Sobre la Renta respecto del ejercicio fiscal 2026, consistente, entre otros aspectos, en la actualización de los límites inferior y superior de los rangos de ingresos de las tablas del Impuesto Sobre la Renta, ajustados a la inflación acumulada, dichos límites se incrementan.</w:t>
      </w:r>
    </w:p>
    <w:p w14:paraId="2AF9E5EE" w14:textId="25F7BFA0" w:rsidR="00AF263F" w:rsidRPr="00EF2FBB" w:rsidRDefault="00AF263F" w:rsidP="00AF263F">
      <w:pPr>
        <w:rPr>
          <w:rFonts w:ascii="Arial" w:hAnsi="Arial" w:cs="Arial"/>
          <w:sz w:val="22"/>
          <w:szCs w:val="22"/>
        </w:rPr>
      </w:pPr>
      <w:r w:rsidRPr="00EF2FBB">
        <w:rPr>
          <w:rFonts w:ascii="Arial" w:hAnsi="Arial" w:cs="Arial"/>
          <w:sz w:val="22"/>
          <w:szCs w:val="22"/>
        </w:rPr>
        <w:t xml:space="preserve">Lo anterior implica que los salarios de </w:t>
      </w:r>
      <w:r w:rsidR="008545B0" w:rsidRPr="00EF2FBB">
        <w:rPr>
          <w:rFonts w:ascii="Arial" w:hAnsi="Arial" w:cs="Arial"/>
          <w:sz w:val="22"/>
          <w:szCs w:val="22"/>
        </w:rPr>
        <w:t xml:space="preserve">los </w:t>
      </w:r>
      <w:r w:rsidRPr="00EF2FBB">
        <w:rPr>
          <w:rFonts w:ascii="Arial" w:hAnsi="Arial" w:cs="Arial"/>
          <w:sz w:val="22"/>
          <w:szCs w:val="22"/>
        </w:rPr>
        <w:t>servidores públicos del Instituto se ubiquen en rangos impositivos más bajos o incluso exentos, lo que impacta en una disminución del impuesto retenido, generando como consecuencia una menor retención y permitiendo que los servidores públicos que se encuentren en dichos supuestos perciban un mayor ingreso neto, derivado del ajuste realizado a las tablas del Impuesto Sobre la Renta.</w:t>
      </w:r>
    </w:p>
    <w:p w14:paraId="4FF698E7" w14:textId="77777777" w:rsidR="00AF263F" w:rsidRPr="00EF2FBB" w:rsidRDefault="00AF263F" w:rsidP="00AF263F">
      <w:pPr>
        <w:rPr>
          <w:rFonts w:ascii="Arial" w:hAnsi="Arial" w:cs="Arial"/>
          <w:sz w:val="22"/>
          <w:szCs w:val="22"/>
        </w:rPr>
      </w:pPr>
      <w:r w:rsidRPr="00EF2FBB">
        <w:rPr>
          <w:rFonts w:ascii="Arial" w:hAnsi="Arial" w:cs="Arial"/>
          <w:sz w:val="22"/>
          <w:szCs w:val="22"/>
        </w:rPr>
        <w:lastRenderedPageBreak/>
        <w:t>De la propuesta presentada por la Junta Estatal Ejecutiva en cuanto a los ajustes al Tabulador se puede advertir que no se incrementa ni modifica el Presupuesto de Egresos aprobado para el ejercicio 2026 del capítulo 1000 (servicios personales); además se respeta lo señalado en los Artículos 59 y 60 de la Ley de Presupuesto y Responsabilidad Hacendaria del Estado de Tabasco y sus Municipios, al sujetarse al</w:t>
      </w:r>
    </w:p>
    <w:p w14:paraId="4254ADA9" w14:textId="77777777" w:rsidR="00AF263F" w:rsidRPr="00EF2FBB" w:rsidRDefault="00AF263F" w:rsidP="00AF263F">
      <w:pPr>
        <w:rPr>
          <w:rFonts w:ascii="Arial" w:hAnsi="Arial" w:cs="Arial"/>
          <w:sz w:val="22"/>
          <w:szCs w:val="22"/>
        </w:rPr>
      </w:pPr>
      <w:r w:rsidRPr="00EF2FBB">
        <w:rPr>
          <w:rFonts w:ascii="Arial" w:hAnsi="Arial" w:cs="Arial"/>
          <w:sz w:val="22"/>
          <w:szCs w:val="22"/>
        </w:rPr>
        <w:t>presupuesto aprobado conforme a lo previsto en el Artículo 30 de la ley antes referida.</w:t>
      </w:r>
    </w:p>
    <w:p w14:paraId="4596FAC5" w14:textId="50A2DF58" w:rsidR="00AF263F" w:rsidRPr="00EF2FBB" w:rsidRDefault="00AF263F" w:rsidP="00AF263F">
      <w:pPr>
        <w:rPr>
          <w:rFonts w:ascii="Arial" w:hAnsi="Arial" w:cs="Arial"/>
          <w:sz w:val="22"/>
          <w:szCs w:val="22"/>
        </w:rPr>
      </w:pPr>
      <w:r w:rsidRPr="00EF2FBB">
        <w:rPr>
          <w:rFonts w:ascii="Arial" w:hAnsi="Arial" w:cs="Arial"/>
          <w:sz w:val="22"/>
          <w:szCs w:val="22"/>
        </w:rPr>
        <w:t>Con ello se estaría cumpliendo con lo previsto en el artículo 8 de la Ley de Remuneraciones de los Servidores Públicos del Estado y sus Municipios, respecto a cubrir a los servidores públicos las remuneraciones previstas en los tabuladores correspondientes elaborados conforme a lo establecido en dicha ley y al Manual de Administración de Remuneraciones de este Instituto; lo señalado en el artículo 14, que establece que dentro de los presupuestos de egresos que correspondan a cada entidad pública, deberán elaborarse y presentarse las remuneraciones, así como los tabuladores que correspondan a cada empleo, cargo o comisión y los artículos 16 y 17 de la Ley de Remuneraciones de los Servidores Públicos del Estado y sus Municipios, que disponen que se deberán de respetar las medidas de protección al salario estipuladas por la Ley y derechos laborales adquiridos estipulados por la ley de la materia.</w:t>
      </w:r>
    </w:p>
    <w:p w14:paraId="3607C663" w14:textId="0B20E299" w:rsidR="00C841C8" w:rsidRDefault="00D33D4B" w:rsidP="00C841C8">
      <w:pPr>
        <w:rPr>
          <w:rFonts w:ascii="Arial" w:hAnsi="Arial" w:cs="Arial"/>
          <w:sz w:val="22"/>
          <w:szCs w:val="22"/>
        </w:rPr>
      </w:pPr>
      <w:r w:rsidRPr="00EF2FBB">
        <w:rPr>
          <w:rFonts w:ascii="Arial" w:hAnsi="Arial" w:cs="Arial"/>
          <w:sz w:val="22"/>
          <w:szCs w:val="22"/>
        </w:rPr>
        <w:t>Sobre la base de las consideraciones señaladas, este Consejo Estatal emite el siguiente:</w:t>
      </w:r>
    </w:p>
    <w:p w14:paraId="07A1C660" w14:textId="77777777" w:rsidR="00EF2FBB" w:rsidRPr="00EF2FBB" w:rsidRDefault="00EF2FBB" w:rsidP="00C841C8">
      <w:pPr>
        <w:rPr>
          <w:rFonts w:ascii="Arial" w:hAnsi="Arial" w:cs="Arial"/>
          <w:sz w:val="22"/>
          <w:szCs w:val="22"/>
        </w:rPr>
      </w:pPr>
    </w:p>
    <w:p w14:paraId="63528C6B" w14:textId="5C79A682" w:rsidR="00D33D4B" w:rsidRDefault="00EF2FBB" w:rsidP="00EF2FBB">
      <w:pPr>
        <w:pStyle w:val="Ttulo1"/>
        <w:spacing w:before="0" w:after="0"/>
        <w:rPr>
          <w:rFonts w:ascii="Arial" w:hAnsi="Arial" w:cs="Arial"/>
          <w:sz w:val="24"/>
          <w:szCs w:val="24"/>
        </w:rPr>
      </w:pPr>
      <w:r>
        <w:rPr>
          <w:rFonts w:ascii="Arial" w:hAnsi="Arial" w:cs="Arial"/>
          <w:sz w:val="24"/>
          <w:szCs w:val="24"/>
        </w:rPr>
        <w:t>3 Acuerdo</w:t>
      </w:r>
    </w:p>
    <w:p w14:paraId="41F59FFE" w14:textId="77777777" w:rsidR="00EF2FBB" w:rsidRPr="00EF2FBB" w:rsidRDefault="00EF2FBB" w:rsidP="00EF2FBB">
      <w:pPr>
        <w:spacing w:before="0" w:after="0"/>
      </w:pPr>
    </w:p>
    <w:p w14:paraId="12DDEB89" w14:textId="54B755FE" w:rsidR="00AF7C4E" w:rsidRPr="00EF2FBB" w:rsidRDefault="00D33D4B" w:rsidP="00EF2FBB">
      <w:pPr>
        <w:spacing w:before="0" w:after="0"/>
        <w:rPr>
          <w:rFonts w:ascii="Arial" w:hAnsi="Arial" w:cs="Arial"/>
          <w:sz w:val="22"/>
          <w:szCs w:val="22"/>
        </w:rPr>
      </w:pPr>
      <w:r w:rsidRPr="00EF2FBB">
        <w:rPr>
          <w:rFonts w:ascii="Arial" w:hAnsi="Arial" w:cs="Arial"/>
          <w:b/>
          <w:sz w:val="22"/>
          <w:szCs w:val="22"/>
        </w:rPr>
        <w:t>Primero.</w:t>
      </w:r>
      <w:r w:rsidRPr="00EF2FBB">
        <w:rPr>
          <w:rFonts w:ascii="Arial" w:hAnsi="Arial" w:cs="Arial"/>
          <w:sz w:val="22"/>
          <w:szCs w:val="22"/>
        </w:rPr>
        <w:t xml:space="preserve"> </w:t>
      </w:r>
      <w:r w:rsidR="00A17769" w:rsidRPr="00EF2FBB">
        <w:rPr>
          <w:rFonts w:ascii="Arial" w:hAnsi="Arial" w:cs="Arial"/>
          <w:sz w:val="22"/>
          <w:szCs w:val="22"/>
        </w:rPr>
        <w:t>Se aprueba el ajuste del Tabulador de Sueldos y Salarios del Instituto Estatal Electoral y de Participación Ciudadana de Tabasco para el ejercicio 2026, anexo al presente acuerdo, en el que se modifican las remuneraciones de las categorías que lo integran.</w:t>
      </w:r>
    </w:p>
    <w:p w14:paraId="6344B824" w14:textId="06F4A5D8" w:rsidR="00D33D4B" w:rsidRPr="00EF2FBB" w:rsidRDefault="00D33D4B" w:rsidP="00EF2FBB">
      <w:pPr>
        <w:rPr>
          <w:rFonts w:ascii="Arial" w:hAnsi="Arial" w:cs="Arial"/>
          <w:sz w:val="22"/>
          <w:szCs w:val="22"/>
        </w:rPr>
      </w:pPr>
      <w:r w:rsidRPr="00EF2FBB">
        <w:rPr>
          <w:rFonts w:ascii="Arial" w:hAnsi="Arial" w:cs="Arial"/>
          <w:b/>
          <w:sz w:val="22"/>
          <w:szCs w:val="22"/>
        </w:rPr>
        <w:t>Segundo.</w:t>
      </w:r>
      <w:r w:rsidRPr="00EF2FBB">
        <w:rPr>
          <w:rFonts w:ascii="Arial" w:hAnsi="Arial" w:cs="Arial"/>
          <w:sz w:val="22"/>
          <w:szCs w:val="22"/>
        </w:rPr>
        <w:t xml:space="preserve"> </w:t>
      </w:r>
      <w:r w:rsidR="00081BA5" w:rsidRPr="00EF2FBB">
        <w:rPr>
          <w:rFonts w:ascii="Arial" w:hAnsi="Arial" w:cs="Arial"/>
          <w:sz w:val="22"/>
          <w:szCs w:val="22"/>
        </w:rPr>
        <w:t xml:space="preserve">Se instruye a la Secretaría Ejecutiva </w:t>
      </w:r>
      <w:r w:rsidR="00A17769" w:rsidRPr="00EF2FBB">
        <w:rPr>
          <w:rFonts w:ascii="Arial" w:hAnsi="Arial" w:cs="Arial"/>
          <w:sz w:val="22"/>
          <w:szCs w:val="22"/>
        </w:rPr>
        <w:t>para que indique a la Dirección de Administración realice los trámites correspondientes para dar cumplimiento al presente acuerdo</w:t>
      </w:r>
      <w:r w:rsidRPr="00EF2FBB">
        <w:rPr>
          <w:rFonts w:ascii="Arial" w:hAnsi="Arial" w:cs="Arial"/>
          <w:sz w:val="22"/>
          <w:szCs w:val="22"/>
        </w:rPr>
        <w:t>.</w:t>
      </w:r>
    </w:p>
    <w:p w14:paraId="5E591C4F" w14:textId="62945D7D" w:rsidR="00D33D4B" w:rsidRDefault="00A17769" w:rsidP="00EF2FBB">
      <w:pPr>
        <w:rPr>
          <w:rFonts w:ascii="Arial" w:hAnsi="Arial" w:cs="Arial"/>
          <w:sz w:val="22"/>
          <w:szCs w:val="22"/>
        </w:rPr>
      </w:pPr>
      <w:r w:rsidRPr="00EF2FBB">
        <w:rPr>
          <w:rFonts w:ascii="Arial" w:hAnsi="Arial" w:cs="Arial"/>
          <w:b/>
          <w:sz w:val="22"/>
          <w:szCs w:val="22"/>
        </w:rPr>
        <w:t>Tercero</w:t>
      </w:r>
      <w:r w:rsidR="00D33D4B" w:rsidRPr="00EF2FBB">
        <w:rPr>
          <w:rFonts w:ascii="Arial" w:hAnsi="Arial" w:cs="Arial"/>
          <w:b/>
          <w:sz w:val="22"/>
          <w:szCs w:val="22"/>
        </w:rPr>
        <w:t>.</w:t>
      </w:r>
      <w:r w:rsidR="00D33D4B" w:rsidRPr="00EF2FBB">
        <w:rPr>
          <w:rFonts w:ascii="Arial" w:hAnsi="Arial" w:cs="Arial"/>
          <w:sz w:val="22"/>
          <w:szCs w:val="22"/>
        </w:rPr>
        <w:t xml:space="preserve"> Publíquese en el Periódico Oficial del Estado, y en la página de internet del Instituto, de conformidad con lo dispuesto en el artículo 114 de la Ley Electoral y de Partidos Políticos del Estado de Tabasco.</w:t>
      </w:r>
    </w:p>
    <w:p w14:paraId="70D37314" w14:textId="77777777" w:rsidR="00EF2FBB" w:rsidRPr="00EF2FBB" w:rsidRDefault="00EF2FBB" w:rsidP="00EF2FBB">
      <w:pPr>
        <w:rPr>
          <w:rFonts w:ascii="Arial" w:hAnsi="Arial" w:cs="Arial"/>
          <w:sz w:val="22"/>
          <w:szCs w:val="22"/>
        </w:rPr>
      </w:pPr>
    </w:p>
    <w:p w14:paraId="0607F0C6" w14:textId="6B1A89FC" w:rsidR="00E97F5C" w:rsidRDefault="00AE387C" w:rsidP="00EF2FBB">
      <w:pPr>
        <w:rPr>
          <w:rFonts w:ascii="Arial" w:hAnsi="Arial" w:cs="Arial"/>
          <w:sz w:val="22"/>
          <w:szCs w:val="22"/>
        </w:rPr>
      </w:pPr>
      <w:r w:rsidRPr="00EF2FBB">
        <w:rPr>
          <w:rFonts w:ascii="Arial" w:hAnsi="Arial" w:cs="Arial"/>
          <w:sz w:val="22"/>
          <w:szCs w:val="22"/>
        </w:rPr>
        <w:lastRenderedPageBreak/>
        <w:t>El</w:t>
      </w:r>
      <w:r w:rsidR="00EF2FBB">
        <w:rPr>
          <w:rFonts w:ascii="Arial" w:hAnsi="Arial" w:cs="Arial"/>
          <w:sz w:val="22"/>
          <w:szCs w:val="22"/>
        </w:rPr>
        <w:t xml:space="preserve"> presente acuerdo fue aprobado</w:t>
      </w:r>
      <w:r w:rsidRPr="00EF2FBB">
        <w:rPr>
          <w:rFonts w:ascii="Arial" w:hAnsi="Arial" w:cs="Arial"/>
          <w:sz w:val="22"/>
          <w:szCs w:val="22"/>
        </w:rPr>
        <w:t xml:space="preserve"> en sesión </w:t>
      </w:r>
      <w:r w:rsidR="00EF2FBB">
        <w:rPr>
          <w:rFonts w:ascii="Arial" w:hAnsi="Arial" w:cs="Arial"/>
          <w:sz w:val="22"/>
          <w:szCs w:val="22"/>
        </w:rPr>
        <w:t>extraordinaria</w:t>
      </w:r>
      <w:r w:rsidRPr="00EF2FBB">
        <w:rPr>
          <w:rFonts w:ascii="Arial" w:hAnsi="Arial" w:cs="Arial"/>
          <w:sz w:val="22"/>
          <w:szCs w:val="22"/>
        </w:rPr>
        <w:t xml:space="preserve"> efectuada el</w:t>
      </w:r>
      <w:r w:rsidR="00EF2FBB">
        <w:rPr>
          <w:rFonts w:ascii="Arial" w:hAnsi="Arial" w:cs="Arial"/>
          <w:sz w:val="22"/>
          <w:szCs w:val="22"/>
        </w:rPr>
        <w:t xml:space="preserve"> día diecinueve</w:t>
      </w:r>
      <w:r w:rsidRPr="00EF2FBB">
        <w:rPr>
          <w:rFonts w:ascii="Arial" w:hAnsi="Arial" w:cs="Arial"/>
          <w:sz w:val="22"/>
          <w:szCs w:val="22"/>
        </w:rPr>
        <w:t xml:space="preserve"> de </w:t>
      </w:r>
      <w:r w:rsidR="009F4180" w:rsidRPr="00EF2FBB">
        <w:rPr>
          <w:rFonts w:ascii="Arial" w:hAnsi="Arial" w:cs="Arial"/>
          <w:sz w:val="22"/>
          <w:szCs w:val="22"/>
        </w:rPr>
        <w:t>enero</w:t>
      </w:r>
      <w:r w:rsidRPr="00EF2FBB">
        <w:rPr>
          <w:rFonts w:ascii="Arial" w:hAnsi="Arial" w:cs="Arial"/>
          <w:sz w:val="22"/>
          <w:szCs w:val="22"/>
        </w:rPr>
        <w:t xml:space="preserve"> del año dos mil </w:t>
      </w:r>
      <w:r w:rsidR="009F4180" w:rsidRPr="00EF2FBB">
        <w:rPr>
          <w:rFonts w:ascii="Arial" w:hAnsi="Arial" w:cs="Arial"/>
          <w:sz w:val="22"/>
          <w:szCs w:val="22"/>
        </w:rPr>
        <w:t>veintiséis</w:t>
      </w:r>
      <w:r w:rsidRPr="00EF2FBB">
        <w:rPr>
          <w:rFonts w:ascii="Arial" w:hAnsi="Arial" w:cs="Arial"/>
          <w:sz w:val="22"/>
          <w:szCs w:val="22"/>
        </w:rPr>
        <w:t xml:space="preserve">, por votación </w:t>
      </w:r>
      <w:r w:rsidR="009F4180" w:rsidRPr="00EF2FBB">
        <w:rPr>
          <w:rFonts w:ascii="Arial" w:hAnsi="Arial" w:cs="Arial"/>
          <w:sz w:val="22"/>
          <w:szCs w:val="22"/>
        </w:rPr>
        <w:t xml:space="preserve">unánime </w:t>
      </w:r>
      <w:r w:rsidRPr="00EF2FBB">
        <w:rPr>
          <w:rFonts w:ascii="Arial" w:hAnsi="Arial" w:cs="Arial"/>
          <w:sz w:val="22"/>
          <w:szCs w:val="22"/>
        </w:rPr>
        <w:t>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r w:rsidR="00250C08" w:rsidRPr="00EF2FBB">
        <w:rPr>
          <w:rFonts w:ascii="Arial" w:hAnsi="Arial" w:cs="Arial"/>
          <w:sz w:val="22"/>
          <w:szCs w:val="22"/>
        </w:rPr>
        <w:t>.</w:t>
      </w:r>
    </w:p>
    <w:p w14:paraId="742C8B42" w14:textId="5D3B1454" w:rsidR="00EF2FBB" w:rsidRDefault="00EF2FBB" w:rsidP="00EF2FBB">
      <w:pPr>
        <w:rPr>
          <w:rFonts w:ascii="Arial" w:hAnsi="Arial" w:cs="Arial"/>
          <w:sz w:val="22"/>
          <w:szCs w:val="22"/>
        </w:rPr>
      </w:pPr>
    </w:p>
    <w:p w14:paraId="3E87C60A" w14:textId="3B97A3E4" w:rsidR="00EF2FBB" w:rsidRDefault="00EF2FBB" w:rsidP="00EF2FBB">
      <w:pPr>
        <w:rPr>
          <w:rFonts w:ascii="Arial" w:hAnsi="Arial" w:cs="Arial"/>
          <w:sz w:val="22"/>
          <w:szCs w:val="22"/>
        </w:rPr>
      </w:pPr>
    </w:p>
    <w:p w14:paraId="4377440F" w14:textId="77777777" w:rsidR="00EF2FBB" w:rsidRPr="00EF2FBB" w:rsidRDefault="00EF2FBB" w:rsidP="00EF2FBB">
      <w:pPr>
        <w:rPr>
          <w:rFonts w:ascii="Arial" w:hAnsi="Arial" w:cs="Arial"/>
          <w:sz w:val="22"/>
          <w:szCs w:val="22"/>
        </w:rPr>
      </w:pPr>
      <w:bookmarkStart w:id="0" w:name="_GoBack"/>
      <w:bookmarkEnd w:id="0"/>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AE387C" w:rsidRPr="00EF2FBB" w14:paraId="3A3829A9" w14:textId="77777777" w:rsidTr="00455F3E">
        <w:tc>
          <w:tcPr>
            <w:tcW w:w="4395" w:type="dxa"/>
          </w:tcPr>
          <w:p w14:paraId="58FA1A54" w14:textId="77777777" w:rsidR="00AE387C" w:rsidRPr="00EF2FBB" w:rsidRDefault="00AE387C" w:rsidP="00455F3E">
            <w:pPr>
              <w:widowControl w:val="0"/>
              <w:spacing w:before="0" w:after="0"/>
              <w:jc w:val="center"/>
              <w:rPr>
                <w:rFonts w:ascii="Arial" w:hAnsi="Arial" w:cs="Arial"/>
                <w:b/>
                <w:spacing w:val="-10"/>
                <w:sz w:val="22"/>
                <w:szCs w:val="22"/>
              </w:rPr>
            </w:pPr>
            <w:r w:rsidRPr="00EF2FBB">
              <w:rPr>
                <w:rFonts w:ascii="Arial" w:hAnsi="Arial" w:cs="Arial"/>
                <w:b/>
                <w:spacing w:val="-10"/>
                <w:sz w:val="22"/>
                <w:szCs w:val="22"/>
              </w:rPr>
              <w:t>MTRA. ELIZABETH NAVA GUTIÉRREZ</w:t>
            </w:r>
          </w:p>
          <w:p w14:paraId="0DD0E043" w14:textId="77777777" w:rsidR="00AE387C" w:rsidRPr="00EF2FBB" w:rsidRDefault="00AE387C" w:rsidP="00455F3E">
            <w:pPr>
              <w:widowControl w:val="0"/>
              <w:spacing w:before="0" w:after="0"/>
              <w:jc w:val="center"/>
              <w:rPr>
                <w:rFonts w:ascii="Arial" w:hAnsi="Arial" w:cs="Arial"/>
                <w:b/>
                <w:sz w:val="22"/>
                <w:szCs w:val="22"/>
              </w:rPr>
            </w:pPr>
            <w:r w:rsidRPr="00EF2FBB">
              <w:rPr>
                <w:rFonts w:ascii="Arial" w:hAnsi="Arial" w:cs="Arial"/>
                <w:b/>
                <w:spacing w:val="-10"/>
                <w:sz w:val="22"/>
                <w:szCs w:val="22"/>
              </w:rPr>
              <w:t>CONSEJERA PRESIDENTA</w:t>
            </w:r>
          </w:p>
        </w:tc>
        <w:tc>
          <w:tcPr>
            <w:tcW w:w="278" w:type="dxa"/>
          </w:tcPr>
          <w:p w14:paraId="2138125B" w14:textId="77777777" w:rsidR="00AE387C" w:rsidRPr="00EF2FBB" w:rsidRDefault="00AE387C" w:rsidP="00455F3E">
            <w:pPr>
              <w:widowControl w:val="0"/>
              <w:spacing w:before="0" w:after="0"/>
              <w:rPr>
                <w:rFonts w:ascii="Arial" w:hAnsi="Arial" w:cs="Arial"/>
                <w:b/>
                <w:sz w:val="22"/>
                <w:szCs w:val="22"/>
              </w:rPr>
            </w:pPr>
          </w:p>
        </w:tc>
        <w:tc>
          <w:tcPr>
            <w:tcW w:w="4400" w:type="dxa"/>
          </w:tcPr>
          <w:p w14:paraId="7F24E062" w14:textId="77777777" w:rsidR="00AE387C" w:rsidRPr="00EF2FBB" w:rsidRDefault="00AE387C" w:rsidP="00455F3E">
            <w:pPr>
              <w:widowControl w:val="0"/>
              <w:spacing w:before="0" w:after="0"/>
              <w:jc w:val="center"/>
              <w:rPr>
                <w:rFonts w:ascii="Arial" w:hAnsi="Arial" w:cs="Arial"/>
                <w:b/>
                <w:spacing w:val="-10"/>
                <w:sz w:val="22"/>
                <w:szCs w:val="22"/>
              </w:rPr>
            </w:pPr>
            <w:r w:rsidRPr="00EF2FBB">
              <w:rPr>
                <w:rFonts w:ascii="Arial" w:hAnsi="Arial" w:cs="Arial"/>
                <w:b/>
                <w:spacing w:val="-10"/>
                <w:sz w:val="22"/>
                <w:szCs w:val="22"/>
              </w:rPr>
              <w:t>LIC. JORGE ALBERTO ZAVALA FRÍAS</w:t>
            </w:r>
          </w:p>
          <w:p w14:paraId="44C0F9B3" w14:textId="77777777" w:rsidR="00AE387C" w:rsidRPr="00EF2FBB" w:rsidRDefault="00AE387C" w:rsidP="00455F3E">
            <w:pPr>
              <w:widowControl w:val="0"/>
              <w:spacing w:before="0" w:after="0"/>
              <w:jc w:val="center"/>
              <w:rPr>
                <w:rFonts w:ascii="Arial" w:hAnsi="Arial" w:cs="Arial"/>
                <w:b/>
                <w:sz w:val="22"/>
                <w:szCs w:val="22"/>
              </w:rPr>
            </w:pPr>
            <w:r w:rsidRPr="00EF2FBB">
              <w:rPr>
                <w:rFonts w:ascii="Arial" w:hAnsi="Arial" w:cs="Arial"/>
                <w:b/>
                <w:spacing w:val="-10"/>
                <w:sz w:val="22"/>
                <w:szCs w:val="22"/>
              </w:rPr>
              <w:t>SECRETARIO DEL CONSEJO</w:t>
            </w:r>
          </w:p>
        </w:tc>
      </w:tr>
    </w:tbl>
    <w:p w14:paraId="7EE501CD" w14:textId="77777777" w:rsidR="00AE387C" w:rsidRPr="00EF2FBB" w:rsidRDefault="00AE387C" w:rsidP="00253035">
      <w:pPr>
        <w:rPr>
          <w:rFonts w:ascii="Arial" w:hAnsi="Arial" w:cs="Arial"/>
          <w:sz w:val="22"/>
          <w:szCs w:val="22"/>
        </w:rPr>
      </w:pPr>
    </w:p>
    <w:sectPr w:rsidR="00AE387C" w:rsidRPr="00EF2FBB" w:rsidSect="00EF2FBB">
      <w:headerReference w:type="default" r:id="rId8"/>
      <w:footerReference w:type="default" r:id="rId9"/>
      <w:pgSz w:w="12240" w:h="15840" w:code="1"/>
      <w:pgMar w:top="1418"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975CA" w14:textId="77777777" w:rsidR="00D92E40" w:rsidRDefault="00D92E40" w:rsidP="006C69F3">
      <w:pPr>
        <w:spacing w:before="0" w:after="0" w:line="240" w:lineRule="auto"/>
      </w:pPr>
      <w:r>
        <w:separator/>
      </w:r>
    </w:p>
  </w:endnote>
  <w:endnote w:type="continuationSeparator" w:id="0">
    <w:p w14:paraId="31D55334" w14:textId="77777777" w:rsidR="00D92E40" w:rsidRDefault="00D92E40" w:rsidP="006C69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514EDF-8B94-4404-8D3B-9921E29E7D89}"/>
    <w:embedBold r:id="rId2" w:fontKey="{E09CC5F7-9538-4658-94C0-CDD8DE6CC39F}"/>
  </w:font>
  <w:font w:name="Exo">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7C76052C-4B09-4A5B-944C-4D2999A330B4}"/>
    <w:embedItalic r:id="rId4" w:fontKey="{722A64A8-7A62-4E8D-8B30-DC10762E217C}"/>
  </w:font>
  <w:font w:name="Segoe UI">
    <w:panose1 w:val="020B0502040204020203"/>
    <w:charset w:val="00"/>
    <w:family w:val="swiss"/>
    <w:pitch w:val="variable"/>
    <w:sig w:usb0="E4002EFF" w:usb1="C000E47F" w:usb2="00000009" w:usb3="00000000" w:csb0="000001FF" w:csb1="00000000"/>
    <w:embedRegular r:id="rId5" w:fontKey="{113607D5-F1B8-44EC-ADD8-79A9CDB1AB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630783754"/>
      <w:docPartObj>
        <w:docPartGallery w:val="Page Numbers (Top of Page)"/>
        <w:docPartUnique/>
      </w:docPartObj>
    </w:sdtPr>
    <w:sdtEndPr/>
    <w:sdtContent>
      <w:p w14:paraId="06FFF026" w14:textId="0179B06B" w:rsidR="00455F3E" w:rsidRPr="00EF2FBB" w:rsidRDefault="00455F3E" w:rsidP="006C69F3">
        <w:pPr>
          <w:pStyle w:val="Piedepgina"/>
          <w:jc w:val="right"/>
          <w:rPr>
            <w:rFonts w:ascii="Arial" w:hAnsi="Arial" w:cs="Arial"/>
            <w:color w:val="993366"/>
            <w:sz w:val="24"/>
            <w:szCs w:val="24"/>
          </w:rPr>
        </w:pPr>
        <w:r w:rsidRPr="00EF2FBB">
          <w:rPr>
            <w:rFonts w:ascii="Arial" w:hAnsi="Arial" w:cs="Arial"/>
            <w:b/>
            <w:bCs/>
            <w:color w:val="993366"/>
            <w:sz w:val="24"/>
            <w:szCs w:val="24"/>
          </w:rPr>
          <w:t xml:space="preserve">Página </w:t>
        </w:r>
        <w:r w:rsidRPr="00EF2FBB">
          <w:rPr>
            <w:rFonts w:ascii="Arial" w:hAnsi="Arial" w:cs="Arial"/>
            <w:b/>
            <w:bCs/>
            <w:color w:val="993366"/>
            <w:sz w:val="24"/>
            <w:szCs w:val="24"/>
          </w:rPr>
          <w:fldChar w:fldCharType="begin"/>
        </w:r>
        <w:r w:rsidRPr="00EF2FBB">
          <w:rPr>
            <w:rFonts w:ascii="Arial" w:hAnsi="Arial" w:cs="Arial"/>
            <w:b/>
            <w:bCs/>
            <w:color w:val="993366"/>
            <w:sz w:val="24"/>
            <w:szCs w:val="24"/>
          </w:rPr>
          <w:instrText>PAGE</w:instrText>
        </w:r>
        <w:r w:rsidRPr="00EF2FBB">
          <w:rPr>
            <w:rFonts w:ascii="Arial" w:hAnsi="Arial" w:cs="Arial"/>
            <w:b/>
            <w:bCs/>
            <w:color w:val="993366"/>
            <w:sz w:val="24"/>
            <w:szCs w:val="24"/>
          </w:rPr>
          <w:fldChar w:fldCharType="separate"/>
        </w:r>
        <w:r w:rsidR="00EF2FBB">
          <w:rPr>
            <w:rFonts w:ascii="Arial" w:hAnsi="Arial" w:cs="Arial"/>
            <w:b/>
            <w:bCs/>
            <w:noProof/>
            <w:color w:val="993366"/>
            <w:sz w:val="24"/>
            <w:szCs w:val="24"/>
          </w:rPr>
          <w:t>8</w:t>
        </w:r>
        <w:r w:rsidRPr="00EF2FBB">
          <w:rPr>
            <w:rFonts w:ascii="Arial" w:hAnsi="Arial" w:cs="Arial"/>
            <w:b/>
            <w:bCs/>
            <w:color w:val="993366"/>
            <w:sz w:val="24"/>
            <w:szCs w:val="24"/>
          </w:rPr>
          <w:fldChar w:fldCharType="end"/>
        </w:r>
        <w:r w:rsidRPr="00EF2FBB">
          <w:rPr>
            <w:rFonts w:ascii="Arial" w:hAnsi="Arial" w:cs="Arial"/>
            <w:b/>
            <w:bCs/>
            <w:color w:val="993366"/>
            <w:sz w:val="24"/>
            <w:szCs w:val="24"/>
          </w:rPr>
          <w:t xml:space="preserve"> | </w:t>
        </w:r>
        <w:r w:rsidRPr="00EF2FBB">
          <w:rPr>
            <w:rFonts w:ascii="Arial" w:hAnsi="Arial" w:cs="Arial"/>
            <w:b/>
            <w:bCs/>
            <w:color w:val="993366"/>
            <w:sz w:val="24"/>
            <w:szCs w:val="24"/>
          </w:rPr>
          <w:fldChar w:fldCharType="begin"/>
        </w:r>
        <w:r w:rsidRPr="00EF2FBB">
          <w:rPr>
            <w:rFonts w:ascii="Arial" w:hAnsi="Arial" w:cs="Arial"/>
            <w:b/>
            <w:bCs/>
            <w:color w:val="993366"/>
            <w:sz w:val="24"/>
            <w:szCs w:val="24"/>
          </w:rPr>
          <w:instrText>NUMPAGES</w:instrText>
        </w:r>
        <w:r w:rsidRPr="00EF2FBB">
          <w:rPr>
            <w:rFonts w:ascii="Arial" w:hAnsi="Arial" w:cs="Arial"/>
            <w:b/>
            <w:bCs/>
            <w:color w:val="993366"/>
            <w:sz w:val="24"/>
            <w:szCs w:val="24"/>
          </w:rPr>
          <w:fldChar w:fldCharType="separate"/>
        </w:r>
        <w:r w:rsidR="00EF2FBB">
          <w:rPr>
            <w:rFonts w:ascii="Arial" w:hAnsi="Arial" w:cs="Arial"/>
            <w:b/>
            <w:bCs/>
            <w:noProof/>
            <w:color w:val="993366"/>
            <w:sz w:val="24"/>
            <w:szCs w:val="24"/>
          </w:rPr>
          <w:t>8</w:t>
        </w:r>
        <w:r w:rsidRPr="00EF2FBB">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E6863" w14:textId="77777777" w:rsidR="00D92E40" w:rsidRDefault="00D92E40" w:rsidP="006C69F3">
      <w:pPr>
        <w:spacing w:before="0" w:after="0" w:line="240" w:lineRule="auto"/>
      </w:pPr>
      <w:r>
        <w:separator/>
      </w:r>
    </w:p>
  </w:footnote>
  <w:footnote w:type="continuationSeparator" w:id="0">
    <w:p w14:paraId="5C92C610" w14:textId="77777777" w:rsidR="00D92E40" w:rsidRDefault="00D92E40" w:rsidP="006C69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455F3E" w:rsidRPr="00063338" w14:paraId="14CE044B" w14:textId="77777777" w:rsidTr="00455F3E">
      <w:tc>
        <w:tcPr>
          <w:tcW w:w="1418" w:type="dxa"/>
        </w:tcPr>
        <w:p w14:paraId="3EE7CAAA" w14:textId="77777777" w:rsidR="00455F3E" w:rsidRPr="00063338" w:rsidRDefault="00455F3E" w:rsidP="006C69F3">
          <w:pPr>
            <w:pStyle w:val="Encabezado"/>
            <w:ind w:left="-170"/>
            <w:jc w:val="left"/>
          </w:pPr>
          <w:r>
            <w:rPr>
              <w:b/>
              <w:noProof/>
              <w:sz w:val="32"/>
              <w:lang w:eastAsia="es-MX"/>
            </w:rPr>
            <w:drawing>
              <wp:inline distT="0" distB="0" distL="0" distR="0" wp14:anchorId="058F3E38" wp14:editId="6352901B">
                <wp:extent cx="1014331" cy="1199403"/>
                <wp:effectExtent l="0" t="0" r="0" b="1270"/>
                <wp:docPr id="35" name="Imagen 3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D56C328" w14:textId="77777777" w:rsidR="00455F3E" w:rsidRPr="00063338" w:rsidRDefault="00455F3E" w:rsidP="006C69F3">
          <w:pPr>
            <w:pStyle w:val="Encabezado"/>
            <w:spacing w:before="720"/>
            <w:jc w:val="center"/>
            <w:rPr>
              <w:b/>
              <w:bCs/>
              <w:sz w:val="25"/>
              <w:szCs w:val="25"/>
            </w:rPr>
          </w:pPr>
          <w:r w:rsidRPr="00063338">
            <w:rPr>
              <w:b/>
              <w:bCs/>
              <w:sz w:val="25"/>
              <w:szCs w:val="25"/>
            </w:rPr>
            <w:t>INSTITUTO ELECTORAL Y DE PARTICIPACIÓN CIUDADANA DE TABASCO</w:t>
          </w:r>
        </w:p>
        <w:p w14:paraId="6489C8D8" w14:textId="77777777" w:rsidR="00455F3E" w:rsidRPr="00063338" w:rsidRDefault="00455F3E" w:rsidP="006C69F3">
          <w:pPr>
            <w:pStyle w:val="Encabezado"/>
            <w:jc w:val="center"/>
          </w:pPr>
          <w:r w:rsidRPr="00063338">
            <w:rPr>
              <w:sz w:val="26"/>
              <w:szCs w:val="26"/>
            </w:rPr>
            <w:t>CONSEJO ESTATAL</w:t>
          </w:r>
        </w:p>
      </w:tc>
      <w:tc>
        <w:tcPr>
          <w:tcW w:w="1701" w:type="dxa"/>
        </w:tcPr>
        <w:p w14:paraId="14EAF537" w14:textId="77777777" w:rsidR="00455F3E" w:rsidRPr="00063338" w:rsidRDefault="00455F3E" w:rsidP="006C69F3">
          <w:pPr>
            <w:pStyle w:val="Encabezado"/>
            <w:spacing w:before="480"/>
          </w:pPr>
          <w:r>
            <w:rPr>
              <w:noProof/>
              <w:lang w:eastAsia="es-MX"/>
            </w:rPr>
            <w:drawing>
              <wp:inline distT="0" distB="0" distL="0" distR="0" wp14:anchorId="716F4AA0" wp14:editId="558ECEC4">
                <wp:extent cx="942975" cy="774065"/>
                <wp:effectExtent l="0" t="0" r="9525" b="6985"/>
                <wp:docPr id="36" name="Imagen 3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3E876566" w14:textId="41C2ED47" w:rsidR="00455F3E" w:rsidRDefault="00EF2FBB" w:rsidP="00EF2FBB">
    <w:pPr>
      <w:pStyle w:val="Encabezado"/>
      <w:jc w:val="right"/>
      <w:rPr>
        <w:rFonts w:ascii="Arial" w:hAnsi="Arial" w:cs="Arial"/>
        <w:b/>
        <w:sz w:val="24"/>
        <w:szCs w:val="24"/>
      </w:rPr>
    </w:pPr>
    <w:r w:rsidRPr="00EF2FBB">
      <w:rPr>
        <w:rFonts w:ascii="Arial" w:hAnsi="Arial" w:cs="Arial"/>
        <w:b/>
        <w:sz w:val="24"/>
        <w:szCs w:val="24"/>
      </w:rPr>
      <w:t>CE/2026/007</w:t>
    </w:r>
  </w:p>
  <w:p w14:paraId="6E15A70A" w14:textId="77777777" w:rsidR="00EF2FBB" w:rsidRPr="00EF2FBB" w:rsidRDefault="00EF2FBB" w:rsidP="00EF2FBB">
    <w:pPr>
      <w:pStyle w:val="Encabezado"/>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B6849"/>
    <w:multiLevelType w:val="multilevel"/>
    <w:tmpl w:val="080A0025"/>
    <w:lvl w:ilvl="0">
      <w:start w:val="1"/>
      <w:numFmt w:val="decimal"/>
      <w:lvlText w:val="%1"/>
      <w:lvlJc w:val="left"/>
      <w:pPr>
        <w:ind w:left="426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DF85851"/>
    <w:multiLevelType w:val="hybridMultilevel"/>
    <w:tmpl w:val="E4C289F8"/>
    <w:lvl w:ilvl="0" w:tplc="A350D8EA">
      <w:start w:val="1"/>
      <w:numFmt w:val="decimal"/>
      <w:lvlText w:val="2.%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39"/>
    <w:rsid w:val="00003618"/>
    <w:rsid w:val="00011769"/>
    <w:rsid w:val="00030709"/>
    <w:rsid w:val="00030B7E"/>
    <w:rsid w:val="000355F2"/>
    <w:rsid w:val="000652EB"/>
    <w:rsid w:val="00081BA5"/>
    <w:rsid w:val="000822DF"/>
    <w:rsid w:val="00096841"/>
    <w:rsid w:val="0009766A"/>
    <w:rsid w:val="000B6B60"/>
    <w:rsid w:val="000D7764"/>
    <w:rsid w:val="000F4F6F"/>
    <w:rsid w:val="000F7A94"/>
    <w:rsid w:val="00111DE2"/>
    <w:rsid w:val="001235DE"/>
    <w:rsid w:val="001403A3"/>
    <w:rsid w:val="001457C3"/>
    <w:rsid w:val="00192CDC"/>
    <w:rsid w:val="001A2990"/>
    <w:rsid w:val="001B2BB0"/>
    <w:rsid w:val="001D6BF9"/>
    <w:rsid w:val="002377B7"/>
    <w:rsid w:val="00242924"/>
    <w:rsid w:val="00250C08"/>
    <w:rsid w:val="00253035"/>
    <w:rsid w:val="00256E70"/>
    <w:rsid w:val="00257A14"/>
    <w:rsid w:val="00276748"/>
    <w:rsid w:val="00281D8F"/>
    <w:rsid w:val="00287613"/>
    <w:rsid w:val="002A7539"/>
    <w:rsid w:val="00310921"/>
    <w:rsid w:val="00324E47"/>
    <w:rsid w:val="00330FC0"/>
    <w:rsid w:val="00331FB1"/>
    <w:rsid w:val="003554E1"/>
    <w:rsid w:val="00365B3E"/>
    <w:rsid w:val="00367F6E"/>
    <w:rsid w:val="003936B1"/>
    <w:rsid w:val="00394A7C"/>
    <w:rsid w:val="003A28B0"/>
    <w:rsid w:val="003A3D3C"/>
    <w:rsid w:val="003B0ACA"/>
    <w:rsid w:val="003D79E7"/>
    <w:rsid w:val="0040167E"/>
    <w:rsid w:val="00405D85"/>
    <w:rsid w:val="004476EF"/>
    <w:rsid w:val="00455F3E"/>
    <w:rsid w:val="004810DC"/>
    <w:rsid w:val="00495F82"/>
    <w:rsid w:val="004C0EBC"/>
    <w:rsid w:val="004C359F"/>
    <w:rsid w:val="004D50F6"/>
    <w:rsid w:val="004F2A3F"/>
    <w:rsid w:val="005014AD"/>
    <w:rsid w:val="00546962"/>
    <w:rsid w:val="00576CFB"/>
    <w:rsid w:val="00586A0B"/>
    <w:rsid w:val="00590DFA"/>
    <w:rsid w:val="00592B10"/>
    <w:rsid w:val="00593D6D"/>
    <w:rsid w:val="005B68CA"/>
    <w:rsid w:val="005E007E"/>
    <w:rsid w:val="005E07B6"/>
    <w:rsid w:val="005E6643"/>
    <w:rsid w:val="005F2110"/>
    <w:rsid w:val="0060091B"/>
    <w:rsid w:val="006169E8"/>
    <w:rsid w:val="006244F0"/>
    <w:rsid w:val="00667470"/>
    <w:rsid w:val="006A1BC9"/>
    <w:rsid w:val="006C629B"/>
    <w:rsid w:val="006C69F3"/>
    <w:rsid w:val="00703777"/>
    <w:rsid w:val="00706858"/>
    <w:rsid w:val="00714019"/>
    <w:rsid w:val="00752540"/>
    <w:rsid w:val="00763E35"/>
    <w:rsid w:val="007B19AC"/>
    <w:rsid w:val="007C691A"/>
    <w:rsid w:val="007E283B"/>
    <w:rsid w:val="007E4875"/>
    <w:rsid w:val="00800757"/>
    <w:rsid w:val="00804C95"/>
    <w:rsid w:val="00810DB2"/>
    <w:rsid w:val="00826660"/>
    <w:rsid w:val="00833B98"/>
    <w:rsid w:val="0083711B"/>
    <w:rsid w:val="008545B0"/>
    <w:rsid w:val="00864299"/>
    <w:rsid w:val="00882579"/>
    <w:rsid w:val="008A49D0"/>
    <w:rsid w:val="008F1634"/>
    <w:rsid w:val="0090567F"/>
    <w:rsid w:val="009133A6"/>
    <w:rsid w:val="0096718E"/>
    <w:rsid w:val="00981A81"/>
    <w:rsid w:val="00994ED2"/>
    <w:rsid w:val="009B6964"/>
    <w:rsid w:val="009F4180"/>
    <w:rsid w:val="00A000BB"/>
    <w:rsid w:val="00A01CBE"/>
    <w:rsid w:val="00A17769"/>
    <w:rsid w:val="00A257B8"/>
    <w:rsid w:val="00A359E0"/>
    <w:rsid w:val="00A50815"/>
    <w:rsid w:val="00A51E37"/>
    <w:rsid w:val="00A578DE"/>
    <w:rsid w:val="00A660A8"/>
    <w:rsid w:val="00A84859"/>
    <w:rsid w:val="00A97E1F"/>
    <w:rsid w:val="00AD74EB"/>
    <w:rsid w:val="00AE387C"/>
    <w:rsid w:val="00AE3D29"/>
    <w:rsid w:val="00AF022D"/>
    <w:rsid w:val="00AF263F"/>
    <w:rsid w:val="00AF7C4E"/>
    <w:rsid w:val="00B14C6F"/>
    <w:rsid w:val="00B37DD7"/>
    <w:rsid w:val="00B41627"/>
    <w:rsid w:val="00B60830"/>
    <w:rsid w:val="00B61E3A"/>
    <w:rsid w:val="00B75B39"/>
    <w:rsid w:val="00B80FE1"/>
    <w:rsid w:val="00B81094"/>
    <w:rsid w:val="00BD1F9A"/>
    <w:rsid w:val="00BD6508"/>
    <w:rsid w:val="00BF4E89"/>
    <w:rsid w:val="00BF5030"/>
    <w:rsid w:val="00C55F85"/>
    <w:rsid w:val="00C57E3F"/>
    <w:rsid w:val="00C76A22"/>
    <w:rsid w:val="00C841C8"/>
    <w:rsid w:val="00C916B3"/>
    <w:rsid w:val="00CB0CDA"/>
    <w:rsid w:val="00CC2039"/>
    <w:rsid w:val="00CF45EF"/>
    <w:rsid w:val="00CF6ECC"/>
    <w:rsid w:val="00D123F2"/>
    <w:rsid w:val="00D232D8"/>
    <w:rsid w:val="00D33D4B"/>
    <w:rsid w:val="00D36B22"/>
    <w:rsid w:val="00D527A4"/>
    <w:rsid w:val="00D60747"/>
    <w:rsid w:val="00D74F68"/>
    <w:rsid w:val="00D8664B"/>
    <w:rsid w:val="00D92E40"/>
    <w:rsid w:val="00D92F91"/>
    <w:rsid w:val="00D97E50"/>
    <w:rsid w:val="00DA4D74"/>
    <w:rsid w:val="00DC73B3"/>
    <w:rsid w:val="00DE306D"/>
    <w:rsid w:val="00DF381C"/>
    <w:rsid w:val="00DF4AF0"/>
    <w:rsid w:val="00DF6A8C"/>
    <w:rsid w:val="00DF78B5"/>
    <w:rsid w:val="00E132D9"/>
    <w:rsid w:val="00E269D7"/>
    <w:rsid w:val="00E76832"/>
    <w:rsid w:val="00E76952"/>
    <w:rsid w:val="00E86024"/>
    <w:rsid w:val="00E86B7D"/>
    <w:rsid w:val="00E97F5C"/>
    <w:rsid w:val="00ED1B16"/>
    <w:rsid w:val="00ED7B29"/>
    <w:rsid w:val="00EE49A0"/>
    <w:rsid w:val="00EF2FBB"/>
    <w:rsid w:val="00F1118B"/>
    <w:rsid w:val="00F307AE"/>
    <w:rsid w:val="00F402C3"/>
    <w:rsid w:val="00F4734B"/>
    <w:rsid w:val="00F5585D"/>
    <w:rsid w:val="00F6099E"/>
    <w:rsid w:val="00F64457"/>
    <w:rsid w:val="00F83681"/>
    <w:rsid w:val="00FD195A"/>
    <w:rsid w:val="00FE364E"/>
    <w:rsid w:val="00FE58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705D"/>
  <w15:chartTrackingRefBased/>
  <w15:docId w15:val="{C960F521-7A12-46D2-AE1E-416EBCE8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B39"/>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B75B39"/>
    <w:pPr>
      <w:spacing w:before="600"/>
      <w:jc w:val="center"/>
      <w:outlineLvl w:val="0"/>
    </w:pPr>
    <w:rPr>
      <w:b/>
      <w:sz w:val="28"/>
    </w:rPr>
  </w:style>
  <w:style w:type="paragraph" w:styleId="Ttulo2">
    <w:name w:val="heading 2"/>
    <w:basedOn w:val="Normal"/>
    <w:next w:val="Normal"/>
    <w:link w:val="Ttulo2Car"/>
    <w:uiPriority w:val="9"/>
    <w:unhideWhenUsed/>
    <w:qFormat/>
    <w:rsid w:val="00B75B39"/>
    <w:pPr>
      <w:spacing w:before="480"/>
      <w:outlineLvl w:val="1"/>
    </w:pPr>
    <w:rPr>
      <w:b/>
      <w:sz w:val="24"/>
    </w:rPr>
  </w:style>
  <w:style w:type="paragraph" w:styleId="Ttulo3">
    <w:name w:val="heading 3"/>
    <w:basedOn w:val="Normal"/>
    <w:next w:val="Normal"/>
    <w:link w:val="Ttulo3Car"/>
    <w:uiPriority w:val="9"/>
    <w:semiHidden/>
    <w:unhideWhenUsed/>
    <w:qFormat/>
    <w:rsid w:val="00D92F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92F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D92F9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92F91"/>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92F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92F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92F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5B39"/>
    <w:rPr>
      <w:rFonts w:ascii="Exo" w:hAnsi="Exo"/>
      <w:b/>
      <w:sz w:val="28"/>
      <w:szCs w:val="23"/>
    </w:rPr>
  </w:style>
  <w:style w:type="character" w:customStyle="1" w:styleId="Ttulo2Car">
    <w:name w:val="Título 2 Car"/>
    <w:basedOn w:val="Fuentedeprrafopredeter"/>
    <w:link w:val="Ttulo2"/>
    <w:uiPriority w:val="9"/>
    <w:rsid w:val="00B75B39"/>
    <w:rPr>
      <w:rFonts w:ascii="Exo" w:hAnsi="Exo"/>
      <w:b/>
      <w:sz w:val="24"/>
      <w:szCs w:val="23"/>
    </w:rPr>
  </w:style>
  <w:style w:type="table" w:styleId="Tablaconcuadrcula">
    <w:name w:val="Table Grid"/>
    <w:basedOn w:val="Tablanormal"/>
    <w:uiPriority w:val="39"/>
    <w:rsid w:val="00C8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69F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C69F3"/>
    <w:rPr>
      <w:rFonts w:ascii="Exo" w:hAnsi="Exo"/>
      <w:sz w:val="23"/>
      <w:szCs w:val="23"/>
    </w:rPr>
  </w:style>
  <w:style w:type="paragraph" w:styleId="Piedepgina">
    <w:name w:val="footer"/>
    <w:basedOn w:val="Normal"/>
    <w:link w:val="PiedepginaCar"/>
    <w:uiPriority w:val="99"/>
    <w:unhideWhenUsed/>
    <w:rsid w:val="006C69F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C69F3"/>
    <w:rPr>
      <w:rFonts w:ascii="Exo" w:hAnsi="Exo"/>
      <w:sz w:val="23"/>
      <w:szCs w:val="23"/>
    </w:rPr>
  </w:style>
  <w:style w:type="character" w:customStyle="1" w:styleId="Ttulo3Car">
    <w:name w:val="Título 3 Car"/>
    <w:basedOn w:val="Fuentedeprrafopredeter"/>
    <w:link w:val="Ttulo3"/>
    <w:uiPriority w:val="9"/>
    <w:semiHidden/>
    <w:rsid w:val="00D92F9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D92F91"/>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D92F91"/>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D92F91"/>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D92F91"/>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D92F9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92F9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D36B22"/>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D36B22"/>
    <w:rPr>
      <w:rFonts w:ascii="Exo" w:hAnsi="Exo"/>
      <w:sz w:val="20"/>
      <w:szCs w:val="20"/>
    </w:rPr>
  </w:style>
  <w:style w:type="character" w:styleId="Refdenotaalpie">
    <w:name w:val="footnote reference"/>
    <w:basedOn w:val="Fuentedeprrafopredeter"/>
    <w:uiPriority w:val="99"/>
    <w:semiHidden/>
    <w:unhideWhenUsed/>
    <w:rsid w:val="00D36B22"/>
    <w:rPr>
      <w:vertAlign w:val="superscript"/>
    </w:rPr>
  </w:style>
  <w:style w:type="character" w:styleId="Refdecomentario">
    <w:name w:val="annotation reference"/>
    <w:basedOn w:val="Fuentedeprrafopredeter"/>
    <w:uiPriority w:val="99"/>
    <w:semiHidden/>
    <w:unhideWhenUsed/>
    <w:rsid w:val="00DF4AF0"/>
    <w:rPr>
      <w:sz w:val="16"/>
      <w:szCs w:val="16"/>
    </w:rPr>
  </w:style>
  <w:style w:type="paragraph" w:styleId="Textocomentario">
    <w:name w:val="annotation text"/>
    <w:basedOn w:val="Normal"/>
    <w:link w:val="TextocomentarioCar"/>
    <w:uiPriority w:val="99"/>
    <w:semiHidden/>
    <w:unhideWhenUsed/>
    <w:rsid w:val="00DF4A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4AF0"/>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DF4AF0"/>
    <w:rPr>
      <w:b/>
      <w:bCs/>
    </w:rPr>
  </w:style>
  <w:style w:type="character" w:customStyle="1" w:styleId="AsuntodelcomentarioCar">
    <w:name w:val="Asunto del comentario Car"/>
    <w:basedOn w:val="TextocomentarioCar"/>
    <w:link w:val="Asuntodelcomentario"/>
    <w:uiPriority w:val="99"/>
    <w:semiHidden/>
    <w:rsid w:val="00DF4AF0"/>
    <w:rPr>
      <w:rFonts w:ascii="Exo" w:hAnsi="Exo"/>
      <w:b/>
      <w:bCs/>
      <w:sz w:val="20"/>
      <w:szCs w:val="20"/>
    </w:rPr>
  </w:style>
  <w:style w:type="paragraph" w:styleId="Textodeglobo">
    <w:name w:val="Balloon Text"/>
    <w:basedOn w:val="Normal"/>
    <w:link w:val="TextodegloboCar"/>
    <w:uiPriority w:val="99"/>
    <w:semiHidden/>
    <w:unhideWhenUsed/>
    <w:rsid w:val="00DF4AF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4AF0"/>
    <w:rPr>
      <w:rFonts w:ascii="Segoe UI" w:hAnsi="Segoe UI" w:cs="Segoe UI"/>
      <w:sz w:val="18"/>
      <w:szCs w:val="18"/>
    </w:rPr>
  </w:style>
  <w:style w:type="paragraph" w:styleId="Prrafodelista">
    <w:name w:val="List Paragraph"/>
    <w:basedOn w:val="Normal"/>
    <w:uiPriority w:val="34"/>
    <w:qFormat/>
    <w:rsid w:val="00DF4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770137">
      <w:bodyDiv w:val="1"/>
      <w:marLeft w:val="0"/>
      <w:marRight w:val="0"/>
      <w:marTop w:val="0"/>
      <w:marBottom w:val="0"/>
      <w:divBdr>
        <w:top w:val="none" w:sz="0" w:space="0" w:color="auto"/>
        <w:left w:val="none" w:sz="0" w:space="0" w:color="auto"/>
        <w:bottom w:val="none" w:sz="0" w:space="0" w:color="auto"/>
        <w:right w:val="none" w:sz="0" w:space="0" w:color="auto"/>
      </w:divBdr>
    </w:div>
    <w:div w:id="641035894">
      <w:bodyDiv w:val="1"/>
      <w:marLeft w:val="0"/>
      <w:marRight w:val="0"/>
      <w:marTop w:val="0"/>
      <w:marBottom w:val="0"/>
      <w:divBdr>
        <w:top w:val="none" w:sz="0" w:space="0" w:color="auto"/>
        <w:left w:val="none" w:sz="0" w:space="0" w:color="auto"/>
        <w:bottom w:val="none" w:sz="0" w:space="0" w:color="auto"/>
        <w:right w:val="none" w:sz="0" w:space="0" w:color="auto"/>
      </w:divBdr>
    </w:div>
    <w:div w:id="202166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C5896-F691-4A28-B172-615C7BCD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2304</Words>
  <Characters>12673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8</cp:revision>
  <dcterms:created xsi:type="dcterms:W3CDTF">2026-01-15T03:36:00Z</dcterms:created>
  <dcterms:modified xsi:type="dcterms:W3CDTF">2026-01-19T22:13:00Z</dcterms:modified>
</cp:coreProperties>
</file>