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FABDF6" w14:textId="1F13686F" w:rsidR="003E4F79" w:rsidRPr="00A86B8E" w:rsidRDefault="000A1C00" w:rsidP="00ED0A70">
      <w:pPr>
        <w:rPr>
          <w:rFonts w:ascii="Arial" w:hAnsi="Arial" w:cs="Arial"/>
          <w:b/>
          <w:bCs/>
        </w:rPr>
      </w:pPr>
      <w:r w:rsidRPr="00A86B8E">
        <w:rPr>
          <w:rFonts w:ascii="Arial" w:hAnsi="Arial" w:cs="Arial"/>
          <w:b/>
          <w:bCs/>
        </w:rPr>
        <w:t xml:space="preserve">ACUERDO QUE EMITE EL CONSEJO ESTATAL DEL INSTITUTO ELECTORAL Y DE PARTICIPACIÓN CIUDADANA DE TABASCO, POR EL QUE DETERMINA LOS LÍMITES AL FINANCIAMIENTO PRIVADO QUE PODRÁN RECIBIR LOS PARTIDOS POLÍTICOS DE SU MILITANCIA, </w:t>
      </w:r>
      <w:r w:rsidR="00A44C17" w:rsidRPr="00A86B8E">
        <w:rPr>
          <w:rFonts w:ascii="Arial" w:hAnsi="Arial" w:cs="Arial"/>
          <w:b/>
          <w:bCs/>
        </w:rPr>
        <w:t xml:space="preserve">CANDIDATURAS Y </w:t>
      </w:r>
      <w:r w:rsidRPr="00A86B8E">
        <w:rPr>
          <w:rFonts w:ascii="Arial" w:hAnsi="Arial" w:cs="Arial"/>
          <w:b/>
          <w:bCs/>
        </w:rPr>
        <w:t>SIMPATIZANTES DURANTE EL EJERCICIO 2026</w:t>
      </w:r>
    </w:p>
    <w:p w14:paraId="7F563CB0" w14:textId="77777777" w:rsidR="00ED0A70" w:rsidRPr="00A86B8E" w:rsidRDefault="00ED0A70" w:rsidP="00ED0A70">
      <w:pPr>
        <w:rPr>
          <w:rFonts w:ascii="Arial" w:hAnsi="Arial" w:cs="Arial"/>
        </w:rPr>
      </w:pPr>
      <w:r w:rsidRPr="00A86B8E">
        <w:rPr>
          <w:rFonts w:ascii="Arial" w:hAnsi="Arial" w:cs="Arial"/>
        </w:rPr>
        <w:t>Para efectos del presente acuerdo se usarán las abreviaturas y definiciones siguientes:</w:t>
      </w:r>
    </w:p>
    <w:tbl>
      <w:tblPr>
        <w:tblW w:w="4162" w:type="pct"/>
        <w:jc w:val="center"/>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3001"/>
        <w:gridCol w:w="4347"/>
      </w:tblGrid>
      <w:tr w:rsidR="00BB444D" w:rsidRPr="00A86B8E" w14:paraId="72DFE022" w14:textId="77777777" w:rsidTr="00652E2A">
        <w:trPr>
          <w:trHeight w:val="624"/>
          <w:jc w:val="center"/>
        </w:trPr>
        <w:tc>
          <w:tcPr>
            <w:tcW w:w="2042" w:type="pct"/>
            <w:vAlign w:val="center"/>
          </w:tcPr>
          <w:p w14:paraId="1DB0CC1A" w14:textId="77777777" w:rsidR="00BB444D" w:rsidRPr="00A86B8E" w:rsidRDefault="00BB444D" w:rsidP="00652E2A">
            <w:pPr>
              <w:spacing w:before="120" w:after="120"/>
              <w:jc w:val="right"/>
              <w:rPr>
                <w:rFonts w:ascii="Arial" w:hAnsi="Arial" w:cs="Arial"/>
                <w:b/>
                <w:bCs/>
                <w:sz w:val="20"/>
                <w:szCs w:val="20"/>
              </w:rPr>
            </w:pPr>
            <w:r w:rsidRPr="00A86B8E">
              <w:rPr>
                <w:rFonts w:ascii="Arial" w:hAnsi="Arial" w:cs="Arial"/>
                <w:b/>
                <w:bCs/>
                <w:sz w:val="20"/>
                <w:szCs w:val="20"/>
              </w:rPr>
              <w:t>Consejo Estatal:</w:t>
            </w:r>
          </w:p>
        </w:tc>
        <w:tc>
          <w:tcPr>
            <w:tcW w:w="2958" w:type="pct"/>
            <w:vAlign w:val="center"/>
          </w:tcPr>
          <w:p w14:paraId="2292C016" w14:textId="77777777" w:rsidR="00BB444D" w:rsidRPr="00A86B8E" w:rsidRDefault="00BB444D" w:rsidP="00652E2A">
            <w:pPr>
              <w:spacing w:before="120" w:after="120"/>
              <w:rPr>
                <w:rFonts w:ascii="Arial" w:hAnsi="Arial" w:cs="Arial"/>
                <w:sz w:val="20"/>
                <w:szCs w:val="20"/>
              </w:rPr>
            </w:pPr>
            <w:r w:rsidRPr="00A86B8E">
              <w:rPr>
                <w:rFonts w:ascii="Arial" w:hAnsi="Arial" w:cs="Arial"/>
                <w:sz w:val="20"/>
                <w:szCs w:val="20"/>
              </w:rPr>
              <w:t>Consejo Estatal del Instituto Electoral y de Participación Ciudadana de Tabasco.</w:t>
            </w:r>
          </w:p>
        </w:tc>
      </w:tr>
      <w:tr w:rsidR="00BB444D" w:rsidRPr="00A86B8E" w14:paraId="70081117" w14:textId="77777777" w:rsidTr="00652E2A">
        <w:trPr>
          <w:trHeight w:val="624"/>
          <w:jc w:val="center"/>
        </w:trPr>
        <w:tc>
          <w:tcPr>
            <w:tcW w:w="2042" w:type="pct"/>
            <w:vAlign w:val="center"/>
          </w:tcPr>
          <w:p w14:paraId="11A677E2" w14:textId="77777777" w:rsidR="00BB444D" w:rsidRPr="00A86B8E" w:rsidRDefault="00BB444D" w:rsidP="00652E2A">
            <w:pPr>
              <w:spacing w:before="120" w:after="120"/>
              <w:jc w:val="right"/>
              <w:rPr>
                <w:rFonts w:ascii="Arial" w:hAnsi="Arial" w:cs="Arial"/>
                <w:b/>
                <w:bCs/>
                <w:sz w:val="20"/>
                <w:szCs w:val="20"/>
              </w:rPr>
            </w:pPr>
            <w:r w:rsidRPr="00A86B8E">
              <w:rPr>
                <w:rFonts w:ascii="Arial" w:hAnsi="Arial" w:cs="Arial"/>
                <w:b/>
                <w:bCs/>
                <w:sz w:val="20"/>
                <w:szCs w:val="20"/>
              </w:rPr>
              <w:t>Constitución Federal:</w:t>
            </w:r>
          </w:p>
        </w:tc>
        <w:tc>
          <w:tcPr>
            <w:tcW w:w="2958" w:type="pct"/>
            <w:vAlign w:val="center"/>
          </w:tcPr>
          <w:p w14:paraId="3A51D292" w14:textId="77777777" w:rsidR="00BB444D" w:rsidRPr="00A86B8E" w:rsidRDefault="00BB444D" w:rsidP="00652E2A">
            <w:pPr>
              <w:spacing w:before="120" w:after="120"/>
              <w:rPr>
                <w:rFonts w:ascii="Arial" w:hAnsi="Arial" w:cs="Arial"/>
                <w:sz w:val="20"/>
                <w:szCs w:val="20"/>
              </w:rPr>
            </w:pPr>
            <w:r w:rsidRPr="00A86B8E">
              <w:rPr>
                <w:rFonts w:ascii="Arial" w:hAnsi="Arial" w:cs="Arial"/>
                <w:sz w:val="20"/>
                <w:szCs w:val="20"/>
              </w:rPr>
              <w:t>Constitución Política de los Estados Unidos Mexicanos.</w:t>
            </w:r>
          </w:p>
        </w:tc>
      </w:tr>
      <w:tr w:rsidR="00BB444D" w:rsidRPr="00A86B8E" w14:paraId="75320CEA" w14:textId="77777777" w:rsidTr="00652E2A">
        <w:trPr>
          <w:trHeight w:val="624"/>
          <w:jc w:val="center"/>
        </w:trPr>
        <w:tc>
          <w:tcPr>
            <w:tcW w:w="2042" w:type="pct"/>
            <w:vAlign w:val="center"/>
          </w:tcPr>
          <w:p w14:paraId="00848856" w14:textId="77777777" w:rsidR="00BB444D" w:rsidRPr="00A86B8E" w:rsidRDefault="00BB444D" w:rsidP="00652E2A">
            <w:pPr>
              <w:spacing w:before="120" w:after="120"/>
              <w:jc w:val="right"/>
              <w:rPr>
                <w:rFonts w:ascii="Arial" w:hAnsi="Arial" w:cs="Arial"/>
                <w:b/>
                <w:bCs/>
                <w:sz w:val="20"/>
                <w:szCs w:val="20"/>
              </w:rPr>
            </w:pPr>
            <w:r w:rsidRPr="00A86B8E">
              <w:rPr>
                <w:rFonts w:ascii="Arial" w:hAnsi="Arial" w:cs="Arial"/>
                <w:b/>
                <w:bCs/>
                <w:sz w:val="20"/>
                <w:szCs w:val="20"/>
              </w:rPr>
              <w:t>Constitución Local:</w:t>
            </w:r>
          </w:p>
        </w:tc>
        <w:tc>
          <w:tcPr>
            <w:tcW w:w="2958" w:type="pct"/>
            <w:vAlign w:val="center"/>
          </w:tcPr>
          <w:p w14:paraId="776EEAC9" w14:textId="77777777" w:rsidR="00BB444D" w:rsidRPr="00A86B8E" w:rsidRDefault="00BB444D" w:rsidP="00652E2A">
            <w:pPr>
              <w:spacing w:before="120" w:after="120"/>
              <w:rPr>
                <w:rFonts w:ascii="Arial" w:hAnsi="Arial" w:cs="Arial"/>
                <w:sz w:val="20"/>
                <w:szCs w:val="20"/>
              </w:rPr>
            </w:pPr>
            <w:r w:rsidRPr="00A86B8E">
              <w:rPr>
                <w:rFonts w:ascii="Arial" w:hAnsi="Arial" w:cs="Arial"/>
                <w:sz w:val="20"/>
                <w:szCs w:val="20"/>
              </w:rPr>
              <w:t>Constitución Política del Estado Libre y Soberano de Tabasco.</w:t>
            </w:r>
          </w:p>
        </w:tc>
      </w:tr>
      <w:tr w:rsidR="00BB444D" w:rsidRPr="00A86B8E" w14:paraId="30AD15CC" w14:textId="77777777" w:rsidTr="00652E2A">
        <w:trPr>
          <w:trHeight w:val="624"/>
          <w:jc w:val="center"/>
        </w:trPr>
        <w:tc>
          <w:tcPr>
            <w:tcW w:w="2042" w:type="pct"/>
            <w:vAlign w:val="center"/>
          </w:tcPr>
          <w:p w14:paraId="1C2667F8" w14:textId="77777777" w:rsidR="00BB444D" w:rsidRPr="00A86B8E" w:rsidRDefault="00BB444D" w:rsidP="00652E2A">
            <w:pPr>
              <w:spacing w:before="120" w:after="120"/>
              <w:jc w:val="right"/>
              <w:rPr>
                <w:rFonts w:ascii="Arial" w:hAnsi="Arial" w:cs="Arial"/>
                <w:b/>
                <w:bCs/>
                <w:sz w:val="20"/>
                <w:szCs w:val="20"/>
              </w:rPr>
            </w:pPr>
            <w:r w:rsidRPr="00A86B8E">
              <w:rPr>
                <w:rFonts w:ascii="Arial" w:hAnsi="Arial" w:cs="Arial"/>
                <w:b/>
                <w:bCs/>
                <w:sz w:val="20"/>
                <w:szCs w:val="20"/>
              </w:rPr>
              <w:t>INE:</w:t>
            </w:r>
          </w:p>
        </w:tc>
        <w:tc>
          <w:tcPr>
            <w:tcW w:w="2958" w:type="pct"/>
            <w:vAlign w:val="center"/>
          </w:tcPr>
          <w:p w14:paraId="086F4B6C" w14:textId="77777777" w:rsidR="00BB444D" w:rsidRPr="00A86B8E" w:rsidRDefault="00BB444D" w:rsidP="00652E2A">
            <w:pPr>
              <w:spacing w:before="120" w:after="120"/>
              <w:rPr>
                <w:rFonts w:ascii="Arial" w:hAnsi="Arial" w:cs="Arial"/>
                <w:sz w:val="20"/>
                <w:szCs w:val="20"/>
              </w:rPr>
            </w:pPr>
            <w:r w:rsidRPr="00A86B8E">
              <w:rPr>
                <w:rFonts w:ascii="Arial" w:hAnsi="Arial" w:cs="Arial"/>
                <w:sz w:val="20"/>
                <w:szCs w:val="20"/>
              </w:rPr>
              <w:t>Instituto Nacional Electoral.</w:t>
            </w:r>
          </w:p>
        </w:tc>
      </w:tr>
      <w:tr w:rsidR="00BB444D" w:rsidRPr="00A86B8E" w14:paraId="50814410" w14:textId="77777777" w:rsidTr="00652E2A">
        <w:trPr>
          <w:trHeight w:val="624"/>
          <w:jc w:val="center"/>
        </w:trPr>
        <w:tc>
          <w:tcPr>
            <w:tcW w:w="2042" w:type="pct"/>
            <w:vAlign w:val="center"/>
          </w:tcPr>
          <w:p w14:paraId="7B2A0959" w14:textId="77777777" w:rsidR="00BB444D" w:rsidRPr="00A86B8E" w:rsidRDefault="00BB444D" w:rsidP="00652E2A">
            <w:pPr>
              <w:spacing w:before="120" w:after="120"/>
              <w:jc w:val="right"/>
              <w:rPr>
                <w:rFonts w:ascii="Arial" w:hAnsi="Arial" w:cs="Arial"/>
                <w:b/>
                <w:bCs/>
                <w:sz w:val="20"/>
                <w:szCs w:val="20"/>
              </w:rPr>
            </w:pPr>
            <w:r w:rsidRPr="00A86B8E">
              <w:rPr>
                <w:rFonts w:ascii="Arial" w:hAnsi="Arial" w:cs="Arial"/>
                <w:b/>
                <w:bCs/>
                <w:sz w:val="20"/>
                <w:szCs w:val="20"/>
              </w:rPr>
              <w:t>Instituto:</w:t>
            </w:r>
          </w:p>
        </w:tc>
        <w:tc>
          <w:tcPr>
            <w:tcW w:w="2958" w:type="pct"/>
          </w:tcPr>
          <w:p w14:paraId="16B59E29" w14:textId="77777777" w:rsidR="00BB444D" w:rsidRPr="00A86B8E" w:rsidRDefault="00BB444D" w:rsidP="00652E2A">
            <w:pPr>
              <w:spacing w:before="120" w:after="120"/>
              <w:rPr>
                <w:rFonts w:ascii="Arial" w:hAnsi="Arial" w:cs="Arial"/>
                <w:sz w:val="20"/>
                <w:szCs w:val="20"/>
              </w:rPr>
            </w:pPr>
            <w:r w:rsidRPr="00A86B8E">
              <w:rPr>
                <w:rFonts w:ascii="Arial" w:hAnsi="Arial" w:cs="Arial"/>
                <w:sz w:val="20"/>
                <w:szCs w:val="20"/>
              </w:rPr>
              <w:t>Instituto Electoral y de Participación Ciudadana de Tabasco.</w:t>
            </w:r>
          </w:p>
        </w:tc>
      </w:tr>
      <w:tr w:rsidR="00BB444D" w:rsidRPr="00A86B8E" w14:paraId="38627ADE" w14:textId="77777777" w:rsidTr="00652E2A">
        <w:trPr>
          <w:trHeight w:val="624"/>
          <w:jc w:val="center"/>
        </w:trPr>
        <w:tc>
          <w:tcPr>
            <w:tcW w:w="2042" w:type="pct"/>
            <w:vAlign w:val="center"/>
          </w:tcPr>
          <w:p w14:paraId="0A1D0A5C" w14:textId="77777777" w:rsidR="00BB444D" w:rsidRPr="00A86B8E" w:rsidRDefault="00BB444D" w:rsidP="00652E2A">
            <w:pPr>
              <w:spacing w:before="120" w:after="120"/>
              <w:jc w:val="right"/>
              <w:rPr>
                <w:rFonts w:ascii="Arial" w:hAnsi="Arial" w:cs="Arial"/>
                <w:b/>
                <w:bCs/>
                <w:sz w:val="20"/>
                <w:szCs w:val="20"/>
              </w:rPr>
            </w:pPr>
            <w:r w:rsidRPr="00A86B8E">
              <w:rPr>
                <w:rFonts w:ascii="Arial" w:hAnsi="Arial" w:cs="Arial"/>
                <w:b/>
                <w:bCs/>
                <w:sz w:val="20"/>
                <w:szCs w:val="20"/>
              </w:rPr>
              <w:t>Ley Electoral:</w:t>
            </w:r>
          </w:p>
        </w:tc>
        <w:tc>
          <w:tcPr>
            <w:tcW w:w="2958" w:type="pct"/>
            <w:vAlign w:val="center"/>
          </w:tcPr>
          <w:p w14:paraId="17231828" w14:textId="77777777" w:rsidR="00BB444D" w:rsidRPr="00A86B8E" w:rsidRDefault="00BB444D" w:rsidP="00652E2A">
            <w:pPr>
              <w:spacing w:before="120" w:after="120"/>
              <w:rPr>
                <w:rFonts w:ascii="Arial" w:hAnsi="Arial" w:cs="Arial"/>
                <w:sz w:val="20"/>
                <w:szCs w:val="20"/>
              </w:rPr>
            </w:pPr>
            <w:r w:rsidRPr="00A86B8E">
              <w:rPr>
                <w:rFonts w:ascii="Arial" w:hAnsi="Arial" w:cs="Arial"/>
                <w:sz w:val="20"/>
                <w:szCs w:val="20"/>
              </w:rPr>
              <w:t>Ley Electoral y de Partidos Políticos del Estado de Tabasco.</w:t>
            </w:r>
          </w:p>
        </w:tc>
      </w:tr>
      <w:tr w:rsidR="00BB444D" w:rsidRPr="00A86B8E" w14:paraId="30A35B43" w14:textId="77777777" w:rsidTr="00652E2A">
        <w:trPr>
          <w:trHeight w:val="624"/>
          <w:jc w:val="center"/>
        </w:trPr>
        <w:tc>
          <w:tcPr>
            <w:tcW w:w="2042" w:type="pct"/>
            <w:vAlign w:val="center"/>
          </w:tcPr>
          <w:p w14:paraId="3510634D" w14:textId="77777777" w:rsidR="00BB444D" w:rsidRPr="00A86B8E" w:rsidRDefault="00BB444D" w:rsidP="00652E2A">
            <w:pPr>
              <w:spacing w:before="120" w:after="120"/>
              <w:jc w:val="right"/>
              <w:rPr>
                <w:rFonts w:ascii="Arial" w:hAnsi="Arial" w:cs="Arial"/>
                <w:b/>
                <w:bCs/>
                <w:sz w:val="20"/>
                <w:szCs w:val="20"/>
              </w:rPr>
            </w:pPr>
            <w:r w:rsidRPr="00A86B8E">
              <w:rPr>
                <w:rFonts w:ascii="Arial" w:hAnsi="Arial" w:cs="Arial"/>
                <w:b/>
                <w:bCs/>
                <w:sz w:val="20"/>
                <w:szCs w:val="20"/>
              </w:rPr>
              <w:t>Ley General:</w:t>
            </w:r>
          </w:p>
        </w:tc>
        <w:tc>
          <w:tcPr>
            <w:tcW w:w="2958" w:type="pct"/>
            <w:vAlign w:val="center"/>
          </w:tcPr>
          <w:p w14:paraId="50BE53D8" w14:textId="77777777" w:rsidR="00BB444D" w:rsidRPr="00A86B8E" w:rsidRDefault="00BB444D" w:rsidP="00652E2A">
            <w:pPr>
              <w:spacing w:before="120" w:after="120"/>
              <w:rPr>
                <w:rFonts w:ascii="Arial" w:hAnsi="Arial" w:cs="Arial"/>
                <w:sz w:val="20"/>
                <w:szCs w:val="20"/>
              </w:rPr>
            </w:pPr>
            <w:r w:rsidRPr="00A86B8E">
              <w:rPr>
                <w:rFonts w:ascii="Arial" w:hAnsi="Arial" w:cs="Arial"/>
                <w:sz w:val="20"/>
                <w:szCs w:val="20"/>
              </w:rPr>
              <w:t>Ley General de Instituciones y Procedimientos Electorales.</w:t>
            </w:r>
          </w:p>
        </w:tc>
      </w:tr>
      <w:tr w:rsidR="0060540E" w:rsidRPr="00A86B8E" w14:paraId="50B16BF3" w14:textId="77777777" w:rsidTr="00652E2A">
        <w:trPr>
          <w:trHeight w:val="624"/>
          <w:jc w:val="center"/>
        </w:trPr>
        <w:tc>
          <w:tcPr>
            <w:tcW w:w="2042" w:type="pct"/>
            <w:vAlign w:val="center"/>
          </w:tcPr>
          <w:p w14:paraId="76AF4E76" w14:textId="3DB2801B" w:rsidR="0060540E" w:rsidRPr="00A86B8E" w:rsidRDefault="00A10BFE" w:rsidP="00652E2A">
            <w:pPr>
              <w:spacing w:before="120" w:after="120"/>
              <w:jc w:val="right"/>
              <w:rPr>
                <w:rFonts w:ascii="Arial" w:hAnsi="Arial" w:cs="Arial"/>
                <w:b/>
                <w:bCs/>
                <w:sz w:val="20"/>
                <w:szCs w:val="20"/>
              </w:rPr>
            </w:pPr>
            <w:r w:rsidRPr="00A86B8E">
              <w:rPr>
                <w:rFonts w:ascii="Arial" w:hAnsi="Arial" w:cs="Arial"/>
                <w:b/>
                <w:bCs/>
                <w:sz w:val="20"/>
                <w:szCs w:val="20"/>
              </w:rPr>
              <w:t>Ley de Partidos:</w:t>
            </w:r>
          </w:p>
        </w:tc>
        <w:tc>
          <w:tcPr>
            <w:tcW w:w="2958" w:type="pct"/>
            <w:vAlign w:val="center"/>
          </w:tcPr>
          <w:p w14:paraId="1E153851" w14:textId="77777777" w:rsidR="00A10BFE" w:rsidRPr="00A86B8E" w:rsidRDefault="00A10BFE" w:rsidP="0060540E">
            <w:pPr>
              <w:spacing w:before="120" w:after="120"/>
              <w:rPr>
                <w:rFonts w:ascii="Arial" w:hAnsi="Arial" w:cs="Arial"/>
                <w:sz w:val="20"/>
                <w:szCs w:val="20"/>
              </w:rPr>
            </w:pPr>
          </w:p>
          <w:p w14:paraId="769F005E" w14:textId="67FADDA0" w:rsidR="0060540E" w:rsidRPr="00A86B8E" w:rsidRDefault="0060540E" w:rsidP="0060540E">
            <w:pPr>
              <w:spacing w:before="120" w:after="120"/>
              <w:rPr>
                <w:rFonts w:ascii="Arial" w:hAnsi="Arial" w:cs="Arial"/>
                <w:sz w:val="20"/>
                <w:szCs w:val="20"/>
              </w:rPr>
            </w:pPr>
            <w:r w:rsidRPr="00A86B8E">
              <w:rPr>
                <w:rFonts w:ascii="Arial" w:hAnsi="Arial" w:cs="Arial"/>
                <w:sz w:val="20"/>
                <w:szCs w:val="20"/>
              </w:rPr>
              <w:t xml:space="preserve">Ley </w:t>
            </w:r>
            <w:r w:rsidR="00A10BFE" w:rsidRPr="00A86B8E">
              <w:rPr>
                <w:rFonts w:ascii="Arial" w:hAnsi="Arial" w:cs="Arial"/>
                <w:sz w:val="20"/>
                <w:szCs w:val="20"/>
              </w:rPr>
              <w:t xml:space="preserve">General </w:t>
            </w:r>
            <w:r w:rsidRPr="00A86B8E">
              <w:rPr>
                <w:rFonts w:ascii="Arial" w:hAnsi="Arial" w:cs="Arial"/>
                <w:sz w:val="20"/>
                <w:szCs w:val="20"/>
              </w:rPr>
              <w:t xml:space="preserve">de Partidos Políticos </w:t>
            </w:r>
          </w:p>
          <w:p w14:paraId="3E620047" w14:textId="77777777" w:rsidR="0060540E" w:rsidRPr="00A86B8E" w:rsidRDefault="0060540E" w:rsidP="00652E2A">
            <w:pPr>
              <w:spacing w:before="120" w:after="120"/>
              <w:rPr>
                <w:rFonts w:ascii="Arial" w:hAnsi="Arial" w:cs="Arial"/>
                <w:sz w:val="20"/>
                <w:szCs w:val="20"/>
              </w:rPr>
            </w:pPr>
          </w:p>
        </w:tc>
      </w:tr>
      <w:tr w:rsidR="00BB444D" w:rsidRPr="00A86B8E" w14:paraId="7BD7E531" w14:textId="77777777" w:rsidTr="00652E2A">
        <w:trPr>
          <w:trHeight w:val="624"/>
          <w:jc w:val="center"/>
        </w:trPr>
        <w:tc>
          <w:tcPr>
            <w:tcW w:w="2042" w:type="pct"/>
            <w:vAlign w:val="center"/>
          </w:tcPr>
          <w:p w14:paraId="05F0F25C" w14:textId="77777777" w:rsidR="00BB444D" w:rsidRPr="00A86B8E" w:rsidRDefault="00BB444D" w:rsidP="00652E2A">
            <w:pPr>
              <w:spacing w:before="120" w:after="120"/>
              <w:jc w:val="right"/>
              <w:rPr>
                <w:rFonts w:ascii="Arial" w:hAnsi="Arial" w:cs="Arial"/>
                <w:b/>
                <w:bCs/>
                <w:sz w:val="20"/>
                <w:szCs w:val="20"/>
              </w:rPr>
            </w:pPr>
            <w:r w:rsidRPr="00A86B8E">
              <w:rPr>
                <w:rFonts w:ascii="Arial" w:hAnsi="Arial" w:cs="Arial"/>
                <w:b/>
                <w:bCs/>
                <w:sz w:val="20"/>
                <w:szCs w:val="20"/>
              </w:rPr>
              <w:t>Organismo electoral:</w:t>
            </w:r>
          </w:p>
        </w:tc>
        <w:tc>
          <w:tcPr>
            <w:tcW w:w="2958" w:type="pct"/>
            <w:vAlign w:val="center"/>
          </w:tcPr>
          <w:p w14:paraId="078E5ECF" w14:textId="42C2A30D" w:rsidR="00BB444D" w:rsidRPr="00A86B8E" w:rsidRDefault="00BB444D" w:rsidP="00652E2A">
            <w:pPr>
              <w:spacing w:before="120" w:after="120"/>
              <w:rPr>
                <w:rFonts w:ascii="Arial" w:hAnsi="Arial" w:cs="Arial"/>
                <w:sz w:val="20"/>
                <w:szCs w:val="20"/>
              </w:rPr>
            </w:pPr>
            <w:r w:rsidRPr="00A86B8E">
              <w:rPr>
                <w:rFonts w:ascii="Arial" w:hAnsi="Arial" w:cs="Arial"/>
                <w:sz w:val="20"/>
                <w:szCs w:val="20"/>
              </w:rPr>
              <w:t xml:space="preserve">Organismo(s) </w:t>
            </w:r>
            <w:r w:rsidR="009D1748" w:rsidRPr="00A86B8E">
              <w:rPr>
                <w:rFonts w:ascii="Arial" w:hAnsi="Arial" w:cs="Arial"/>
                <w:sz w:val="20"/>
                <w:szCs w:val="20"/>
              </w:rPr>
              <w:t>P</w:t>
            </w:r>
            <w:r w:rsidRPr="00A86B8E">
              <w:rPr>
                <w:rFonts w:ascii="Arial" w:hAnsi="Arial" w:cs="Arial"/>
                <w:sz w:val="20"/>
                <w:szCs w:val="20"/>
              </w:rPr>
              <w:t xml:space="preserve">úblico(s) </w:t>
            </w:r>
            <w:r w:rsidR="009D1748" w:rsidRPr="00A86B8E">
              <w:rPr>
                <w:rFonts w:ascii="Arial" w:hAnsi="Arial" w:cs="Arial"/>
                <w:sz w:val="20"/>
                <w:szCs w:val="20"/>
              </w:rPr>
              <w:t>L</w:t>
            </w:r>
            <w:r w:rsidRPr="00A86B8E">
              <w:rPr>
                <w:rFonts w:ascii="Arial" w:hAnsi="Arial" w:cs="Arial"/>
                <w:sz w:val="20"/>
                <w:szCs w:val="20"/>
              </w:rPr>
              <w:t xml:space="preserve">ocal(es) </w:t>
            </w:r>
            <w:r w:rsidR="009D1748" w:rsidRPr="00A86B8E">
              <w:rPr>
                <w:rFonts w:ascii="Arial" w:hAnsi="Arial" w:cs="Arial"/>
                <w:sz w:val="20"/>
                <w:szCs w:val="20"/>
              </w:rPr>
              <w:t>E</w:t>
            </w:r>
            <w:r w:rsidRPr="00A86B8E">
              <w:rPr>
                <w:rFonts w:ascii="Arial" w:hAnsi="Arial" w:cs="Arial"/>
                <w:sz w:val="20"/>
                <w:szCs w:val="20"/>
              </w:rPr>
              <w:t xml:space="preserve">lectoral(es). </w:t>
            </w:r>
          </w:p>
        </w:tc>
      </w:tr>
      <w:tr w:rsidR="00BB444D" w:rsidRPr="00A86B8E" w14:paraId="0F637BF3" w14:textId="77777777" w:rsidTr="00652E2A">
        <w:trPr>
          <w:trHeight w:val="624"/>
          <w:jc w:val="center"/>
        </w:trPr>
        <w:tc>
          <w:tcPr>
            <w:tcW w:w="2042" w:type="pct"/>
            <w:vAlign w:val="center"/>
          </w:tcPr>
          <w:p w14:paraId="29384FEE" w14:textId="77777777" w:rsidR="00BB444D" w:rsidRPr="00A86B8E" w:rsidRDefault="00BB444D" w:rsidP="00652E2A">
            <w:pPr>
              <w:spacing w:before="120" w:after="120"/>
              <w:jc w:val="right"/>
              <w:rPr>
                <w:rFonts w:ascii="Arial" w:hAnsi="Arial" w:cs="Arial"/>
                <w:b/>
                <w:bCs/>
                <w:sz w:val="20"/>
                <w:szCs w:val="20"/>
              </w:rPr>
            </w:pPr>
            <w:r w:rsidRPr="00A86B8E">
              <w:rPr>
                <w:rFonts w:ascii="Arial" w:hAnsi="Arial" w:cs="Arial"/>
                <w:b/>
                <w:bCs/>
                <w:sz w:val="20"/>
                <w:szCs w:val="20"/>
              </w:rPr>
              <w:t>Secretaría Ejecutiva:</w:t>
            </w:r>
          </w:p>
        </w:tc>
        <w:tc>
          <w:tcPr>
            <w:tcW w:w="2958" w:type="pct"/>
            <w:vAlign w:val="center"/>
          </w:tcPr>
          <w:p w14:paraId="705F343A" w14:textId="77777777" w:rsidR="00BB444D" w:rsidRPr="00A86B8E" w:rsidRDefault="00BB444D" w:rsidP="00652E2A">
            <w:pPr>
              <w:spacing w:before="120" w:after="120"/>
              <w:rPr>
                <w:rFonts w:ascii="Arial" w:hAnsi="Arial" w:cs="Arial"/>
                <w:sz w:val="20"/>
                <w:szCs w:val="20"/>
              </w:rPr>
            </w:pPr>
            <w:r w:rsidRPr="00A86B8E">
              <w:rPr>
                <w:rFonts w:ascii="Arial" w:hAnsi="Arial" w:cs="Arial"/>
                <w:sz w:val="20"/>
                <w:szCs w:val="20"/>
              </w:rPr>
              <w:t>Secretaría Ejecutiva del Instituto Electoral y de Participación Ciudadana de Tabasco.</w:t>
            </w:r>
          </w:p>
        </w:tc>
      </w:tr>
    </w:tbl>
    <w:p w14:paraId="2A63203A" w14:textId="77777777" w:rsidR="00ED0A70" w:rsidRPr="00A86B8E" w:rsidRDefault="00ED0A70" w:rsidP="00843AC4">
      <w:pPr>
        <w:pStyle w:val="Ttulo1"/>
        <w:rPr>
          <w:rFonts w:ascii="Arial" w:hAnsi="Arial" w:cs="Arial"/>
          <w:sz w:val="24"/>
          <w:szCs w:val="24"/>
        </w:rPr>
      </w:pPr>
      <w:r w:rsidRPr="00A86B8E">
        <w:rPr>
          <w:rFonts w:ascii="Arial" w:hAnsi="Arial" w:cs="Arial"/>
          <w:sz w:val="24"/>
          <w:szCs w:val="24"/>
        </w:rPr>
        <w:lastRenderedPageBreak/>
        <w:t>Antecedentes</w:t>
      </w:r>
    </w:p>
    <w:p w14:paraId="37D82750" w14:textId="057075D1" w:rsidR="00376CF8" w:rsidRPr="00A86B8E" w:rsidRDefault="00376CF8" w:rsidP="00376CF8">
      <w:pPr>
        <w:pStyle w:val="Ttulo2"/>
        <w:rPr>
          <w:rFonts w:ascii="Arial" w:hAnsi="Arial" w:cs="Arial"/>
          <w:sz w:val="22"/>
        </w:rPr>
      </w:pPr>
      <w:r w:rsidRPr="00A86B8E">
        <w:rPr>
          <w:rFonts w:ascii="Arial" w:hAnsi="Arial" w:cs="Arial"/>
          <w:sz w:val="22"/>
        </w:rPr>
        <w:t xml:space="preserve">Tope de gastos para la elección a la Gubernatura </w:t>
      </w:r>
      <w:r w:rsidR="004109AA" w:rsidRPr="00A86B8E">
        <w:rPr>
          <w:rFonts w:ascii="Arial" w:hAnsi="Arial" w:cs="Arial"/>
          <w:sz w:val="22"/>
        </w:rPr>
        <w:t>2023</w:t>
      </w:r>
      <w:r w:rsidRPr="00A86B8E">
        <w:rPr>
          <w:rFonts w:ascii="Arial" w:hAnsi="Arial" w:cs="Arial"/>
          <w:sz w:val="22"/>
        </w:rPr>
        <w:t xml:space="preserve"> – </w:t>
      </w:r>
      <w:r w:rsidR="004109AA" w:rsidRPr="00A86B8E">
        <w:rPr>
          <w:rFonts w:ascii="Arial" w:hAnsi="Arial" w:cs="Arial"/>
          <w:sz w:val="22"/>
        </w:rPr>
        <w:t>2024</w:t>
      </w:r>
    </w:p>
    <w:p w14:paraId="26B5FDB1" w14:textId="0CC624BF" w:rsidR="004109AA" w:rsidRPr="00A86B8E" w:rsidRDefault="00376CF8" w:rsidP="00376CF8">
      <w:pPr>
        <w:rPr>
          <w:rFonts w:ascii="Arial" w:hAnsi="Arial" w:cs="Arial"/>
          <w:sz w:val="22"/>
        </w:rPr>
      </w:pPr>
      <w:r w:rsidRPr="00A86B8E">
        <w:rPr>
          <w:rFonts w:ascii="Arial" w:hAnsi="Arial" w:cs="Arial"/>
          <w:sz w:val="22"/>
        </w:rPr>
        <w:t xml:space="preserve">El 30 de </w:t>
      </w:r>
      <w:r w:rsidR="004109AA" w:rsidRPr="00A86B8E">
        <w:rPr>
          <w:rFonts w:ascii="Arial" w:hAnsi="Arial" w:cs="Arial"/>
          <w:sz w:val="22"/>
        </w:rPr>
        <w:t xml:space="preserve">noviembre </w:t>
      </w:r>
      <w:r w:rsidRPr="00A86B8E">
        <w:rPr>
          <w:rFonts w:ascii="Arial" w:hAnsi="Arial" w:cs="Arial"/>
          <w:sz w:val="22"/>
        </w:rPr>
        <w:t xml:space="preserve">de </w:t>
      </w:r>
      <w:r w:rsidR="005C5CDB" w:rsidRPr="00A86B8E">
        <w:rPr>
          <w:rFonts w:ascii="Arial" w:hAnsi="Arial" w:cs="Arial"/>
          <w:sz w:val="22"/>
        </w:rPr>
        <w:t>2023</w:t>
      </w:r>
      <w:r w:rsidRPr="00A86B8E">
        <w:rPr>
          <w:rFonts w:ascii="Arial" w:hAnsi="Arial" w:cs="Arial"/>
          <w:sz w:val="22"/>
        </w:rPr>
        <w:t>, mediante acuerdo CE/</w:t>
      </w:r>
      <w:r w:rsidR="004109AA" w:rsidRPr="00A86B8E">
        <w:rPr>
          <w:rFonts w:ascii="Arial" w:hAnsi="Arial" w:cs="Arial"/>
          <w:sz w:val="22"/>
        </w:rPr>
        <w:t>2023</w:t>
      </w:r>
      <w:r w:rsidRPr="00A86B8E">
        <w:rPr>
          <w:rFonts w:ascii="Arial" w:hAnsi="Arial" w:cs="Arial"/>
          <w:sz w:val="22"/>
        </w:rPr>
        <w:t>/04</w:t>
      </w:r>
      <w:r w:rsidR="004109AA" w:rsidRPr="00A86B8E">
        <w:rPr>
          <w:rFonts w:ascii="Arial" w:hAnsi="Arial" w:cs="Arial"/>
          <w:sz w:val="22"/>
        </w:rPr>
        <w:t>8</w:t>
      </w:r>
      <w:r w:rsidRPr="00A86B8E">
        <w:rPr>
          <w:rFonts w:ascii="Arial" w:hAnsi="Arial" w:cs="Arial"/>
          <w:sz w:val="22"/>
        </w:rPr>
        <w:t xml:space="preserve">, el Consejo Estatal determinó la cantidad de </w:t>
      </w:r>
      <w:r w:rsidR="00BF3557" w:rsidRPr="00A86B8E">
        <w:rPr>
          <w:rFonts w:ascii="Arial" w:hAnsi="Arial" w:cs="Arial"/>
          <w:b/>
          <w:bCs/>
          <w:sz w:val="22"/>
        </w:rPr>
        <w:t>$15’172,034.00 (quince millones ciento setenta y dos mil treinta y cuatro pesos 00/100 moneda nacional</w:t>
      </w:r>
      <w:r w:rsidR="004109AA" w:rsidRPr="00A86B8E">
        <w:rPr>
          <w:rFonts w:ascii="Arial" w:hAnsi="Arial" w:cs="Arial"/>
          <w:b/>
          <w:bCs/>
          <w:sz w:val="22"/>
        </w:rPr>
        <w:t xml:space="preserve">) </w:t>
      </w:r>
      <w:r w:rsidR="004109AA" w:rsidRPr="00A86B8E">
        <w:rPr>
          <w:rFonts w:ascii="Arial" w:hAnsi="Arial" w:cs="Arial"/>
          <w:sz w:val="22"/>
        </w:rPr>
        <w:t>como tope de gastos de campaña para la elección a la Gubernatura correspondiente al Proceso Electoral Local Ordinario 2023 – 2024.</w:t>
      </w:r>
    </w:p>
    <w:p w14:paraId="1658E1C4" w14:textId="77777777" w:rsidR="00B91CBF" w:rsidRPr="00A86B8E" w:rsidRDefault="00B91CBF" w:rsidP="00B91CBF">
      <w:pPr>
        <w:pStyle w:val="Ttulo2"/>
        <w:rPr>
          <w:rFonts w:ascii="Arial" w:hAnsi="Arial" w:cs="Arial"/>
          <w:sz w:val="22"/>
        </w:rPr>
      </w:pPr>
      <w:r w:rsidRPr="00A86B8E">
        <w:rPr>
          <w:rFonts w:ascii="Arial" w:hAnsi="Arial" w:cs="Arial"/>
          <w:sz w:val="22"/>
        </w:rPr>
        <w:t>Registro de partido político local</w:t>
      </w:r>
    </w:p>
    <w:p w14:paraId="58D58773" w14:textId="4BEC439E" w:rsidR="00B91CBF" w:rsidRPr="00A86B8E" w:rsidRDefault="00B91CBF" w:rsidP="00B91CBF">
      <w:pPr>
        <w:rPr>
          <w:rFonts w:ascii="Arial" w:hAnsi="Arial" w:cs="Arial"/>
          <w:sz w:val="22"/>
        </w:rPr>
      </w:pPr>
      <w:r w:rsidRPr="00A86B8E">
        <w:rPr>
          <w:rFonts w:ascii="Arial" w:hAnsi="Arial" w:cs="Arial"/>
          <w:sz w:val="22"/>
        </w:rPr>
        <w:t xml:space="preserve">El 25 de octubre de 2024, mediante acuerdo CE/2024/093, el Consejo Estatal </w:t>
      </w:r>
      <w:r w:rsidR="005559D3" w:rsidRPr="00A86B8E">
        <w:rPr>
          <w:rFonts w:ascii="Arial" w:hAnsi="Arial" w:cs="Arial"/>
          <w:sz w:val="22"/>
        </w:rPr>
        <w:t>aprobó</w:t>
      </w:r>
      <w:r w:rsidRPr="00A86B8E">
        <w:rPr>
          <w:rFonts w:ascii="Arial" w:hAnsi="Arial" w:cs="Arial"/>
          <w:sz w:val="22"/>
        </w:rPr>
        <w:t xml:space="preserve"> el registro como partido político local al Partido de la Revolución Democrática Tabasco.</w:t>
      </w:r>
      <w:r w:rsidR="000A1C00" w:rsidRPr="00A86B8E">
        <w:rPr>
          <w:rFonts w:ascii="Arial" w:hAnsi="Arial" w:cs="Arial"/>
          <w:sz w:val="22"/>
        </w:rPr>
        <w:t xml:space="preserve"> </w:t>
      </w:r>
    </w:p>
    <w:p w14:paraId="29DF6811" w14:textId="6AD9DA9E" w:rsidR="00376CF8" w:rsidRPr="00A86B8E" w:rsidRDefault="00376CF8" w:rsidP="00376CF8">
      <w:pPr>
        <w:pStyle w:val="Ttulo2"/>
        <w:rPr>
          <w:rFonts w:ascii="Arial" w:hAnsi="Arial" w:cs="Arial"/>
          <w:sz w:val="22"/>
        </w:rPr>
      </w:pPr>
      <w:r w:rsidRPr="00A86B8E">
        <w:rPr>
          <w:rFonts w:ascii="Arial" w:hAnsi="Arial" w:cs="Arial"/>
          <w:sz w:val="22"/>
        </w:rPr>
        <w:t>Determinación del financiamiento público</w:t>
      </w:r>
    </w:p>
    <w:p w14:paraId="6C30D529" w14:textId="525EB961" w:rsidR="00352C63" w:rsidRPr="00A86B8E" w:rsidRDefault="00352C63" w:rsidP="00352C63">
      <w:pPr>
        <w:rPr>
          <w:rFonts w:ascii="Arial" w:hAnsi="Arial" w:cs="Arial"/>
        </w:rPr>
      </w:pPr>
      <w:r w:rsidRPr="00A86B8E">
        <w:rPr>
          <w:rFonts w:ascii="Arial" w:hAnsi="Arial" w:cs="Arial"/>
          <w:sz w:val="22"/>
        </w:rPr>
        <w:t xml:space="preserve">El 8 de octubre de 2025, mediante acuerdo CE/2025/085, el Consejo Estatal determinó y distribuyó los montos de financiamiento público para el sostenimiento de actividades ordinarias permanentes y específicas de los partidos políticos para el ejercicio 2026. En ese sentido, se aprobó la cantidad de </w:t>
      </w:r>
      <w:r w:rsidRPr="00A86B8E">
        <w:rPr>
          <w:rFonts w:ascii="Arial" w:hAnsi="Arial" w:cs="Arial"/>
          <w:b/>
          <w:bCs/>
          <w:sz w:val="22"/>
        </w:rPr>
        <w:t>$77’246,133.62 (setenta y siete millones doscientos cuarenta y seis</w:t>
      </w:r>
      <w:r w:rsidR="000A1C00" w:rsidRPr="00A86B8E">
        <w:rPr>
          <w:rFonts w:ascii="Arial" w:hAnsi="Arial" w:cs="Arial"/>
          <w:b/>
          <w:bCs/>
          <w:sz w:val="22"/>
        </w:rPr>
        <w:t xml:space="preserve"> mil </w:t>
      </w:r>
      <w:r w:rsidRPr="00A86B8E">
        <w:rPr>
          <w:rFonts w:ascii="Arial" w:hAnsi="Arial" w:cs="Arial"/>
          <w:b/>
          <w:bCs/>
          <w:sz w:val="22"/>
        </w:rPr>
        <w:t>ciento treinta y tres pesos 62/100 m. n.)</w:t>
      </w:r>
      <w:r w:rsidRPr="00A86B8E">
        <w:rPr>
          <w:rFonts w:ascii="Arial" w:hAnsi="Arial" w:cs="Arial"/>
          <w:sz w:val="22"/>
        </w:rPr>
        <w:t xml:space="preserve"> por concepto de financiamiento público</w:t>
      </w:r>
      <w:r w:rsidRPr="00A86B8E">
        <w:rPr>
          <w:rFonts w:ascii="Arial" w:hAnsi="Arial" w:cs="Arial"/>
        </w:rPr>
        <w:t xml:space="preserve"> local conformada y distribuida de la siguiente manera:</w:t>
      </w: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97"/>
        <w:gridCol w:w="1843"/>
        <w:gridCol w:w="1701"/>
        <w:gridCol w:w="1887"/>
      </w:tblGrid>
      <w:tr w:rsidR="00352C63" w:rsidRPr="00A86B8E" w14:paraId="714D67AC" w14:textId="77777777" w:rsidTr="00B879D9">
        <w:trPr>
          <w:jc w:val="center"/>
        </w:trPr>
        <w:tc>
          <w:tcPr>
            <w:tcW w:w="3397" w:type="dxa"/>
            <w:vMerge w:val="restart"/>
            <w:shd w:val="clear" w:color="auto" w:fill="993366"/>
            <w:vAlign w:val="center"/>
          </w:tcPr>
          <w:p w14:paraId="286E6A9A" w14:textId="77777777" w:rsidR="00352C63" w:rsidRPr="00A86B8E" w:rsidRDefault="00352C63" w:rsidP="00B879D9">
            <w:pPr>
              <w:spacing w:before="40" w:after="40"/>
              <w:jc w:val="center"/>
              <w:rPr>
                <w:rFonts w:ascii="Arial" w:hAnsi="Arial" w:cs="Arial"/>
                <w:b/>
                <w:color w:val="FFFFFF" w:themeColor="background1"/>
                <w:sz w:val="18"/>
                <w:szCs w:val="18"/>
              </w:rPr>
            </w:pPr>
            <w:r w:rsidRPr="00A86B8E">
              <w:rPr>
                <w:rFonts w:ascii="Arial" w:hAnsi="Arial" w:cs="Arial"/>
                <w:b/>
                <w:color w:val="FFFFFF" w:themeColor="background1"/>
                <w:sz w:val="18"/>
                <w:szCs w:val="18"/>
              </w:rPr>
              <w:t>Partidos</w:t>
            </w:r>
          </w:p>
        </w:tc>
        <w:tc>
          <w:tcPr>
            <w:tcW w:w="3544" w:type="dxa"/>
            <w:gridSpan w:val="2"/>
            <w:shd w:val="clear" w:color="auto" w:fill="993366"/>
            <w:vAlign w:val="center"/>
          </w:tcPr>
          <w:p w14:paraId="2EFC4E38" w14:textId="77777777" w:rsidR="00352C63" w:rsidRPr="00A86B8E" w:rsidRDefault="00352C63" w:rsidP="00B879D9">
            <w:pPr>
              <w:spacing w:before="40" w:after="40"/>
              <w:jc w:val="center"/>
              <w:rPr>
                <w:rFonts w:ascii="Arial" w:hAnsi="Arial" w:cs="Arial"/>
                <w:b/>
                <w:color w:val="FFFFFF" w:themeColor="background1"/>
                <w:sz w:val="18"/>
                <w:szCs w:val="18"/>
              </w:rPr>
            </w:pPr>
            <w:r w:rsidRPr="00A86B8E">
              <w:rPr>
                <w:rFonts w:ascii="Arial" w:hAnsi="Arial" w:cs="Arial"/>
                <w:b/>
                <w:color w:val="FFFFFF" w:themeColor="background1"/>
                <w:sz w:val="18"/>
                <w:szCs w:val="18"/>
              </w:rPr>
              <w:t>Financiamiento público local</w:t>
            </w:r>
          </w:p>
        </w:tc>
        <w:tc>
          <w:tcPr>
            <w:tcW w:w="1887" w:type="dxa"/>
            <w:vMerge w:val="restart"/>
            <w:shd w:val="clear" w:color="auto" w:fill="993366"/>
            <w:vAlign w:val="center"/>
          </w:tcPr>
          <w:p w14:paraId="20517DA2" w14:textId="77777777" w:rsidR="00352C63" w:rsidRPr="00A86B8E" w:rsidRDefault="00352C63" w:rsidP="00B879D9">
            <w:pPr>
              <w:spacing w:before="40" w:after="40"/>
              <w:jc w:val="center"/>
              <w:rPr>
                <w:rFonts w:ascii="Arial" w:hAnsi="Arial" w:cs="Arial"/>
                <w:b/>
                <w:color w:val="FFFFFF" w:themeColor="background1"/>
                <w:sz w:val="18"/>
                <w:szCs w:val="18"/>
              </w:rPr>
            </w:pPr>
            <w:r w:rsidRPr="00A86B8E">
              <w:rPr>
                <w:rFonts w:ascii="Arial" w:hAnsi="Arial" w:cs="Arial"/>
                <w:b/>
                <w:color w:val="FFFFFF" w:themeColor="background1"/>
                <w:sz w:val="18"/>
                <w:szCs w:val="18"/>
              </w:rPr>
              <w:t>Totales</w:t>
            </w:r>
          </w:p>
        </w:tc>
      </w:tr>
      <w:tr w:rsidR="00352C63" w:rsidRPr="00A86B8E" w14:paraId="5535C258" w14:textId="77777777" w:rsidTr="00B879D9">
        <w:trPr>
          <w:jc w:val="center"/>
        </w:trPr>
        <w:tc>
          <w:tcPr>
            <w:tcW w:w="3397" w:type="dxa"/>
            <w:vMerge/>
            <w:vAlign w:val="center"/>
          </w:tcPr>
          <w:p w14:paraId="418F17B0" w14:textId="77777777" w:rsidR="00352C63" w:rsidRPr="00A86B8E" w:rsidRDefault="00352C63" w:rsidP="00B879D9">
            <w:pPr>
              <w:spacing w:before="40" w:after="40"/>
              <w:rPr>
                <w:rFonts w:ascii="Arial" w:hAnsi="Arial" w:cs="Arial"/>
                <w:b/>
                <w:sz w:val="18"/>
                <w:szCs w:val="18"/>
              </w:rPr>
            </w:pPr>
          </w:p>
        </w:tc>
        <w:tc>
          <w:tcPr>
            <w:tcW w:w="1843" w:type="dxa"/>
            <w:shd w:val="clear" w:color="auto" w:fill="993366"/>
            <w:vAlign w:val="center"/>
          </w:tcPr>
          <w:p w14:paraId="298C8B7D" w14:textId="77777777" w:rsidR="00352C63" w:rsidRPr="00A86B8E" w:rsidRDefault="00352C63" w:rsidP="00B879D9">
            <w:pPr>
              <w:spacing w:before="40" w:after="40"/>
              <w:jc w:val="center"/>
              <w:rPr>
                <w:rFonts w:ascii="Arial" w:hAnsi="Arial" w:cs="Arial"/>
                <w:b/>
                <w:color w:val="FFFFFF" w:themeColor="background1"/>
                <w:sz w:val="18"/>
                <w:szCs w:val="18"/>
              </w:rPr>
            </w:pPr>
            <w:r w:rsidRPr="00A86B8E">
              <w:rPr>
                <w:rFonts w:ascii="Arial" w:hAnsi="Arial" w:cs="Arial"/>
                <w:b/>
                <w:color w:val="FFFFFF" w:themeColor="background1"/>
                <w:sz w:val="18"/>
                <w:szCs w:val="18"/>
              </w:rPr>
              <w:t>Para actividades ordinarias</w:t>
            </w:r>
          </w:p>
        </w:tc>
        <w:tc>
          <w:tcPr>
            <w:tcW w:w="1701" w:type="dxa"/>
            <w:shd w:val="clear" w:color="auto" w:fill="993366"/>
            <w:vAlign w:val="center"/>
          </w:tcPr>
          <w:p w14:paraId="0FCFF801" w14:textId="77777777" w:rsidR="00352C63" w:rsidRPr="00A86B8E" w:rsidRDefault="00352C63" w:rsidP="00B879D9">
            <w:pPr>
              <w:spacing w:before="40" w:after="40"/>
              <w:jc w:val="center"/>
              <w:rPr>
                <w:rFonts w:ascii="Arial" w:hAnsi="Arial" w:cs="Arial"/>
                <w:b/>
                <w:color w:val="FFFFFF" w:themeColor="background1"/>
                <w:sz w:val="18"/>
                <w:szCs w:val="18"/>
              </w:rPr>
            </w:pPr>
            <w:r w:rsidRPr="00A86B8E">
              <w:rPr>
                <w:rFonts w:ascii="Arial" w:hAnsi="Arial" w:cs="Arial"/>
                <w:b/>
                <w:color w:val="FFFFFF" w:themeColor="background1"/>
                <w:sz w:val="18"/>
                <w:szCs w:val="18"/>
              </w:rPr>
              <w:t>Para actividades específicas</w:t>
            </w:r>
          </w:p>
        </w:tc>
        <w:tc>
          <w:tcPr>
            <w:tcW w:w="1887" w:type="dxa"/>
            <w:vMerge/>
            <w:vAlign w:val="center"/>
          </w:tcPr>
          <w:p w14:paraId="3869FDAE" w14:textId="77777777" w:rsidR="00352C63" w:rsidRPr="00A86B8E" w:rsidRDefault="00352C63" w:rsidP="00B879D9">
            <w:pPr>
              <w:spacing w:before="40" w:after="40"/>
              <w:rPr>
                <w:rFonts w:ascii="Arial" w:hAnsi="Arial" w:cs="Arial"/>
                <w:sz w:val="18"/>
                <w:szCs w:val="18"/>
              </w:rPr>
            </w:pPr>
          </w:p>
        </w:tc>
      </w:tr>
      <w:tr w:rsidR="00352C63" w:rsidRPr="00A86B8E" w14:paraId="322BEEA6" w14:textId="77777777" w:rsidTr="00B879D9">
        <w:trPr>
          <w:jc w:val="center"/>
        </w:trPr>
        <w:tc>
          <w:tcPr>
            <w:tcW w:w="3397" w:type="dxa"/>
            <w:vAlign w:val="center"/>
          </w:tcPr>
          <w:p w14:paraId="0A6D8469" w14:textId="77777777" w:rsidR="00352C63" w:rsidRPr="00A86B8E" w:rsidRDefault="00352C63" w:rsidP="00B879D9">
            <w:pPr>
              <w:spacing w:before="40" w:after="40"/>
              <w:rPr>
                <w:rFonts w:ascii="Arial" w:hAnsi="Arial" w:cs="Arial"/>
                <w:sz w:val="18"/>
                <w:szCs w:val="18"/>
              </w:rPr>
            </w:pPr>
            <w:r w:rsidRPr="00A86B8E">
              <w:rPr>
                <w:rFonts w:ascii="Arial" w:hAnsi="Arial" w:cs="Arial"/>
                <w:b/>
                <w:bCs/>
                <w:spacing w:val="-10"/>
                <w:sz w:val="18"/>
                <w:szCs w:val="18"/>
              </w:rPr>
              <w:t>Partido Revolucionario Institucional</w:t>
            </w:r>
          </w:p>
        </w:tc>
        <w:tc>
          <w:tcPr>
            <w:tcW w:w="1843" w:type="dxa"/>
            <w:vAlign w:val="center"/>
          </w:tcPr>
          <w:p w14:paraId="267D6CD7" w14:textId="77777777" w:rsidR="00352C63" w:rsidRPr="00A86B8E" w:rsidRDefault="00352C63" w:rsidP="00B879D9">
            <w:pPr>
              <w:spacing w:before="40" w:after="40"/>
              <w:ind w:right="170"/>
              <w:jc w:val="right"/>
              <w:rPr>
                <w:rFonts w:ascii="Arial" w:hAnsi="Arial" w:cs="Arial"/>
                <w:b/>
                <w:sz w:val="18"/>
                <w:szCs w:val="18"/>
              </w:rPr>
            </w:pPr>
            <w:r w:rsidRPr="00A86B8E">
              <w:rPr>
                <w:rFonts w:ascii="Arial" w:hAnsi="Arial" w:cs="Arial"/>
                <w:b/>
                <w:sz w:val="18"/>
                <w:szCs w:val="18"/>
              </w:rPr>
              <w:t>$4’969,487.88</w:t>
            </w:r>
          </w:p>
        </w:tc>
        <w:tc>
          <w:tcPr>
            <w:tcW w:w="1701" w:type="dxa"/>
            <w:vAlign w:val="center"/>
          </w:tcPr>
          <w:p w14:paraId="34C52C87" w14:textId="77777777" w:rsidR="00352C63" w:rsidRPr="00A86B8E" w:rsidRDefault="00352C63" w:rsidP="00B879D9">
            <w:pPr>
              <w:spacing w:before="40" w:after="40"/>
              <w:ind w:right="170"/>
              <w:jc w:val="right"/>
              <w:rPr>
                <w:rFonts w:ascii="Arial" w:hAnsi="Arial" w:cs="Arial"/>
                <w:b/>
                <w:sz w:val="18"/>
                <w:szCs w:val="18"/>
              </w:rPr>
            </w:pPr>
            <w:r w:rsidRPr="00A86B8E">
              <w:rPr>
                <w:rFonts w:ascii="Arial" w:hAnsi="Arial" w:cs="Arial"/>
                <w:b/>
                <w:sz w:val="18"/>
                <w:szCs w:val="18"/>
              </w:rPr>
              <w:t>$149,084.64</w:t>
            </w:r>
          </w:p>
        </w:tc>
        <w:tc>
          <w:tcPr>
            <w:tcW w:w="1887" w:type="dxa"/>
            <w:vAlign w:val="center"/>
          </w:tcPr>
          <w:p w14:paraId="0B4A0845" w14:textId="3309D54E" w:rsidR="00352C63" w:rsidRPr="00A86B8E" w:rsidRDefault="00352C63" w:rsidP="00B879D9">
            <w:pPr>
              <w:spacing w:before="40" w:after="40"/>
              <w:ind w:right="170"/>
              <w:jc w:val="right"/>
              <w:rPr>
                <w:rFonts w:ascii="Arial" w:hAnsi="Arial" w:cs="Arial"/>
                <w:b/>
                <w:sz w:val="18"/>
                <w:szCs w:val="18"/>
              </w:rPr>
            </w:pPr>
            <w:r w:rsidRPr="00A86B8E">
              <w:rPr>
                <w:rFonts w:ascii="Arial" w:hAnsi="Arial" w:cs="Arial"/>
                <w:b/>
                <w:sz w:val="18"/>
                <w:szCs w:val="18"/>
              </w:rPr>
              <w:t>$5’118</w:t>
            </w:r>
            <w:r w:rsidR="004D6E47" w:rsidRPr="00A86B8E">
              <w:rPr>
                <w:rFonts w:ascii="Arial" w:hAnsi="Arial" w:cs="Arial"/>
                <w:b/>
                <w:sz w:val="18"/>
                <w:szCs w:val="18"/>
              </w:rPr>
              <w:t>,</w:t>
            </w:r>
            <w:r w:rsidRPr="00A86B8E">
              <w:rPr>
                <w:rFonts w:ascii="Arial" w:hAnsi="Arial" w:cs="Arial"/>
                <w:b/>
                <w:sz w:val="18"/>
                <w:szCs w:val="18"/>
              </w:rPr>
              <w:t>572.52</w:t>
            </w:r>
          </w:p>
        </w:tc>
      </w:tr>
      <w:tr w:rsidR="00352C63" w:rsidRPr="00A86B8E" w14:paraId="06DDFC8F" w14:textId="77777777" w:rsidTr="00B879D9">
        <w:trPr>
          <w:jc w:val="center"/>
        </w:trPr>
        <w:tc>
          <w:tcPr>
            <w:tcW w:w="3397" w:type="dxa"/>
            <w:vAlign w:val="center"/>
          </w:tcPr>
          <w:p w14:paraId="5A6F16E4" w14:textId="0F59DB31" w:rsidR="00352C63" w:rsidRPr="00A86B8E" w:rsidRDefault="00352C63" w:rsidP="00B879D9">
            <w:pPr>
              <w:spacing w:before="40" w:after="40"/>
              <w:rPr>
                <w:rFonts w:ascii="Arial" w:hAnsi="Arial" w:cs="Arial"/>
                <w:sz w:val="18"/>
                <w:szCs w:val="18"/>
              </w:rPr>
            </w:pPr>
            <w:r w:rsidRPr="00A86B8E">
              <w:rPr>
                <w:rFonts w:ascii="Arial" w:hAnsi="Arial" w:cs="Arial"/>
                <w:b/>
                <w:bCs/>
                <w:spacing w:val="-10"/>
                <w:sz w:val="18"/>
                <w:szCs w:val="18"/>
              </w:rPr>
              <w:t>Partido de la Revolución Democrática</w:t>
            </w:r>
            <w:r w:rsidR="004D6E47" w:rsidRPr="00A86B8E">
              <w:rPr>
                <w:rFonts w:ascii="Arial" w:hAnsi="Arial" w:cs="Arial"/>
                <w:b/>
                <w:bCs/>
                <w:spacing w:val="-10"/>
                <w:sz w:val="18"/>
                <w:szCs w:val="18"/>
              </w:rPr>
              <w:t xml:space="preserve"> Tabasco</w:t>
            </w:r>
          </w:p>
        </w:tc>
        <w:tc>
          <w:tcPr>
            <w:tcW w:w="1843" w:type="dxa"/>
            <w:vAlign w:val="center"/>
          </w:tcPr>
          <w:p w14:paraId="72CE18B1" w14:textId="100FBB6C" w:rsidR="00352C63" w:rsidRPr="00A86B8E" w:rsidRDefault="00352C63" w:rsidP="00B879D9">
            <w:pPr>
              <w:spacing w:before="40" w:after="40"/>
              <w:ind w:right="170"/>
              <w:jc w:val="right"/>
              <w:rPr>
                <w:rFonts w:ascii="Arial" w:hAnsi="Arial" w:cs="Arial"/>
                <w:b/>
                <w:sz w:val="18"/>
                <w:szCs w:val="18"/>
              </w:rPr>
            </w:pPr>
            <w:r w:rsidRPr="00A86B8E">
              <w:rPr>
                <w:rFonts w:ascii="Arial" w:hAnsi="Arial" w:cs="Arial"/>
                <w:b/>
                <w:sz w:val="18"/>
                <w:szCs w:val="18"/>
              </w:rPr>
              <w:t>$16</w:t>
            </w:r>
            <w:r w:rsidR="00141C4E" w:rsidRPr="00A86B8E">
              <w:rPr>
                <w:rFonts w:ascii="Arial" w:hAnsi="Arial" w:cs="Arial"/>
                <w:b/>
                <w:sz w:val="18"/>
                <w:szCs w:val="18"/>
              </w:rPr>
              <w:t>’</w:t>
            </w:r>
            <w:r w:rsidRPr="00A86B8E">
              <w:rPr>
                <w:rFonts w:ascii="Arial" w:hAnsi="Arial" w:cs="Arial"/>
                <w:b/>
                <w:sz w:val="18"/>
                <w:szCs w:val="18"/>
              </w:rPr>
              <w:t>10,292.97</w:t>
            </w:r>
          </w:p>
        </w:tc>
        <w:tc>
          <w:tcPr>
            <w:tcW w:w="1701" w:type="dxa"/>
            <w:vAlign w:val="center"/>
          </w:tcPr>
          <w:p w14:paraId="679645C5" w14:textId="77777777" w:rsidR="00352C63" w:rsidRPr="00A86B8E" w:rsidRDefault="00352C63" w:rsidP="00B879D9">
            <w:pPr>
              <w:spacing w:before="40" w:after="40"/>
              <w:ind w:right="170"/>
              <w:jc w:val="right"/>
              <w:rPr>
                <w:rFonts w:ascii="Arial" w:hAnsi="Arial" w:cs="Arial"/>
                <w:b/>
                <w:sz w:val="18"/>
                <w:szCs w:val="18"/>
              </w:rPr>
            </w:pPr>
            <w:r w:rsidRPr="00A86B8E">
              <w:rPr>
                <w:rFonts w:ascii="Arial" w:hAnsi="Arial" w:cs="Arial"/>
                <w:b/>
                <w:sz w:val="18"/>
                <w:szCs w:val="18"/>
              </w:rPr>
              <w:t>$483,308.79</w:t>
            </w:r>
          </w:p>
        </w:tc>
        <w:tc>
          <w:tcPr>
            <w:tcW w:w="1887" w:type="dxa"/>
            <w:vAlign w:val="center"/>
          </w:tcPr>
          <w:p w14:paraId="0AFF7FFE" w14:textId="77777777" w:rsidR="00352C63" w:rsidRPr="00A86B8E" w:rsidRDefault="00352C63" w:rsidP="00B879D9">
            <w:pPr>
              <w:spacing w:before="40" w:after="40"/>
              <w:ind w:right="170"/>
              <w:jc w:val="right"/>
              <w:rPr>
                <w:rFonts w:ascii="Arial" w:hAnsi="Arial" w:cs="Arial"/>
                <w:b/>
                <w:sz w:val="18"/>
                <w:szCs w:val="18"/>
              </w:rPr>
            </w:pPr>
            <w:r w:rsidRPr="00A86B8E">
              <w:rPr>
                <w:rFonts w:ascii="Arial" w:hAnsi="Arial" w:cs="Arial"/>
                <w:b/>
                <w:sz w:val="18"/>
                <w:szCs w:val="18"/>
              </w:rPr>
              <w:t>$16’593,601.76</w:t>
            </w:r>
          </w:p>
        </w:tc>
      </w:tr>
      <w:tr w:rsidR="00352C63" w:rsidRPr="00A86B8E" w14:paraId="10FDA288" w14:textId="77777777" w:rsidTr="00B879D9">
        <w:trPr>
          <w:jc w:val="center"/>
        </w:trPr>
        <w:tc>
          <w:tcPr>
            <w:tcW w:w="3397" w:type="dxa"/>
            <w:vAlign w:val="center"/>
          </w:tcPr>
          <w:p w14:paraId="0D2E9FCB" w14:textId="77777777" w:rsidR="00352C63" w:rsidRPr="00A86B8E" w:rsidRDefault="00352C63" w:rsidP="00B879D9">
            <w:pPr>
              <w:spacing w:before="40" w:after="40"/>
              <w:rPr>
                <w:rFonts w:ascii="Arial" w:hAnsi="Arial" w:cs="Arial"/>
                <w:sz w:val="18"/>
                <w:szCs w:val="18"/>
              </w:rPr>
            </w:pPr>
            <w:r w:rsidRPr="00A86B8E">
              <w:rPr>
                <w:rFonts w:ascii="Arial" w:hAnsi="Arial" w:cs="Arial"/>
                <w:b/>
                <w:bCs/>
                <w:spacing w:val="-10"/>
                <w:sz w:val="18"/>
                <w:szCs w:val="18"/>
              </w:rPr>
              <w:t>Partido Verde Ecologista de México</w:t>
            </w:r>
          </w:p>
        </w:tc>
        <w:tc>
          <w:tcPr>
            <w:tcW w:w="1843" w:type="dxa"/>
            <w:vAlign w:val="center"/>
          </w:tcPr>
          <w:p w14:paraId="50B4D7CE" w14:textId="77777777" w:rsidR="00352C63" w:rsidRPr="00A86B8E" w:rsidRDefault="00352C63" w:rsidP="00B879D9">
            <w:pPr>
              <w:spacing w:before="40" w:after="40"/>
              <w:ind w:right="170"/>
              <w:jc w:val="right"/>
              <w:rPr>
                <w:rFonts w:ascii="Arial" w:hAnsi="Arial" w:cs="Arial"/>
                <w:b/>
                <w:sz w:val="18"/>
                <w:szCs w:val="18"/>
              </w:rPr>
            </w:pPr>
            <w:r w:rsidRPr="00A86B8E">
              <w:rPr>
                <w:rFonts w:ascii="Arial" w:hAnsi="Arial" w:cs="Arial"/>
                <w:b/>
                <w:sz w:val="18"/>
                <w:szCs w:val="18"/>
              </w:rPr>
              <w:t>$7,053,088.86</w:t>
            </w:r>
          </w:p>
        </w:tc>
        <w:tc>
          <w:tcPr>
            <w:tcW w:w="1701" w:type="dxa"/>
            <w:vAlign w:val="center"/>
          </w:tcPr>
          <w:p w14:paraId="44C7E85B" w14:textId="77777777" w:rsidR="00352C63" w:rsidRPr="00A86B8E" w:rsidRDefault="00352C63" w:rsidP="00B879D9">
            <w:pPr>
              <w:spacing w:before="40" w:after="40"/>
              <w:ind w:right="170"/>
              <w:jc w:val="right"/>
              <w:rPr>
                <w:rFonts w:ascii="Arial" w:hAnsi="Arial" w:cs="Arial"/>
                <w:b/>
                <w:sz w:val="18"/>
                <w:szCs w:val="18"/>
              </w:rPr>
            </w:pPr>
            <w:r w:rsidRPr="00A86B8E">
              <w:rPr>
                <w:rFonts w:ascii="Arial" w:hAnsi="Arial" w:cs="Arial"/>
                <w:b/>
                <w:sz w:val="18"/>
                <w:szCs w:val="18"/>
              </w:rPr>
              <w:t>$211,592.67</w:t>
            </w:r>
          </w:p>
        </w:tc>
        <w:tc>
          <w:tcPr>
            <w:tcW w:w="1887" w:type="dxa"/>
            <w:vAlign w:val="center"/>
          </w:tcPr>
          <w:p w14:paraId="4429C1D3" w14:textId="77777777" w:rsidR="00352C63" w:rsidRPr="00A86B8E" w:rsidRDefault="00352C63" w:rsidP="00B879D9">
            <w:pPr>
              <w:spacing w:before="40" w:after="40"/>
              <w:ind w:right="170"/>
              <w:jc w:val="right"/>
              <w:rPr>
                <w:rFonts w:ascii="Arial" w:hAnsi="Arial" w:cs="Arial"/>
                <w:b/>
                <w:sz w:val="18"/>
                <w:szCs w:val="18"/>
              </w:rPr>
            </w:pPr>
            <w:r w:rsidRPr="00A86B8E">
              <w:rPr>
                <w:rFonts w:ascii="Arial" w:hAnsi="Arial" w:cs="Arial"/>
                <w:b/>
                <w:sz w:val="18"/>
                <w:szCs w:val="18"/>
              </w:rPr>
              <w:t>$7’264,681.53</w:t>
            </w:r>
          </w:p>
        </w:tc>
      </w:tr>
      <w:tr w:rsidR="00352C63" w:rsidRPr="00A86B8E" w14:paraId="0F53C645" w14:textId="77777777" w:rsidTr="00B879D9">
        <w:trPr>
          <w:jc w:val="center"/>
        </w:trPr>
        <w:tc>
          <w:tcPr>
            <w:tcW w:w="3397" w:type="dxa"/>
            <w:vAlign w:val="center"/>
          </w:tcPr>
          <w:p w14:paraId="6D50FDF1" w14:textId="77777777" w:rsidR="00352C63" w:rsidRPr="00A86B8E" w:rsidRDefault="00352C63" w:rsidP="00B879D9">
            <w:pPr>
              <w:spacing w:before="40" w:after="40"/>
              <w:rPr>
                <w:rFonts w:ascii="Arial" w:hAnsi="Arial" w:cs="Arial"/>
                <w:sz w:val="18"/>
                <w:szCs w:val="18"/>
              </w:rPr>
            </w:pPr>
            <w:r w:rsidRPr="00A86B8E">
              <w:rPr>
                <w:rFonts w:ascii="Arial" w:hAnsi="Arial" w:cs="Arial"/>
                <w:b/>
                <w:bCs/>
                <w:spacing w:val="-10"/>
                <w:sz w:val="18"/>
                <w:szCs w:val="18"/>
              </w:rPr>
              <w:t>Partido del Trabajo</w:t>
            </w:r>
          </w:p>
        </w:tc>
        <w:tc>
          <w:tcPr>
            <w:tcW w:w="1843" w:type="dxa"/>
            <w:vAlign w:val="center"/>
          </w:tcPr>
          <w:p w14:paraId="572AEBC7" w14:textId="77777777" w:rsidR="00352C63" w:rsidRPr="00A86B8E" w:rsidRDefault="00352C63" w:rsidP="00B879D9">
            <w:pPr>
              <w:spacing w:before="40" w:after="40"/>
              <w:ind w:right="170"/>
              <w:jc w:val="right"/>
              <w:rPr>
                <w:rFonts w:ascii="Arial" w:hAnsi="Arial" w:cs="Arial"/>
                <w:b/>
                <w:sz w:val="18"/>
                <w:szCs w:val="18"/>
              </w:rPr>
            </w:pPr>
            <w:r w:rsidRPr="00A86B8E">
              <w:rPr>
                <w:rFonts w:ascii="Arial" w:hAnsi="Arial" w:cs="Arial"/>
                <w:b/>
                <w:sz w:val="18"/>
                <w:szCs w:val="18"/>
              </w:rPr>
              <w:t>$7’009,668.72</w:t>
            </w:r>
          </w:p>
        </w:tc>
        <w:tc>
          <w:tcPr>
            <w:tcW w:w="1701" w:type="dxa"/>
            <w:vAlign w:val="center"/>
          </w:tcPr>
          <w:p w14:paraId="24A41A6B" w14:textId="77777777" w:rsidR="00352C63" w:rsidRPr="00A86B8E" w:rsidRDefault="00352C63" w:rsidP="00B879D9">
            <w:pPr>
              <w:spacing w:before="40" w:after="40"/>
              <w:ind w:right="170"/>
              <w:jc w:val="right"/>
              <w:rPr>
                <w:rFonts w:ascii="Arial" w:hAnsi="Arial" w:cs="Arial"/>
                <w:b/>
                <w:sz w:val="18"/>
                <w:szCs w:val="18"/>
              </w:rPr>
            </w:pPr>
            <w:r w:rsidRPr="00A86B8E">
              <w:rPr>
                <w:rFonts w:ascii="Arial" w:hAnsi="Arial" w:cs="Arial"/>
                <w:b/>
                <w:sz w:val="18"/>
                <w:szCs w:val="18"/>
              </w:rPr>
              <w:t>$210,290.06</w:t>
            </w:r>
          </w:p>
        </w:tc>
        <w:tc>
          <w:tcPr>
            <w:tcW w:w="1887" w:type="dxa"/>
            <w:vAlign w:val="center"/>
          </w:tcPr>
          <w:p w14:paraId="46964EA4" w14:textId="77777777" w:rsidR="00352C63" w:rsidRPr="00A86B8E" w:rsidRDefault="00352C63" w:rsidP="00B879D9">
            <w:pPr>
              <w:spacing w:before="40" w:after="40"/>
              <w:ind w:right="170"/>
              <w:jc w:val="right"/>
              <w:rPr>
                <w:rFonts w:ascii="Arial" w:hAnsi="Arial" w:cs="Arial"/>
                <w:b/>
                <w:sz w:val="18"/>
                <w:szCs w:val="18"/>
              </w:rPr>
            </w:pPr>
            <w:r w:rsidRPr="00A86B8E">
              <w:rPr>
                <w:rFonts w:ascii="Arial" w:hAnsi="Arial" w:cs="Arial"/>
                <w:b/>
                <w:sz w:val="18"/>
                <w:szCs w:val="18"/>
              </w:rPr>
              <w:t>$7’219,958.78</w:t>
            </w:r>
          </w:p>
        </w:tc>
      </w:tr>
      <w:tr w:rsidR="00352C63" w:rsidRPr="00A86B8E" w14:paraId="4E582140" w14:textId="77777777" w:rsidTr="00B879D9">
        <w:trPr>
          <w:jc w:val="center"/>
        </w:trPr>
        <w:tc>
          <w:tcPr>
            <w:tcW w:w="3397" w:type="dxa"/>
            <w:tcBorders>
              <w:bottom w:val="single" w:sz="4" w:space="0" w:color="BFBFBF" w:themeColor="background1" w:themeShade="BF"/>
            </w:tcBorders>
            <w:vAlign w:val="center"/>
          </w:tcPr>
          <w:p w14:paraId="1BE9ECA2" w14:textId="77777777" w:rsidR="00352C63" w:rsidRPr="00A86B8E" w:rsidRDefault="00352C63" w:rsidP="00B879D9">
            <w:pPr>
              <w:spacing w:before="40" w:after="40"/>
              <w:rPr>
                <w:rFonts w:ascii="Arial" w:hAnsi="Arial" w:cs="Arial"/>
                <w:sz w:val="18"/>
                <w:szCs w:val="18"/>
              </w:rPr>
            </w:pPr>
            <w:r w:rsidRPr="00A86B8E">
              <w:rPr>
                <w:rFonts w:ascii="Arial" w:hAnsi="Arial" w:cs="Arial"/>
                <w:b/>
                <w:bCs/>
                <w:spacing w:val="-10"/>
                <w:sz w:val="18"/>
                <w:szCs w:val="18"/>
              </w:rPr>
              <w:t>Partido Movimiento Ciudadano</w:t>
            </w:r>
          </w:p>
        </w:tc>
        <w:tc>
          <w:tcPr>
            <w:tcW w:w="1843" w:type="dxa"/>
            <w:tcBorders>
              <w:bottom w:val="single" w:sz="4" w:space="0" w:color="BFBFBF" w:themeColor="background1" w:themeShade="BF"/>
            </w:tcBorders>
            <w:vAlign w:val="center"/>
          </w:tcPr>
          <w:p w14:paraId="7827B2BA" w14:textId="77777777" w:rsidR="00352C63" w:rsidRPr="00A86B8E" w:rsidRDefault="00352C63" w:rsidP="00B879D9">
            <w:pPr>
              <w:spacing w:before="40" w:after="40"/>
              <w:ind w:right="170"/>
              <w:jc w:val="right"/>
              <w:rPr>
                <w:rFonts w:ascii="Arial" w:hAnsi="Arial" w:cs="Arial"/>
                <w:b/>
                <w:sz w:val="18"/>
                <w:szCs w:val="18"/>
              </w:rPr>
            </w:pPr>
            <w:r w:rsidRPr="00A86B8E">
              <w:rPr>
                <w:rFonts w:ascii="Arial" w:hAnsi="Arial" w:cs="Arial"/>
                <w:b/>
                <w:sz w:val="18"/>
                <w:szCs w:val="18"/>
              </w:rPr>
              <w:t>$7’225,826.53</w:t>
            </w:r>
          </w:p>
        </w:tc>
        <w:tc>
          <w:tcPr>
            <w:tcW w:w="1701" w:type="dxa"/>
            <w:tcBorders>
              <w:bottom w:val="single" w:sz="4" w:space="0" w:color="BFBFBF" w:themeColor="background1" w:themeShade="BF"/>
            </w:tcBorders>
            <w:vAlign w:val="center"/>
          </w:tcPr>
          <w:p w14:paraId="26008C66" w14:textId="77777777" w:rsidR="00352C63" w:rsidRPr="00A86B8E" w:rsidRDefault="00352C63" w:rsidP="00B879D9">
            <w:pPr>
              <w:spacing w:before="40" w:after="40"/>
              <w:ind w:right="170"/>
              <w:jc w:val="right"/>
              <w:rPr>
                <w:rFonts w:ascii="Arial" w:hAnsi="Arial" w:cs="Arial"/>
                <w:b/>
                <w:sz w:val="18"/>
                <w:szCs w:val="18"/>
              </w:rPr>
            </w:pPr>
            <w:r w:rsidRPr="00A86B8E">
              <w:rPr>
                <w:rFonts w:ascii="Arial" w:hAnsi="Arial" w:cs="Arial"/>
                <w:b/>
                <w:sz w:val="18"/>
                <w:szCs w:val="18"/>
              </w:rPr>
              <w:t>$216,774.80</w:t>
            </w:r>
          </w:p>
        </w:tc>
        <w:tc>
          <w:tcPr>
            <w:tcW w:w="1887" w:type="dxa"/>
            <w:tcBorders>
              <w:bottom w:val="single" w:sz="4" w:space="0" w:color="BFBFBF" w:themeColor="background1" w:themeShade="BF"/>
            </w:tcBorders>
            <w:vAlign w:val="center"/>
          </w:tcPr>
          <w:p w14:paraId="7E16DE39" w14:textId="77777777" w:rsidR="00352C63" w:rsidRPr="00A86B8E" w:rsidRDefault="00352C63" w:rsidP="00B879D9">
            <w:pPr>
              <w:spacing w:before="40" w:after="40"/>
              <w:ind w:right="170"/>
              <w:jc w:val="right"/>
              <w:rPr>
                <w:rFonts w:ascii="Arial" w:hAnsi="Arial" w:cs="Arial"/>
                <w:b/>
                <w:sz w:val="18"/>
                <w:szCs w:val="18"/>
              </w:rPr>
            </w:pPr>
            <w:r w:rsidRPr="00A86B8E">
              <w:rPr>
                <w:rFonts w:ascii="Arial" w:hAnsi="Arial" w:cs="Arial"/>
                <w:b/>
                <w:sz w:val="18"/>
                <w:szCs w:val="18"/>
              </w:rPr>
              <w:t>$7’442,601.33</w:t>
            </w:r>
          </w:p>
        </w:tc>
      </w:tr>
      <w:tr w:rsidR="00352C63" w:rsidRPr="00A86B8E" w14:paraId="021247E1" w14:textId="77777777" w:rsidTr="00B879D9">
        <w:trPr>
          <w:jc w:val="center"/>
        </w:trPr>
        <w:tc>
          <w:tcPr>
            <w:tcW w:w="3397" w:type="dxa"/>
            <w:tcBorders>
              <w:bottom w:val="single" w:sz="4" w:space="0" w:color="BFBFBF" w:themeColor="background1" w:themeShade="BF"/>
            </w:tcBorders>
            <w:vAlign w:val="center"/>
          </w:tcPr>
          <w:p w14:paraId="2600677F" w14:textId="77777777" w:rsidR="00352C63" w:rsidRPr="00A86B8E" w:rsidRDefault="00352C63" w:rsidP="00B879D9">
            <w:pPr>
              <w:spacing w:before="40" w:after="40"/>
              <w:rPr>
                <w:rFonts w:ascii="Arial" w:hAnsi="Arial" w:cs="Arial"/>
                <w:sz w:val="18"/>
                <w:szCs w:val="18"/>
              </w:rPr>
            </w:pPr>
            <w:r w:rsidRPr="00A86B8E">
              <w:rPr>
                <w:rFonts w:ascii="Arial" w:hAnsi="Arial" w:cs="Arial"/>
                <w:b/>
                <w:bCs/>
                <w:spacing w:val="-10"/>
                <w:sz w:val="18"/>
                <w:szCs w:val="18"/>
              </w:rPr>
              <w:t>Partido Morena</w:t>
            </w:r>
          </w:p>
        </w:tc>
        <w:tc>
          <w:tcPr>
            <w:tcW w:w="1843" w:type="dxa"/>
            <w:tcBorders>
              <w:bottom w:val="single" w:sz="4" w:space="0" w:color="BFBFBF" w:themeColor="background1" w:themeShade="BF"/>
            </w:tcBorders>
            <w:vAlign w:val="center"/>
          </w:tcPr>
          <w:p w14:paraId="788F4568" w14:textId="77777777" w:rsidR="00352C63" w:rsidRPr="00A86B8E" w:rsidRDefault="00352C63" w:rsidP="00B879D9">
            <w:pPr>
              <w:spacing w:before="40" w:after="40"/>
              <w:ind w:right="170"/>
              <w:jc w:val="right"/>
              <w:rPr>
                <w:rFonts w:ascii="Arial" w:hAnsi="Arial" w:cs="Arial"/>
                <w:b/>
                <w:sz w:val="18"/>
                <w:szCs w:val="18"/>
              </w:rPr>
            </w:pPr>
            <w:r w:rsidRPr="00A86B8E">
              <w:rPr>
                <w:rFonts w:ascii="Arial" w:hAnsi="Arial" w:cs="Arial"/>
                <w:b/>
                <w:sz w:val="18"/>
                <w:szCs w:val="18"/>
              </w:rPr>
              <w:t>$32’627,881.26</w:t>
            </w:r>
          </w:p>
        </w:tc>
        <w:tc>
          <w:tcPr>
            <w:tcW w:w="1701" w:type="dxa"/>
            <w:tcBorders>
              <w:bottom w:val="single" w:sz="4" w:space="0" w:color="BFBFBF" w:themeColor="background1" w:themeShade="BF"/>
            </w:tcBorders>
            <w:vAlign w:val="center"/>
          </w:tcPr>
          <w:p w14:paraId="2B66918E" w14:textId="77777777" w:rsidR="00352C63" w:rsidRPr="00A86B8E" w:rsidRDefault="00352C63" w:rsidP="00B879D9">
            <w:pPr>
              <w:spacing w:before="40" w:after="40"/>
              <w:ind w:right="170"/>
              <w:jc w:val="right"/>
              <w:rPr>
                <w:rFonts w:ascii="Arial" w:hAnsi="Arial" w:cs="Arial"/>
                <w:b/>
                <w:sz w:val="18"/>
                <w:szCs w:val="18"/>
              </w:rPr>
            </w:pPr>
            <w:r w:rsidRPr="00A86B8E">
              <w:rPr>
                <w:rFonts w:ascii="Arial" w:hAnsi="Arial" w:cs="Arial"/>
                <w:b/>
                <w:sz w:val="18"/>
                <w:szCs w:val="18"/>
              </w:rPr>
              <w:t>$978,836.44</w:t>
            </w:r>
          </w:p>
        </w:tc>
        <w:tc>
          <w:tcPr>
            <w:tcW w:w="1887" w:type="dxa"/>
            <w:tcBorders>
              <w:bottom w:val="single" w:sz="4" w:space="0" w:color="BFBFBF" w:themeColor="background1" w:themeShade="BF"/>
            </w:tcBorders>
            <w:vAlign w:val="center"/>
          </w:tcPr>
          <w:p w14:paraId="18EAC849" w14:textId="77777777" w:rsidR="00352C63" w:rsidRPr="00A86B8E" w:rsidRDefault="00352C63" w:rsidP="00B879D9">
            <w:pPr>
              <w:spacing w:before="40" w:after="40"/>
              <w:ind w:right="170"/>
              <w:jc w:val="right"/>
              <w:rPr>
                <w:rFonts w:ascii="Arial" w:hAnsi="Arial" w:cs="Arial"/>
                <w:b/>
                <w:sz w:val="18"/>
                <w:szCs w:val="18"/>
              </w:rPr>
            </w:pPr>
            <w:r w:rsidRPr="00A86B8E">
              <w:rPr>
                <w:rFonts w:ascii="Arial" w:hAnsi="Arial" w:cs="Arial"/>
                <w:b/>
                <w:sz w:val="18"/>
                <w:szCs w:val="18"/>
              </w:rPr>
              <w:t>$33’606,717.70</w:t>
            </w:r>
          </w:p>
        </w:tc>
      </w:tr>
      <w:tr w:rsidR="00352C63" w:rsidRPr="00A86B8E" w14:paraId="4EE630A8" w14:textId="77777777" w:rsidTr="00B879D9">
        <w:trPr>
          <w:jc w:val="center"/>
        </w:trPr>
        <w:tc>
          <w:tcPr>
            <w:tcW w:w="3397" w:type="dxa"/>
            <w:tcBorders>
              <w:bottom w:val="single" w:sz="4" w:space="0" w:color="BFBFBF" w:themeColor="background1" w:themeShade="BF"/>
            </w:tcBorders>
            <w:shd w:val="clear" w:color="auto" w:fill="BFBFBF" w:themeFill="background1" w:themeFillShade="BF"/>
            <w:vAlign w:val="center"/>
          </w:tcPr>
          <w:p w14:paraId="125C2E6D" w14:textId="77777777" w:rsidR="00352C63" w:rsidRPr="00A86B8E" w:rsidRDefault="00352C63" w:rsidP="00B879D9">
            <w:pPr>
              <w:spacing w:before="40" w:after="40"/>
              <w:rPr>
                <w:rFonts w:ascii="Arial" w:hAnsi="Arial" w:cs="Arial"/>
                <w:b/>
                <w:bCs/>
                <w:spacing w:val="-10"/>
                <w:sz w:val="18"/>
                <w:szCs w:val="18"/>
              </w:rPr>
            </w:pPr>
            <w:r w:rsidRPr="00A86B8E">
              <w:rPr>
                <w:rFonts w:ascii="Arial" w:hAnsi="Arial" w:cs="Arial"/>
                <w:b/>
                <w:sz w:val="18"/>
                <w:szCs w:val="18"/>
              </w:rPr>
              <w:t>Monto total de financiamiento público</w:t>
            </w:r>
          </w:p>
        </w:tc>
        <w:tc>
          <w:tcPr>
            <w:tcW w:w="1843" w:type="dxa"/>
            <w:tcBorders>
              <w:bottom w:val="single" w:sz="4" w:space="0" w:color="BFBFBF" w:themeColor="background1" w:themeShade="BF"/>
            </w:tcBorders>
            <w:shd w:val="clear" w:color="auto" w:fill="BFBFBF" w:themeFill="background1" w:themeFillShade="BF"/>
            <w:vAlign w:val="center"/>
          </w:tcPr>
          <w:p w14:paraId="756DBB1A" w14:textId="7C9DE4A8" w:rsidR="00352C63" w:rsidRPr="00A86B8E" w:rsidRDefault="00352C63" w:rsidP="00B879D9">
            <w:pPr>
              <w:spacing w:before="40" w:after="40"/>
              <w:ind w:right="170"/>
              <w:jc w:val="right"/>
              <w:rPr>
                <w:rFonts w:ascii="Arial" w:hAnsi="Arial" w:cs="Arial"/>
                <w:b/>
                <w:sz w:val="18"/>
                <w:szCs w:val="18"/>
              </w:rPr>
            </w:pPr>
            <w:r w:rsidRPr="00A86B8E">
              <w:rPr>
                <w:rFonts w:ascii="Arial" w:hAnsi="Arial" w:cs="Arial"/>
                <w:b/>
                <w:sz w:val="18"/>
                <w:szCs w:val="18"/>
              </w:rPr>
              <w:t>$74</w:t>
            </w:r>
            <w:r w:rsidR="00141C4E" w:rsidRPr="00A86B8E">
              <w:rPr>
                <w:rFonts w:ascii="Arial" w:hAnsi="Arial" w:cs="Arial"/>
                <w:b/>
                <w:sz w:val="18"/>
                <w:szCs w:val="18"/>
              </w:rPr>
              <w:t>’</w:t>
            </w:r>
            <w:r w:rsidRPr="00A86B8E">
              <w:rPr>
                <w:rFonts w:ascii="Arial" w:hAnsi="Arial" w:cs="Arial"/>
                <w:b/>
                <w:sz w:val="18"/>
                <w:szCs w:val="18"/>
              </w:rPr>
              <w:t>996,246.22</w:t>
            </w:r>
          </w:p>
        </w:tc>
        <w:tc>
          <w:tcPr>
            <w:tcW w:w="1701" w:type="dxa"/>
            <w:tcBorders>
              <w:bottom w:val="single" w:sz="4" w:space="0" w:color="BFBFBF" w:themeColor="background1" w:themeShade="BF"/>
            </w:tcBorders>
            <w:shd w:val="clear" w:color="auto" w:fill="BFBFBF" w:themeFill="background1" w:themeFillShade="BF"/>
            <w:vAlign w:val="center"/>
          </w:tcPr>
          <w:p w14:paraId="0DAFCB6F" w14:textId="273ED482" w:rsidR="00352C63" w:rsidRPr="00A86B8E" w:rsidRDefault="00352C63" w:rsidP="00B879D9">
            <w:pPr>
              <w:spacing w:before="40" w:after="40"/>
              <w:ind w:right="170"/>
              <w:jc w:val="right"/>
              <w:rPr>
                <w:rFonts w:ascii="Arial" w:hAnsi="Arial" w:cs="Arial"/>
                <w:b/>
                <w:sz w:val="18"/>
                <w:szCs w:val="18"/>
              </w:rPr>
            </w:pPr>
            <w:r w:rsidRPr="00A86B8E">
              <w:rPr>
                <w:rFonts w:ascii="Arial" w:hAnsi="Arial" w:cs="Arial"/>
                <w:b/>
                <w:sz w:val="18"/>
                <w:szCs w:val="18"/>
              </w:rPr>
              <w:t>$2</w:t>
            </w:r>
            <w:r w:rsidR="00141C4E" w:rsidRPr="00A86B8E">
              <w:rPr>
                <w:rFonts w:ascii="Arial" w:hAnsi="Arial" w:cs="Arial"/>
                <w:b/>
                <w:sz w:val="18"/>
                <w:szCs w:val="18"/>
              </w:rPr>
              <w:t>’</w:t>
            </w:r>
            <w:r w:rsidRPr="00A86B8E">
              <w:rPr>
                <w:rFonts w:ascii="Arial" w:hAnsi="Arial" w:cs="Arial"/>
                <w:b/>
                <w:sz w:val="18"/>
                <w:szCs w:val="18"/>
              </w:rPr>
              <w:t>249,887.40</w:t>
            </w:r>
          </w:p>
        </w:tc>
        <w:tc>
          <w:tcPr>
            <w:tcW w:w="1887" w:type="dxa"/>
            <w:tcBorders>
              <w:bottom w:val="single" w:sz="4" w:space="0" w:color="BFBFBF" w:themeColor="background1" w:themeShade="BF"/>
            </w:tcBorders>
            <w:shd w:val="clear" w:color="auto" w:fill="BFBFBF" w:themeFill="background1" w:themeFillShade="BF"/>
            <w:vAlign w:val="center"/>
          </w:tcPr>
          <w:p w14:paraId="2C1C25E3" w14:textId="77777777" w:rsidR="00352C63" w:rsidRPr="00A86B8E" w:rsidRDefault="00352C63" w:rsidP="00B879D9">
            <w:pPr>
              <w:spacing w:before="40" w:after="40"/>
              <w:ind w:right="170"/>
              <w:jc w:val="right"/>
              <w:rPr>
                <w:rFonts w:ascii="Arial" w:hAnsi="Arial" w:cs="Arial"/>
                <w:b/>
                <w:sz w:val="18"/>
                <w:szCs w:val="18"/>
              </w:rPr>
            </w:pPr>
            <w:r w:rsidRPr="00A86B8E">
              <w:rPr>
                <w:rFonts w:ascii="Arial" w:hAnsi="Arial" w:cs="Arial"/>
                <w:b/>
                <w:sz w:val="18"/>
                <w:szCs w:val="18"/>
              </w:rPr>
              <w:t>$77’246,133.62</w:t>
            </w:r>
          </w:p>
        </w:tc>
      </w:tr>
    </w:tbl>
    <w:p w14:paraId="46FE6F01" w14:textId="77777777" w:rsidR="00A86B8E" w:rsidRDefault="00A86B8E" w:rsidP="00A86B8E">
      <w:pPr>
        <w:pStyle w:val="Ttulo1"/>
        <w:numPr>
          <w:ilvl w:val="0"/>
          <w:numId w:val="0"/>
        </w:numPr>
        <w:ind w:left="432"/>
        <w:jc w:val="both"/>
        <w:rPr>
          <w:rFonts w:ascii="Arial" w:hAnsi="Arial" w:cs="Arial"/>
          <w:sz w:val="24"/>
          <w:szCs w:val="24"/>
        </w:rPr>
      </w:pPr>
    </w:p>
    <w:p w14:paraId="7E76A917" w14:textId="0D77C648" w:rsidR="00376CF8" w:rsidRPr="00A86B8E" w:rsidRDefault="005B2D76" w:rsidP="005B2D76">
      <w:pPr>
        <w:pStyle w:val="Ttulo1"/>
        <w:rPr>
          <w:rFonts w:ascii="Arial" w:hAnsi="Arial" w:cs="Arial"/>
          <w:sz w:val="24"/>
          <w:szCs w:val="24"/>
        </w:rPr>
      </w:pPr>
      <w:r w:rsidRPr="00A86B8E">
        <w:rPr>
          <w:rFonts w:ascii="Arial" w:hAnsi="Arial" w:cs="Arial"/>
          <w:sz w:val="24"/>
          <w:szCs w:val="24"/>
        </w:rPr>
        <w:lastRenderedPageBreak/>
        <w:t>Considerando</w:t>
      </w:r>
    </w:p>
    <w:p w14:paraId="2941D1CA" w14:textId="77777777" w:rsidR="005B2D76" w:rsidRPr="00A86B8E" w:rsidRDefault="005B2D76" w:rsidP="005B2D76">
      <w:pPr>
        <w:pStyle w:val="Ttulo2"/>
        <w:rPr>
          <w:rFonts w:ascii="Arial" w:hAnsi="Arial" w:cs="Arial"/>
          <w:sz w:val="22"/>
        </w:rPr>
      </w:pPr>
      <w:r w:rsidRPr="00A86B8E">
        <w:rPr>
          <w:rFonts w:ascii="Arial" w:hAnsi="Arial" w:cs="Arial"/>
          <w:sz w:val="22"/>
        </w:rPr>
        <w:t xml:space="preserve">Fines del Instituto </w:t>
      </w:r>
    </w:p>
    <w:p w14:paraId="5D1A04BA" w14:textId="6050D2D7" w:rsidR="005B2D76" w:rsidRPr="00A86B8E" w:rsidRDefault="005B2D76" w:rsidP="005B2D76">
      <w:pPr>
        <w:rPr>
          <w:rFonts w:ascii="Arial" w:hAnsi="Arial" w:cs="Arial"/>
          <w:sz w:val="22"/>
        </w:rPr>
      </w:pPr>
      <w:r w:rsidRPr="00A86B8E">
        <w:rPr>
          <w:rFonts w:ascii="Arial" w:hAnsi="Arial" w:cs="Arial"/>
          <w:sz w:val="22"/>
        </w:rPr>
        <w:t>Que, de conformidad con los artículos 9</w:t>
      </w:r>
      <w:r w:rsidR="00352C63" w:rsidRPr="00A86B8E">
        <w:rPr>
          <w:rFonts w:ascii="Arial" w:hAnsi="Arial" w:cs="Arial"/>
          <w:sz w:val="22"/>
        </w:rPr>
        <w:t>,</w:t>
      </w:r>
      <w:r w:rsidRPr="00A86B8E">
        <w:rPr>
          <w:rFonts w:ascii="Arial" w:hAnsi="Arial" w:cs="Arial"/>
          <w:sz w:val="22"/>
        </w:rPr>
        <w:t xml:space="preserve"> apartado C, fracción I</w:t>
      </w:r>
      <w:r w:rsidR="00D15266" w:rsidRPr="00A86B8E">
        <w:rPr>
          <w:rFonts w:ascii="Arial" w:hAnsi="Arial" w:cs="Arial"/>
          <w:sz w:val="22"/>
        </w:rPr>
        <w:t>,</w:t>
      </w:r>
      <w:r w:rsidRPr="00A86B8E">
        <w:rPr>
          <w:rFonts w:ascii="Arial" w:hAnsi="Arial" w:cs="Arial"/>
          <w:sz w:val="22"/>
        </w:rPr>
        <w:t xml:space="preserve"> de la Constitución Local</w:t>
      </w:r>
      <w:r w:rsidR="009D1748" w:rsidRPr="00A86B8E">
        <w:rPr>
          <w:rFonts w:ascii="Arial" w:hAnsi="Arial" w:cs="Arial"/>
          <w:sz w:val="22"/>
        </w:rPr>
        <w:t>;</w:t>
      </w:r>
      <w:r w:rsidRPr="00A86B8E">
        <w:rPr>
          <w:rFonts w:ascii="Arial" w:hAnsi="Arial" w:cs="Arial"/>
          <w:sz w:val="22"/>
        </w:rPr>
        <w:t xml:space="preserve"> 3</w:t>
      </w:r>
      <w:r w:rsidR="00352C63" w:rsidRPr="00A86B8E">
        <w:rPr>
          <w:rFonts w:ascii="Arial" w:hAnsi="Arial" w:cs="Arial"/>
          <w:sz w:val="22"/>
        </w:rPr>
        <w:t>,</w:t>
      </w:r>
      <w:r w:rsidRPr="00A86B8E">
        <w:rPr>
          <w:rFonts w:ascii="Arial" w:hAnsi="Arial" w:cs="Arial"/>
          <w:sz w:val="22"/>
        </w:rPr>
        <w:t xml:space="preserve"> numeral 3, 100 y 102 numeral 1 de la Ley Electoral, el Instituto es un organismo público local de carácter permanente, autónomo en su funcionamiento, independiente en sus decisiones y profesional en su desempeño, dotado de personalidad jurídica y patrimonio propio, cuyas actuaciones se rigen por los principios de certeza, legalidad, independencia, inclusión, imparcialidad, máxima publicidad, transparencia, rendición de cuentas, objetividad, paridad, interculturalidad y las realizarán con perspectiva de género y enfoque de derechos humanos.</w:t>
      </w:r>
    </w:p>
    <w:p w14:paraId="4A344550" w14:textId="20B7D930" w:rsidR="005B2D76" w:rsidRPr="00A86B8E" w:rsidRDefault="005B2D76" w:rsidP="005B2D76">
      <w:pPr>
        <w:rPr>
          <w:rFonts w:ascii="Arial" w:hAnsi="Arial" w:cs="Arial"/>
          <w:sz w:val="22"/>
        </w:rPr>
      </w:pPr>
      <w:r w:rsidRPr="00A86B8E">
        <w:rPr>
          <w:rFonts w:ascii="Arial" w:hAnsi="Arial" w:cs="Arial"/>
          <w:sz w:val="22"/>
        </w:rPr>
        <w:t xml:space="preserve">De acuerdo con el artículo 101 de la Ley Electoral, el Instituto tiene como finalidades: contribuir al desarrollo de la vida pública y democrática en el </w:t>
      </w:r>
      <w:r w:rsidR="00141C4E" w:rsidRPr="00A86B8E">
        <w:rPr>
          <w:rFonts w:ascii="Arial" w:hAnsi="Arial" w:cs="Arial"/>
          <w:sz w:val="22"/>
        </w:rPr>
        <w:t>E</w:t>
      </w:r>
      <w:r w:rsidRPr="00A86B8E">
        <w:rPr>
          <w:rFonts w:ascii="Arial" w:hAnsi="Arial" w:cs="Arial"/>
          <w:sz w:val="22"/>
        </w:rPr>
        <w:t>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las y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lo que dispongan las leyes.</w:t>
      </w:r>
    </w:p>
    <w:p w14:paraId="5253DD90" w14:textId="77777777" w:rsidR="005B2D76" w:rsidRPr="00A86B8E" w:rsidRDefault="005B2D76" w:rsidP="005B2D76">
      <w:pPr>
        <w:pStyle w:val="Ttulo2"/>
        <w:rPr>
          <w:rFonts w:ascii="Arial" w:hAnsi="Arial" w:cs="Arial"/>
          <w:sz w:val="22"/>
        </w:rPr>
      </w:pPr>
      <w:r w:rsidRPr="00A86B8E">
        <w:rPr>
          <w:rFonts w:ascii="Arial" w:hAnsi="Arial" w:cs="Arial"/>
          <w:sz w:val="22"/>
        </w:rPr>
        <w:t xml:space="preserve">Órgano Superior de Dirección del Instituto </w:t>
      </w:r>
    </w:p>
    <w:p w14:paraId="7667AC6F" w14:textId="77777777" w:rsidR="005B2D76" w:rsidRPr="00A86B8E" w:rsidRDefault="005B2D76" w:rsidP="005B2D76">
      <w:pPr>
        <w:rPr>
          <w:rFonts w:ascii="Arial" w:hAnsi="Arial" w:cs="Arial"/>
          <w:sz w:val="22"/>
        </w:rPr>
      </w:pPr>
      <w:r w:rsidRPr="00A86B8E">
        <w:rPr>
          <w:rFonts w:ascii="Arial" w:hAnsi="Arial" w:cs="Arial"/>
          <w:sz w:val="22"/>
        </w:rPr>
        <w:t>Que, de acuerdo con el artículo 106 de la Ley Electoral, el Consejo Estatal es el órgano superior de dirección, responsable de vigilar el cumplimiento de las disposiciones constitucionales y legales en materia electoral, así como de velar que los principios de certeza, legalidad, independencia, máxima publicidad, imparcialidad, objetividad y paridad de género, guíen todas las actividades del Instituto.</w:t>
      </w:r>
    </w:p>
    <w:p w14:paraId="024F1756" w14:textId="77777777" w:rsidR="005B2D76" w:rsidRPr="00A86B8E" w:rsidRDefault="005B2D76" w:rsidP="005B2D76">
      <w:pPr>
        <w:pStyle w:val="Ttulo2"/>
        <w:rPr>
          <w:rFonts w:ascii="Arial" w:hAnsi="Arial" w:cs="Arial"/>
          <w:sz w:val="22"/>
        </w:rPr>
      </w:pPr>
      <w:r w:rsidRPr="00A86B8E">
        <w:rPr>
          <w:rFonts w:ascii="Arial" w:hAnsi="Arial" w:cs="Arial"/>
          <w:sz w:val="22"/>
        </w:rPr>
        <w:t>Integración del Órgano de Dirección Superior</w:t>
      </w:r>
    </w:p>
    <w:p w14:paraId="2F3EFF35" w14:textId="77777777" w:rsidR="005B2D76" w:rsidRPr="00A86B8E" w:rsidRDefault="005B2D76" w:rsidP="005B2D76">
      <w:pPr>
        <w:rPr>
          <w:rFonts w:ascii="Arial" w:hAnsi="Arial" w:cs="Arial"/>
          <w:sz w:val="22"/>
        </w:rPr>
      </w:pPr>
      <w:r w:rsidRPr="00A86B8E">
        <w:rPr>
          <w:rFonts w:ascii="Arial" w:hAnsi="Arial" w:cs="Arial"/>
          <w:sz w:val="22"/>
        </w:rPr>
        <w:t xml:space="preserve">Que, los artículos 99 de la Ley General y 107 numeral 1 de la Ley Electoral, disponen que el Consejo se integrará por una Consejera o un Consejero Presidente y seis consejeras y consejeros electorales, con voz y voto; la Secretaria o el Secretario Ejecutivo y una o un </w:t>
      </w:r>
      <w:r w:rsidRPr="00A86B8E">
        <w:rPr>
          <w:rFonts w:ascii="Arial" w:hAnsi="Arial" w:cs="Arial"/>
          <w:sz w:val="22"/>
        </w:rPr>
        <w:lastRenderedPageBreak/>
        <w:t>representante por cada partido político con registro nacional o estatal, quienes concurrirán a las sesiones sólo con derecho a voz.</w:t>
      </w:r>
    </w:p>
    <w:p w14:paraId="1ED15A3E" w14:textId="77777777" w:rsidR="005B2D76" w:rsidRPr="00A86B8E" w:rsidRDefault="005B2D76" w:rsidP="005B2D76">
      <w:pPr>
        <w:pStyle w:val="Ttulo2"/>
        <w:rPr>
          <w:rFonts w:ascii="Arial" w:hAnsi="Arial" w:cs="Arial"/>
          <w:sz w:val="22"/>
        </w:rPr>
      </w:pPr>
      <w:r w:rsidRPr="00A86B8E">
        <w:rPr>
          <w:rFonts w:ascii="Arial" w:hAnsi="Arial" w:cs="Arial"/>
          <w:sz w:val="22"/>
        </w:rPr>
        <w:t>Competencia del Consejo Estatal</w:t>
      </w:r>
    </w:p>
    <w:p w14:paraId="607FB9AA" w14:textId="15E3CF6F" w:rsidR="005B2D76" w:rsidRPr="00A86B8E" w:rsidRDefault="005B2D76" w:rsidP="005B2D76">
      <w:pPr>
        <w:rPr>
          <w:rFonts w:ascii="Arial" w:hAnsi="Arial" w:cs="Arial"/>
          <w:sz w:val="22"/>
        </w:rPr>
      </w:pPr>
      <w:r w:rsidRPr="00A86B8E">
        <w:rPr>
          <w:rFonts w:ascii="Arial" w:hAnsi="Arial" w:cs="Arial"/>
          <w:sz w:val="22"/>
        </w:rPr>
        <w:t>Que, de conformidad con los artículos 104 numeral 1, incisos b) y c) de la Ley General y 115</w:t>
      </w:r>
      <w:r w:rsidR="009D1748" w:rsidRPr="00A86B8E">
        <w:rPr>
          <w:rFonts w:ascii="Arial" w:hAnsi="Arial" w:cs="Arial"/>
          <w:sz w:val="22"/>
        </w:rPr>
        <w:t>,</w:t>
      </w:r>
      <w:r w:rsidRPr="00A86B8E">
        <w:rPr>
          <w:rFonts w:ascii="Arial" w:hAnsi="Arial" w:cs="Arial"/>
          <w:sz w:val="22"/>
        </w:rPr>
        <w:t xml:space="preserve"> numeral 1</w:t>
      </w:r>
      <w:r w:rsidR="009D1748" w:rsidRPr="00A86B8E">
        <w:rPr>
          <w:rFonts w:ascii="Arial" w:hAnsi="Arial" w:cs="Arial"/>
          <w:sz w:val="22"/>
        </w:rPr>
        <w:t>,</w:t>
      </w:r>
      <w:r w:rsidRPr="00A86B8E">
        <w:rPr>
          <w:rFonts w:ascii="Arial" w:hAnsi="Arial" w:cs="Arial"/>
          <w:sz w:val="22"/>
        </w:rPr>
        <w:t xml:space="preserve"> fracción X</w:t>
      </w:r>
      <w:r w:rsidR="009D1748" w:rsidRPr="00A86B8E">
        <w:rPr>
          <w:rFonts w:ascii="Arial" w:hAnsi="Arial" w:cs="Arial"/>
          <w:sz w:val="22"/>
        </w:rPr>
        <w:t>,</w:t>
      </w:r>
      <w:r w:rsidRPr="00A86B8E">
        <w:rPr>
          <w:rFonts w:ascii="Arial" w:hAnsi="Arial" w:cs="Arial"/>
          <w:sz w:val="22"/>
        </w:rPr>
        <w:t xml:space="preserve"> de la Ley Electoral, corresponde al Consejo Estatal garantizar los derechos y el acceso a las prerrogativas de los partidos políticos, agrupaciones políticas y candidaturas con apego a las disposiciones legales; así como la ministración oportuna del financiamiento público a que tienen derecho los partidos políticos nacionales y locales</w:t>
      </w:r>
      <w:r w:rsidR="00622706" w:rsidRPr="00A86B8E">
        <w:rPr>
          <w:rFonts w:ascii="Arial" w:hAnsi="Arial" w:cs="Arial"/>
          <w:sz w:val="22"/>
        </w:rPr>
        <w:t xml:space="preserve"> </w:t>
      </w:r>
      <w:r w:rsidRPr="00A86B8E">
        <w:rPr>
          <w:rFonts w:ascii="Arial" w:hAnsi="Arial" w:cs="Arial"/>
          <w:sz w:val="22"/>
        </w:rPr>
        <w:t>y, en su caso, las candidaturas independientes en la entidad.</w:t>
      </w:r>
    </w:p>
    <w:p w14:paraId="408118C5" w14:textId="77777777" w:rsidR="005B2D76" w:rsidRPr="00A86B8E" w:rsidRDefault="005B2D76" w:rsidP="005B2D76">
      <w:pPr>
        <w:pStyle w:val="Ttulo2"/>
        <w:rPr>
          <w:rFonts w:ascii="Arial" w:hAnsi="Arial" w:cs="Arial"/>
          <w:sz w:val="22"/>
        </w:rPr>
      </w:pPr>
      <w:r w:rsidRPr="00A86B8E">
        <w:rPr>
          <w:rFonts w:ascii="Arial" w:hAnsi="Arial" w:cs="Arial"/>
          <w:sz w:val="22"/>
        </w:rPr>
        <w:t>Fines de los partidos políticos</w:t>
      </w:r>
    </w:p>
    <w:p w14:paraId="33A015C2" w14:textId="77777777" w:rsidR="005B2D76" w:rsidRPr="00A86B8E" w:rsidRDefault="005B2D76" w:rsidP="005B2D76">
      <w:pPr>
        <w:rPr>
          <w:rFonts w:ascii="Arial" w:hAnsi="Arial" w:cs="Arial"/>
          <w:sz w:val="22"/>
        </w:rPr>
      </w:pPr>
      <w:r w:rsidRPr="00A86B8E">
        <w:rPr>
          <w:rFonts w:ascii="Arial" w:hAnsi="Arial" w:cs="Arial"/>
          <w:sz w:val="22"/>
        </w:rPr>
        <w:t>Que, en términos de los artículos 41 base I de la Constitución Federal, 9 apartado A, fracción I párrafo segundo de la Constitución Local, 3 numeral 1 de la Ley de Partidos y 33 numeral 4 de la Ley Electoral, los partidos políticos son entidades de interés público con personalidad jurídica y patrimonio propio, con registro legal ante el INE o ante los organismos electorales, que tienen como fin promover la participación del pueblo en la vida democrática, contribuir a la integración de los órganos de representación política y, como organizaciones ciudadanas, hacer posible el acceso de éstas al ejercicio del poder público de acuerdo con los programas, principios e ideas que postulan y mediante el sufragio universal, libre, secreto, directo, personal e intransferible, incluso a través de distintas formas de participación o asociación, con el fin de postular candidaturas.</w:t>
      </w:r>
    </w:p>
    <w:p w14:paraId="1F6F854D" w14:textId="77777777" w:rsidR="005B2D76" w:rsidRPr="00A86B8E" w:rsidRDefault="005B2D76" w:rsidP="005B2D76">
      <w:pPr>
        <w:pStyle w:val="Ttulo2"/>
        <w:rPr>
          <w:rFonts w:ascii="Arial" w:hAnsi="Arial" w:cs="Arial"/>
          <w:sz w:val="22"/>
        </w:rPr>
      </w:pPr>
      <w:r w:rsidRPr="00A86B8E">
        <w:rPr>
          <w:rFonts w:ascii="Arial" w:hAnsi="Arial" w:cs="Arial"/>
          <w:sz w:val="22"/>
        </w:rPr>
        <w:t xml:space="preserve">Derecho de los partidos políticos a financiamiento </w:t>
      </w:r>
    </w:p>
    <w:p w14:paraId="14599BF0" w14:textId="77777777" w:rsidR="005B2D76" w:rsidRPr="00A86B8E" w:rsidRDefault="005B2D76" w:rsidP="005B2D76">
      <w:pPr>
        <w:rPr>
          <w:rFonts w:ascii="Arial" w:hAnsi="Arial" w:cs="Arial"/>
          <w:sz w:val="22"/>
        </w:rPr>
      </w:pPr>
      <w:r w:rsidRPr="00A86B8E">
        <w:rPr>
          <w:rFonts w:ascii="Arial" w:hAnsi="Arial" w:cs="Arial"/>
          <w:sz w:val="22"/>
        </w:rPr>
        <w:t>Que, el artículo 9 apartado “A” fracción VII de la Constitución Local dispone que, La ley garantizará que los partidos políticos nacionales y locales cuenten de manera equitativa con elementos para llevar a cabo sus actividades y señalará las reglas a que se sujetará el financiamiento de los propios partidos para sus precampañas y sus campañas electorales, debiendo garantizar que los recursos públicos prevalezcan sobre los de origen privado.</w:t>
      </w:r>
    </w:p>
    <w:p w14:paraId="4CC00C2C" w14:textId="1CC5AA6A" w:rsidR="005B2D76" w:rsidRDefault="005B2D76" w:rsidP="005B2D76">
      <w:pPr>
        <w:rPr>
          <w:rFonts w:ascii="Arial" w:hAnsi="Arial" w:cs="Arial"/>
          <w:sz w:val="22"/>
        </w:rPr>
      </w:pPr>
      <w:r w:rsidRPr="00A86B8E">
        <w:rPr>
          <w:rFonts w:ascii="Arial" w:hAnsi="Arial" w:cs="Arial"/>
          <w:sz w:val="22"/>
        </w:rPr>
        <w:t>Acorde a ello, el artículo 50 numeral 2 de la Ley de Partidos y el artículo 70, numeral 2 de la Ley Electoral dispone que, el financiamiento público deberá prevalecer sobre otros tipos de financiamiento.</w:t>
      </w:r>
    </w:p>
    <w:p w14:paraId="66277847" w14:textId="77777777" w:rsidR="00A86B8E" w:rsidRPr="00A86B8E" w:rsidRDefault="00A86B8E" w:rsidP="005B2D76">
      <w:pPr>
        <w:rPr>
          <w:rFonts w:ascii="Arial" w:hAnsi="Arial" w:cs="Arial"/>
          <w:sz w:val="22"/>
        </w:rPr>
      </w:pPr>
    </w:p>
    <w:p w14:paraId="7E9FC07C" w14:textId="77777777" w:rsidR="005B2D76" w:rsidRPr="00A86B8E" w:rsidRDefault="005B2D76" w:rsidP="005B2D76">
      <w:pPr>
        <w:pStyle w:val="Ttulo2"/>
        <w:rPr>
          <w:rFonts w:ascii="Arial" w:hAnsi="Arial" w:cs="Arial"/>
          <w:sz w:val="22"/>
        </w:rPr>
      </w:pPr>
      <w:r w:rsidRPr="00A86B8E">
        <w:rPr>
          <w:rFonts w:ascii="Arial" w:hAnsi="Arial" w:cs="Arial"/>
          <w:sz w:val="22"/>
        </w:rPr>
        <w:lastRenderedPageBreak/>
        <w:t>Derecho de los partidos políticos de acceder a financiamiento privado</w:t>
      </w:r>
    </w:p>
    <w:p w14:paraId="51A84058" w14:textId="77777777" w:rsidR="005B2D76" w:rsidRPr="00A86B8E" w:rsidRDefault="005B2D76" w:rsidP="005B2D76">
      <w:pPr>
        <w:rPr>
          <w:rFonts w:ascii="Arial" w:hAnsi="Arial" w:cs="Arial"/>
          <w:sz w:val="22"/>
        </w:rPr>
      </w:pPr>
      <w:r w:rsidRPr="00A86B8E">
        <w:rPr>
          <w:rFonts w:ascii="Arial" w:hAnsi="Arial" w:cs="Arial"/>
          <w:sz w:val="22"/>
        </w:rPr>
        <w:t>Que, en términos de lo dispuesto por los artículos 41 base II de la Constitución Federal, 53 numeral 1 de la Ley de Partidos, 70 numeral 1 fracción II, y 74 numeral 1 de la Ley Electoral para el desarrollo de sus actividades, los partidos políticos tienen derecho a recibir financiamiento privado proveniente de su militancia, simpatizantes, autofinanciamiento, así como el que obtienen por rendimientos financieros, fondos y fideicomisos.</w:t>
      </w:r>
    </w:p>
    <w:p w14:paraId="3EB94E01" w14:textId="77777777" w:rsidR="005B2D76" w:rsidRPr="00A86B8E" w:rsidRDefault="005B2D76" w:rsidP="005B2D76">
      <w:pPr>
        <w:pStyle w:val="Ttulo2"/>
        <w:rPr>
          <w:rFonts w:ascii="Arial" w:hAnsi="Arial" w:cs="Arial"/>
          <w:sz w:val="22"/>
        </w:rPr>
      </w:pPr>
      <w:r w:rsidRPr="00A86B8E">
        <w:rPr>
          <w:rFonts w:ascii="Arial" w:hAnsi="Arial" w:cs="Arial"/>
          <w:sz w:val="22"/>
        </w:rPr>
        <w:t xml:space="preserve">Regulación Constitucional del financiamiento privado </w:t>
      </w:r>
    </w:p>
    <w:p w14:paraId="65F254A0" w14:textId="36C056BE" w:rsidR="005B2D76" w:rsidRPr="00A86B8E" w:rsidRDefault="005B2D76" w:rsidP="005B2D76">
      <w:pPr>
        <w:rPr>
          <w:rFonts w:ascii="Arial" w:hAnsi="Arial" w:cs="Arial"/>
          <w:sz w:val="22"/>
        </w:rPr>
      </w:pPr>
      <w:r w:rsidRPr="00A86B8E">
        <w:rPr>
          <w:rFonts w:ascii="Arial" w:hAnsi="Arial" w:cs="Arial"/>
          <w:sz w:val="22"/>
        </w:rPr>
        <w:t>Que</w:t>
      </w:r>
      <w:r w:rsidR="00FA1386" w:rsidRPr="00A86B8E">
        <w:rPr>
          <w:rFonts w:ascii="Arial" w:hAnsi="Arial" w:cs="Arial"/>
          <w:sz w:val="22"/>
        </w:rPr>
        <w:t>,</w:t>
      </w:r>
      <w:r w:rsidRPr="00A86B8E">
        <w:rPr>
          <w:rFonts w:ascii="Arial" w:hAnsi="Arial" w:cs="Arial"/>
          <w:sz w:val="22"/>
        </w:rPr>
        <w:t xml:space="preserve"> el artículo 116 fracción IV, inciso h) de la Constitución Federal establece que, de conformidad con las bases establecidas en la propia Constitución y las leyes generales en la materia, las Constituciones y leyes de los Estados en materia electoral, garantizarán que se fijen los criterios para establecer los límites a las erogaciones de los partidos políticos en sus precampañas y campañas electorales, así como los montos máximos que tengan las aportaciones de sus militantes y simpatizantes.</w:t>
      </w:r>
    </w:p>
    <w:p w14:paraId="1CA57D48" w14:textId="77777777" w:rsidR="005B2D76" w:rsidRPr="00A86B8E" w:rsidRDefault="005B2D76" w:rsidP="005B2D76">
      <w:pPr>
        <w:rPr>
          <w:rFonts w:ascii="Arial" w:hAnsi="Arial" w:cs="Arial"/>
          <w:sz w:val="22"/>
        </w:rPr>
      </w:pPr>
      <w:r w:rsidRPr="00A86B8E">
        <w:rPr>
          <w:rFonts w:ascii="Arial" w:hAnsi="Arial" w:cs="Arial"/>
          <w:sz w:val="22"/>
        </w:rPr>
        <w:t>Acorde a lo anterior, el artículo 9 apartado A, fracción VIII, inciso c), párrafo cuarto de la Constitución Local establece que, la propia ley establecerá el monto máximo que tendrán las aportaciones de sus militantes y simpatizantes; asimismo ordenará los procedimientos para el control y vigilancia del origen y uso de todos los recursos con que cuenten y establecerá las sanciones que deban imponerse por el incumplimiento de estas disposiciones.</w:t>
      </w:r>
    </w:p>
    <w:p w14:paraId="13C3F000" w14:textId="77777777" w:rsidR="005B2D76" w:rsidRPr="00A86B8E" w:rsidRDefault="005B2D76" w:rsidP="005B2D76">
      <w:pPr>
        <w:pStyle w:val="Ttulo2"/>
        <w:rPr>
          <w:rFonts w:ascii="Arial" w:hAnsi="Arial" w:cs="Arial"/>
          <w:sz w:val="22"/>
        </w:rPr>
      </w:pPr>
      <w:r w:rsidRPr="00A86B8E">
        <w:rPr>
          <w:rFonts w:ascii="Arial" w:hAnsi="Arial" w:cs="Arial"/>
          <w:sz w:val="22"/>
        </w:rPr>
        <w:t>Fuentes de financiamiento privado</w:t>
      </w:r>
    </w:p>
    <w:p w14:paraId="5EDAF65B" w14:textId="77777777" w:rsidR="005B2D76" w:rsidRPr="00A86B8E" w:rsidRDefault="005B2D76" w:rsidP="005B2D76">
      <w:pPr>
        <w:rPr>
          <w:rFonts w:ascii="Arial" w:hAnsi="Arial" w:cs="Arial"/>
          <w:sz w:val="22"/>
        </w:rPr>
      </w:pPr>
      <w:r w:rsidRPr="00A86B8E">
        <w:rPr>
          <w:rFonts w:ascii="Arial" w:hAnsi="Arial" w:cs="Arial"/>
          <w:sz w:val="22"/>
        </w:rPr>
        <w:t>Que, de conformidad con el artículo 53 de la Ley de Partidos, el financiamiento privado es aquél que no proviene del erario, a través de cualquiera de las siguientes modalidades: a) financiamiento de la militancia, b) financiamiento de simpatizantes, c) autofinanciamiento y d) financiamiento por rendimientos financieros, fondos y fideicomisos.</w:t>
      </w:r>
    </w:p>
    <w:p w14:paraId="1129F068" w14:textId="77777777" w:rsidR="005B2D76" w:rsidRPr="00A86B8E" w:rsidRDefault="005B2D76" w:rsidP="005B2D76">
      <w:pPr>
        <w:pStyle w:val="Ttulo2"/>
        <w:rPr>
          <w:rFonts w:ascii="Arial" w:hAnsi="Arial" w:cs="Arial"/>
          <w:sz w:val="22"/>
        </w:rPr>
      </w:pPr>
      <w:r w:rsidRPr="00A86B8E">
        <w:rPr>
          <w:rFonts w:ascii="Arial" w:hAnsi="Arial" w:cs="Arial"/>
          <w:sz w:val="22"/>
        </w:rPr>
        <w:t>Límites al financiamiento privado</w:t>
      </w:r>
    </w:p>
    <w:p w14:paraId="10F8761D" w14:textId="2EAD6A5C" w:rsidR="005B2D76" w:rsidRDefault="005B2D76" w:rsidP="005B2D76">
      <w:pPr>
        <w:rPr>
          <w:rFonts w:ascii="Arial" w:hAnsi="Arial" w:cs="Arial"/>
          <w:sz w:val="22"/>
        </w:rPr>
      </w:pPr>
      <w:r w:rsidRPr="00A86B8E">
        <w:rPr>
          <w:rFonts w:ascii="Arial" w:hAnsi="Arial" w:cs="Arial"/>
          <w:sz w:val="22"/>
        </w:rPr>
        <w:t>Que, de acuerdo con el artículo 75 numeral 2 de la Ley Electoral, el financiamiento privado tendrá los límites que para las aportaciones de militantes, simpatizantes y candidatos se establecen en el numeral 2 del artículo 56 de la Ley de Partidos.</w:t>
      </w:r>
    </w:p>
    <w:p w14:paraId="4DD61779" w14:textId="3F820FDF" w:rsidR="00A86B8E" w:rsidRDefault="00A86B8E" w:rsidP="005B2D76">
      <w:pPr>
        <w:rPr>
          <w:rFonts w:ascii="Arial" w:hAnsi="Arial" w:cs="Arial"/>
          <w:sz w:val="22"/>
        </w:rPr>
      </w:pPr>
    </w:p>
    <w:p w14:paraId="26D7F015" w14:textId="77777777" w:rsidR="005B2D76" w:rsidRPr="00A86B8E" w:rsidRDefault="005B2D76" w:rsidP="005B2D76">
      <w:pPr>
        <w:pStyle w:val="Ttulo2"/>
        <w:rPr>
          <w:rFonts w:ascii="Arial" w:hAnsi="Arial" w:cs="Arial"/>
          <w:sz w:val="22"/>
        </w:rPr>
      </w:pPr>
      <w:r w:rsidRPr="00A86B8E">
        <w:rPr>
          <w:rFonts w:ascii="Arial" w:hAnsi="Arial" w:cs="Arial"/>
          <w:sz w:val="22"/>
        </w:rPr>
        <w:lastRenderedPageBreak/>
        <w:t>Modalidades del financiamiento privado</w:t>
      </w:r>
    </w:p>
    <w:p w14:paraId="45221C49" w14:textId="7B144D35" w:rsidR="005B2D76" w:rsidRPr="00A86B8E" w:rsidRDefault="005B2D76" w:rsidP="005B2D76">
      <w:pPr>
        <w:rPr>
          <w:rFonts w:ascii="Arial" w:hAnsi="Arial" w:cs="Arial"/>
          <w:sz w:val="22"/>
        </w:rPr>
      </w:pPr>
      <w:r w:rsidRPr="00A86B8E">
        <w:rPr>
          <w:rFonts w:ascii="Arial" w:hAnsi="Arial" w:cs="Arial"/>
          <w:sz w:val="22"/>
        </w:rPr>
        <w:t>Que, el artículo 56 numeral 1 de la Ley de Partidos</w:t>
      </w:r>
      <w:r w:rsidR="003470E4" w:rsidRPr="00A86B8E">
        <w:rPr>
          <w:rFonts w:ascii="Arial" w:hAnsi="Arial" w:cs="Arial"/>
          <w:sz w:val="22"/>
        </w:rPr>
        <w:t xml:space="preserve"> </w:t>
      </w:r>
      <w:r w:rsidR="00141C4E" w:rsidRPr="00A86B8E">
        <w:rPr>
          <w:rFonts w:ascii="Arial" w:hAnsi="Arial" w:cs="Arial"/>
          <w:sz w:val="22"/>
        </w:rPr>
        <w:t xml:space="preserve">y 75 numeral 1 de la ley Electoral, </w:t>
      </w:r>
      <w:r w:rsidR="003470E4" w:rsidRPr="00A86B8E">
        <w:rPr>
          <w:rFonts w:ascii="Arial" w:hAnsi="Arial" w:cs="Arial"/>
          <w:sz w:val="22"/>
        </w:rPr>
        <w:t>dispone que</w:t>
      </w:r>
      <w:r w:rsidR="00D265EA" w:rsidRPr="00A86B8E">
        <w:rPr>
          <w:rFonts w:ascii="Arial" w:hAnsi="Arial" w:cs="Arial"/>
          <w:sz w:val="22"/>
        </w:rPr>
        <w:t>,</w:t>
      </w:r>
      <w:r w:rsidRPr="00A86B8E">
        <w:rPr>
          <w:rFonts w:ascii="Arial" w:hAnsi="Arial" w:cs="Arial"/>
          <w:sz w:val="22"/>
        </w:rPr>
        <w:t xml:space="preserve"> el financiamiento que no provenga del </w:t>
      </w:r>
      <w:r w:rsidR="00626110" w:rsidRPr="00A86B8E">
        <w:rPr>
          <w:rFonts w:ascii="Arial" w:hAnsi="Arial" w:cs="Arial"/>
          <w:sz w:val="22"/>
        </w:rPr>
        <w:t>erario</w:t>
      </w:r>
      <w:r w:rsidRPr="00A86B8E">
        <w:rPr>
          <w:rFonts w:ascii="Arial" w:hAnsi="Arial" w:cs="Arial"/>
          <w:sz w:val="22"/>
        </w:rPr>
        <w:t xml:space="preserve"> tendrá las siguientes modalidades:</w:t>
      </w:r>
    </w:p>
    <w:p w14:paraId="48A4015F" w14:textId="7B976219" w:rsidR="005B2D76" w:rsidRPr="00A86B8E" w:rsidRDefault="005B2D76" w:rsidP="00BF025F">
      <w:pPr>
        <w:pStyle w:val="Prrafodelista"/>
        <w:numPr>
          <w:ilvl w:val="0"/>
          <w:numId w:val="2"/>
        </w:numPr>
        <w:ind w:left="680" w:hanging="680"/>
        <w:contextualSpacing w:val="0"/>
        <w:rPr>
          <w:rFonts w:ascii="Arial" w:hAnsi="Arial" w:cs="Arial"/>
          <w:sz w:val="22"/>
        </w:rPr>
      </w:pPr>
      <w:r w:rsidRPr="00A86B8E">
        <w:rPr>
          <w:rFonts w:ascii="Arial" w:hAnsi="Arial" w:cs="Arial"/>
          <w:sz w:val="22"/>
        </w:rPr>
        <w:t>Las aportaciones o cuotas individuales y obligatorias, ordinarias y extraordinarias, en dinero o en especie, que realicen las y los militantes de los partidos políticos;</w:t>
      </w:r>
    </w:p>
    <w:p w14:paraId="56D58615" w14:textId="5F99934A" w:rsidR="005B2D76" w:rsidRPr="00A86B8E" w:rsidRDefault="005B2D76" w:rsidP="00BF025F">
      <w:pPr>
        <w:pStyle w:val="Prrafodelista"/>
        <w:numPr>
          <w:ilvl w:val="0"/>
          <w:numId w:val="2"/>
        </w:numPr>
        <w:ind w:left="680" w:hanging="680"/>
        <w:contextualSpacing w:val="0"/>
        <w:rPr>
          <w:rFonts w:ascii="Arial" w:hAnsi="Arial" w:cs="Arial"/>
          <w:sz w:val="22"/>
        </w:rPr>
      </w:pPr>
      <w:r w:rsidRPr="00A86B8E">
        <w:rPr>
          <w:rFonts w:ascii="Arial" w:hAnsi="Arial" w:cs="Arial"/>
          <w:sz w:val="22"/>
        </w:rPr>
        <w:t>Las aportaciones voluntarias y personales, en dinero o en especie, que l</w:t>
      </w:r>
      <w:r w:rsidR="005D01F2" w:rsidRPr="00A86B8E">
        <w:rPr>
          <w:rFonts w:ascii="Arial" w:hAnsi="Arial" w:cs="Arial"/>
          <w:sz w:val="22"/>
        </w:rPr>
        <w:t>as</w:t>
      </w:r>
      <w:r w:rsidRPr="00A86B8E">
        <w:rPr>
          <w:rFonts w:ascii="Arial" w:hAnsi="Arial" w:cs="Arial"/>
          <w:sz w:val="22"/>
        </w:rPr>
        <w:t xml:space="preserve"> precandidatas, precandidatos, candidatas y candidatos aporten exclusivamente para sus precampañas y campañas, y</w:t>
      </w:r>
      <w:r w:rsidR="009D1748" w:rsidRPr="00A86B8E">
        <w:rPr>
          <w:rFonts w:ascii="Arial" w:hAnsi="Arial" w:cs="Arial"/>
          <w:sz w:val="22"/>
        </w:rPr>
        <w:t>;</w:t>
      </w:r>
    </w:p>
    <w:p w14:paraId="5885B509" w14:textId="3FABA3C9" w:rsidR="005B2D76" w:rsidRPr="00A86B8E" w:rsidRDefault="005B2D76" w:rsidP="00BF025F">
      <w:pPr>
        <w:pStyle w:val="Prrafodelista"/>
        <w:numPr>
          <w:ilvl w:val="0"/>
          <w:numId w:val="2"/>
        </w:numPr>
        <w:ind w:left="680" w:hanging="680"/>
        <w:contextualSpacing w:val="0"/>
        <w:rPr>
          <w:rFonts w:ascii="Arial" w:hAnsi="Arial" w:cs="Arial"/>
          <w:sz w:val="22"/>
        </w:rPr>
      </w:pPr>
      <w:r w:rsidRPr="00A86B8E">
        <w:rPr>
          <w:rFonts w:ascii="Arial" w:hAnsi="Arial" w:cs="Arial"/>
          <w:sz w:val="22"/>
        </w:rPr>
        <w:t>Las aportaciones voluntarias y personales que realicen las y los simpatizantes durante los procesos electorales federales y locales, y estará conformado por las aportaciones o donativos, en dinero o en especie, hechas a los partidos políticos en forma libre y voluntaria por las personas físicas mexicanas con residencia en el país.</w:t>
      </w:r>
    </w:p>
    <w:p w14:paraId="1C7EF935" w14:textId="77777777" w:rsidR="005B2D76" w:rsidRPr="00A86B8E" w:rsidRDefault="005B2D76" w:rsidP="005B2D76">
      <w:pPr>
        <w:rPr>
          <w:rFonts w:ascii="Arial" w:hAnsi="Arial" w:cs="Arial"/>
          <w:sz w:val="22"/>
        </w:rPr>
      </w:pPr>
      <w:r w:rsidRPr="00A86B8E">
        <w:rPr>
          <w:rFonts w:ascii="Arial" w:hAnsi="Arial" w:cs="Arial"/>
          <w:sz w:val="22"/>
        </w:rPr>
        <w:t xml:space="preserve">Ahora bien, conforme a la jurisprudencia 6/2017 con rubro: </w:t>
      </w:r>
      <w:r w:rsidRPr="00A86B8E">
        <w:rPr>
          <w:rFonts w:ascii="Arial" w:hAnsi="Arial" w:cs="Arial"/>
          <w:b/>
          <w:sz w:val="22"/>
        </w:rPr>
        <w:t>“APORTACIONES DE SIMPATIZANTES A PARTIDOS POLÍTICOS. ES INCONSTITUCIONAL LIMITARLAS A LOS PROCESOS ELECTORALES”</w:t>
      </w:r>
      <w:r w:rsidRPr="00A86B8E">
        <w:rPr>
          <w:rFonts w:ascii="Arial" w:hAnsi="Arial" w:cs="Arial"/>
          <w:sz w:val="22"/>
        </w:rPr>
        <w:t xml:space="preserve"> la temporalidad establecida en el artículo 56, numeral I, inciso c), de la Ley General de Partidos Políticos, que limita las aportaciones de simpatizantes a los partidos políticos durante el proceso electoral, restringe injustificadamente el derecho humano de participación política reconocido por el bloque de constitucionalidad, razón por la cual es inconstitucional</w:t>
      </w:r>
      <w:r w:rsidRPr="00A86B8E">
        <w:rPr>
          <w:rStyle w:val="Refdenotaalpie"/>
          <w:rFonts w:ascii="Arial" w:hAnsi="Arial" w:cs="Arial"/>
          <w:sz w:val="22"/>
        </w:rPr>
        <w:footnoteReference w:id="1"/>
      </w:r>
      <w:r w:rsidRPr="00A86B8E">
        <w:rPr>
          <w:rFonts w:ascii="Arial" w:hAnsi="Arial" w:cs="Arial"/>
          <w:sz w:val="22"/>
        </w:rPr>
        <w:t xml:space="preserve">. </w:t>
      </w:r>
    </w:p>
    <w:p w14:paraId="4E2B1F0D" w14:textId="77777777" w:rsidR="005B2D76" w:rsidRPr="00A86B8E" w:rsidRDefault="005B2D76" w:rsidP="005B2D76">
      <w:pPr>
        <w:rPr>
          <w:rFonts w:ascii="Arial" w:hAnsi="Arial" w:cs="Arial"/>
          <w:sz w:val="22"/>
        </w:rPr>
      </w:pPr>
      <w:r w:rsidRPr="00A86B8E">
        <w:rPr>
          <w:rFonts w:ascii="Arial" w:hAnsi="Arial" w:cs="Arial"/>
          <w:sz w:val="22"/>
        </w:rPr>
        <w:t>Para ello, el órgano jurisdiccional consideró que, la porción normativa mencionada genera una limitante a la posibilidad de que las y los simpatizantes de determinado partido político puedan concretar una de las formas de participación política y del derecho de asociación política a favor de los simpatizantes. De ahí que, las aportaciones que autoriza el artículo 56 párrafo 1, inciso c) de la Ley de Partidos deben interpretarse como uno de los medios al alcance de la ciudadanía para hacer extensiva la participación política por conducto de las entidades de interés público (partidos políticos), lo cual se traduce como un componente de accesibilidad del derecho para involucrarse en el escenario democrático.</w:t>
      </w:r>
    </w:p>
    <w:p w14:paraId="6753036C" w14:textId="77777777" w:rsidR="005B2D76" w:rsidRPr="00A86B8E" w:rsidRDefault="005B2D76" w:rsidP="005B2D76">
      <w:pPr>
        <w:rPr>
          <w:rFonts w:ascii="Arial" w:hAnsi="Arial" w:cs="Arial"/>
          <w:sz w:val="22"/>
        </w:rPr>
      </w:pPr>
      <w:r w:rsidRPr="00A86B8E">
        <w:rPr>
          <w:rFonts w:ascii="Arial" w:hAnsi="Arial" w:cs="Arial"/>
          <w:sz w:val="22"/>
        </w:rPr>
        <w:t xml:space="preserve">Asimismo, sostuvo que, fijar una temporalidad específica para realizar las aportaciones de las y los simpatizantes, resulta incompatible con la Constitución Federal, precisamente </w:t>
      </w:r>
      <w:r w:rsidRPr="00A86B8E">
        <w:rPr>
          <w:rFonts w:ascii="Arial" w:hAnsi="Arial" w:cs="Arial"/>
          <w:sz w:val="22"/>
        </w:rPr>
        <w:lastRenderedPageBreak/>
        <w:t>porque las mismas operan como uno de los medios que permiten la materialización del derecho de participación política, ya que, las y los sujetos autorizados referidos, en razón de la identificación ideológica con un instituto político, pueden apoyar a la consecución de fines partidistas no solamente en la etapa del proceso electoral, sino también en razón del fomento de la vida democrática, lo cual no puede circunscribirse únicamente a un momento determinado, sino que por el contrario, rebasa cualquier límite temporal.</w:t>
      </w:r>
    </w:p>
    <w:p w14:paraId="76B72DEF" w14:textId="5B068274" w:rsidR="005B2D76" w:rsidRPr="00A86B8E" w:rsidRDefault="005B2D76" w:rsidP="005B2D76">
      <w:pPr>
        <w:rPr>
          <w:rFonts w:ascii="Arial" w:hAnsi="Arial" w:cs="Arial"/>
          <w:sz w:val="22"/>
        </w:rPr>
      </w:pPr>
      <w:r w:rsidRPr="00A86B8E">
        <w:rPr>
          <w:rFonts w:ascii="Arial" w:hAnsi="Arial" w:cs="Arial"/>
          <w:sz w:val="22"/>
        </w:rPr>
        <w:t>Sobre esa base, la Sala Superior determinó que, el criterio de temporalidad previsto en los artículos 56, numeral 1</w:t>
      </w:r>
      <w:r w:rsidR="0076632C" w:rsidRPr="00A86B8E">
        <w:rPr>
          <w:rFonts w:ascii="Arial" w:hAnsi="Arial" w:cs="Arial"/>
          <w:sz w:val="22"/>
        </w:rPr>
        <w:t>,</w:t>
      </w:r>
      <w:r w:rsidRPr="00A86B8E">
        <w:rPr>
          <w:rFonts w:ascii="Arial" w:hAnsi="Arial" w:cs="Arial"/>
          <w:sz w:val="22"/>
        </w:rPr>
        <w:t xml:space="preserve"> inciso c)</w:t>
      </w:r>
      <w:r w:rsidR="0076632C" w:rsidRPr="00A86B8E">
        <w:rPr>
          <w:rFonts w:ascii="Arial" w:hAnsi="Arial" w:cs="Arial"/>
          <w:sz w:val="22"/>
        </w:rPr>
        <w:t>,</w:t>
      </w:r>
      <w:r w:rsidRPr="00A86B8E">
        <w:rPr>
          <w:rFonts w:ascii="Arial" w:hAnsi="Arial" w:cs="Arial"/>
          <w:sz w:val="22"/>
        </w:rPr>
        <w:t xml:space="preserve"> de la Ley General de Partidos Políticos y 95, numeral 2</w:t>
      </w:r>
      <w:r w:rsidR="0076632C" w:rsidRPr="00A86B8E">
        <w:rPr>
          <w:rFonts w:ascii="Arial" w:hAnsi="Arial" w:cs="Arial"/>
          <w:sz w:val="22"/>
        </w:rPr>
        <w:t>,</w:t>
      </w:r>
      <w:r w:rsidRPr="00A86B8E">
        <w:rPr>
          <w:rFonts w:ascii="Arial" w:hAnsi="Arial" w:cs="Arial"/>
          <w:sz w:val="22"/>
        </w:rPr>
        <w:t xml:space="preserve"> inciso c)</w:t>
      </w:r>
      <w:r w:rsidR="0076632C" w:rsidRPr="00A86B8E">
        <w:rPr>
          <w:rFonts w:ascii="Arial" w:hAnsi="Arial" w:cs="Arial"/>
          <w:sz w:val="22"/>
        </w:rPr>
        <w:t>,</w:t>
      </w:r>
      <w:r w:rsidRPr="00A86B8E">
        <w:rPr>
          <w:rFonts w:ascii="Arial" w:hAnsi="Arial" w:cs="Arial"/>
          <w:sz w:val="22"/>
        </w:rPr>
        <w:t xml:space="preserve"> fracción I del Reglamento de Fiscalización del INE, relacionados con la obligación de los partidos políticos de recibir financiamiento privado por parte de sus simpatizantes, solamente en procesos electorales, no es acorde con el artículo 41 de la Constitución Federal y tampoco con el diverso 23, inciso a)</w:t>
      </w:r>
      <w:r w:rsidR="0076632C" w:rsidRPr="00A86B8E">
        <w:rPr>
          <w:rFonts w:ascii="Arial" w:hAnsi="Arial" w:cs="Arial"/>
          <w:sz w:val="22"/>
        </w:rPr>
        <w:t>,</w:t>
      </w:r>
      <w:r w:rsidRPr="00A86B8E">
        <w:rPr>
          <w:rFonts w:ascii="Arial" w:hAnsi="Arial" w:cs="Arial"/>
          <w:sz w:val="22"/>
        </w:rPr>
        <w:t xml:space="preserve"> de la Convención Americana sobre Derechos Humanos toda vez que reduce de manera injustificada, la posibilidad de que los simpatizantes puedan realizar aportaciones al financiamiento de los referidos institutos políticos, pues esa limitación incide de manera negativa en el derecho de participación política de acuerdo a los términos precisados.</w:t>
      </w:r>
    </w:p>
    <w:p w14:paraId="6C6A12A6" w14:textId="77777777" w:rsidR="005B2D76" w:rsidRPr="00A86B8E" w:rsidRDefault="005B2D76" w:rsidP="00AA7DD3">
      <w:pPr>
        <w:pStyle w:val="Ttulo2"/>
        <w:rPr>
          <w:rFonts w:ascii="Arial" w:hAnsi="Arial" w:cs="Arial"/>
          <w:sz w:val="22"/>
        </w:rPr>
      </w:pPr>
      <w:r w:rsidRPr="00A86B8E">
        <w:rPr>
          <w:rFonts w:ascii="Arial" w:hAnsi="Arial" w:cs="Arial"/>
          <w:sz w:val="22"/>
        </w:rPr>
        <w:t>Límites anuales al financiamiento privado</w:t>
      </w:r>
    </w:p>
    <w:p w14:paraId="3C5A48A4" w14:textId="77777777" w:rsidR="005B2D76" w:rsidRPr="00A86B8E" w:rsidRDefault="005B2D76" w:rsidP="005B2D76">
      <w:pPr>
        <w:rPr>
          <w:rFonts w:ascii="Arial" w:hAnsi="Arial" w:cs="Arial"/>
          <w:sz w:val="22"/>
        </w:rPr>
      </w:pPr>
      <w:r w:rsidRPr="00A86B8E">
        <w:rPr>
          <w:rFonts w:ascii="Arial" w:hAnsi="Arial" w:cs="Arial"/>
          <w:sz w:val="22"/>
        </w:rPr>
        <w:t>Que, el artículo 56 numeral 2 de la Ley de Partidos dispone que el financiamiento privado se ajustará a los límites anuales siguientes:</w:t>
      </w:r>
    </w:p>
    <w:p w14:paraId="6EA1896D" w14:textId="4BA46531" w:rsidR="005B2D76" w:rsidRPr="00A86B8E" w:rsidRDefault="005B2D76" w:rsidP="00BF025F">
      <w:pPr>
        <w:pStyle w:val="Prrafodelista"/>
        <w:numPr>
          <w:ilvl w:val="0"/>
          <w:numId w:val="4"/>
        </w:numPr>
        <w:ind w:left="680" w:hanging="680"/>
        <w:contextualSpacing w:val="0"/>
        <w:rPr>
          <w:rFonts w:ascii="Arial" w:hAnsi="Arial" w:cs="Arial"/>
          <w:sz w:val="22"/>
        </w:rPr>
      </w:pPr>
      <w:r w:rsidRPr="00A86B8E">
        <w:rPr>
          <w:rFonts w:ascii="Arial" w:hAnsi="Arial" w:cs="Arial"/>
          <w:sz w:val="22"/>
        </w:rPr>
        <w:t>Para el caso de las aportaciones de las y los militantes, el dos por ciento del financiamiento público otorgado a la totalidad de los partidos políticos para el sostenimiento de sus actividades ordinarias y precampañas en el año de que se trate;</w:t>
      </w:r>
    </w:p>
    <w:p w14:paraId="4622103C" w14:textId="392F79F0" w:rsidR="005B2D76" w:rsidRPr="00A86B8E" w:rsidRDefault="005B2D76" w:rsidP="00BF025F">
      <w:pPr>
        <w:pStyle w:val="Prrafodelista"/>
        <w:numPr>
          <w:ilvl w:val="0"/>
          <w:numId w:val="4"/>
        </w:numPr>
        <w:ind w:left="680" w:hanging="680"/>
        <w:contextualSpacing w:val="0"/>
        <w:rPr>
          <w:rFonts w:ascii="Arial" w:hAnsi="Arial" w:cs="Arial"/>
          <w:sz w:val="22"/>
        </w:rPr>
      </w:pPr>
      <w:r w:rsidRPr="00A86B8E">
        <w:rPr>
          <w:rFonts w:ascii="Arial" w:hAnsi="Arial" w:cs="Arial"/>
          <w:sz w:val="22"/>
        </w:rPr>
        <w:t>Para el caso de las aportaciones de</w:t>
      </w:r>
      <w:r w:rsidR="00B24030" w:rsidRPr="00A86B8E">
        <w:rPr>
          <w:rFonts w:ascii="Arial" w:hAnsi="Arial" w:cs="Arial"/>
          <w:sz w:val="22"/>
        </w:rPr>
        <w:t xml:space="preserve"> candidatas y</w:t>
      </w:r>
      <w:r w:rsidRPr="00A86B8E">
        <w:rPr>
          <w:rFonts w:ascii="Arial" w:hAnsi="Arial" w:cs="Arial"/>
          <w:sz w:val="22"/>
        </w:rPr>
        <w:t xml:space="preserve"> candidatos, así como de simpatizantes durante los procesos electorales, el diez por ciento del tope de gasto para la elección presidencial inmediata anterior, para </w:t>
      </w:r>
      <w:r w:rsidR="00FC423F" w:rsidRPr="00A86B8E">
        <w:rPr>
          <w:rFonts w:ascii="Arial" w:hAnsi="Arial" w:cs="Arial"/>
          <w:sz w:val="22"/>
        </w:rPr>
        <w:t>utilizarse</w:t>
      </w:r>
      <w:r w:rsidRPr="00A86B8E">
        <w:rPr>
          <w:rFonts w:ascii="Arial" w:hAnsi="Arial" w:cs="Arial"/>
          <w:sz w:val="22"/>
        </w:rPr>
        <w:t xml:space="preserve"> en las campañas de sus candidat</w:t>
      </w:r>
      <w:r w:rsidR="007454E5" w:rsidRPr="00A86B8E">
        <w:rPr>
          <w:rFonts w:ascii="Arial" w:hAnsi="Arial" w:cs="Arial"/>
          <w:sz w:val="22"/>
        </w:rPr>
        <w:t>as y candidat</w:t>
      </w:r>
      <w:r w:rsidRPr="00A86B8E">
        <w:rPr>
          <w:rFonts w:ascii="Arial" w:hAnsi="Arial" w:cs="Arial"/>
          <w:sz w:val="22"/>
        </w:rPr>
        <w:t>os;</w:t>
      </w:r>
    </w:p>
    <w:p w14:paraId="23D5AE88" w14:textId="37CD2831" w:rsidR="005B2D76" w:rsidRPr="00A86B8E" w:rsidRDefault="005B2D76" w:rsidP="00BF025F">
      <w:pPr>
        <w:pStyle w:val="Prrafodelista"/>
        <w:numPr>
          <w:ilvl w:val="0"/>
          <w:numId w:val="4"/>
        </w:numPr>
        <w:ind w:left="680" w:hanging="680"/>
        <w:contextualSpacing w:val="0"/>
        <w:rPr>
          <w:rFonts w:ascii="Arial" w:hAnsi="Arial" w:cs="Arial"/>
          <w:sz w:val="22"/>
        </w:rPr>
      </w:pPr>
      <w:r w:rsidRPr="00A86B8E">
        <w:rPr>
          <w:rFonts w:ascii="Arial" w:hAnsi="Arial" w:cs="Arial"/>
          <w:sz w:val="22"/>
        </w:rPr>
        <w:t>Cada partido político, a través del órgano responsable de la administración previsto en el artículo 43 inciso c) de la Ley de Partidos, determinará libremente los montos mínimos y máximos y la periodicidad de las cuotas ordinarias y extraordinarias de sus militantes, así como de las aportaciones voluntarias y personales que las y los precandidatos y candidatos aporten exclusivamente para sus precampañas y campañas, y</w:t>
      </w:r>
    </w:p>
    <w:p w14:paraId="57955DFD" w14:textId="103080B7" w:rsidR="005B2D76" w:rsidRPr="00A86B8E" w:rsidRDefault="005B2D76" w:rsidP="00BF025F">
      <w:pPr>
        <w:pStyle w:val="Prrafodelista"/>
        <w:numPr>
          <w:ilvl w:val="0"/>
          <w:numId w:val="4"/>
        </w:numPr>
        <w:ind w:left="680" w:hanging="680"/>
        <w:contextualSpacing w:val="0"/>
        <w:rPr>
          <w:rFonts w:ascii="Arial" w:hAnsi="Arial" w:cs="Arial"/>
          <w:sz w:val="22"/>
        </w:rPr>
      </w:pPr>
      <w:r w:rsidRPr="00A86B8E">
        <w:rPr>
          <w:rFonts w:ascii="Arial" w:hAnsi="Arial" w:cs="Arial"/>
          <w:sz w:val="22"/>
        </w:rPr>
        <w:lastRenderedPageBreak/>
        <w:t>Las aportaciones de simpatizantes tendrán como límite individual anual el 0.5 por ciento del tope de gasto para la elección presidencial inmediata anterior.</w:t>
      </w:r>
    </w:p>
    <w:p w14:paraId="184390CC" w14:textId="77777777" w:rsidR="005B2D76" w:rsidRPr="00A86B8E" w:rsidRDefault="005B2D76" w:rsidP="00AA7DD3">
      <w:pPr>
        <w:pStyle w:val="Ttulo2"/>
        <w:rPr>
          <w:rFonts w:ascii="Arial" w:hAnsi="Arial" w:cs="Arial"/>
          <w:sz w:val="22"/>
        </w:rPr>
      </w:pPr>
      <w:r w:rsidRPr="00A86B8E">
        <w:rPr>
          <w:rFonts w:ascii="Arial" w:hAnsi="Arial" w:cs="Arial"/>
          <w:sz w:val="22"/>
        </w:rPr>
        <w:t>Obligaciones de los partidos políticos en materia de financiamiento</w:t>
      </w:r>
    </w:p>
    <w:p w14:paraId="7316AC6F" w14:textId="77777777" w:rsidR="005B2D76" w:rsidRPr="00A86B8E" w:rsidRDefault="005B2D76" w:rsidP="005B2D76">
      <w:pPr>
        <w:rPr>
          <w:rFonts w:ascii="Arial" w:hAnsi="Arial" w:cs="Arial"/>
          <w:sz w:val="22"/>
        </w:rPr>
      </w:pPr>
      <w:r w:rsidRPr="00A86B8E">
        <w:rPr>
          <w:rFonts w:ascii="Arial" w:hAnsi="Arial" w:cs="Arial"/>
          <w:sz w:val="22"/>
        </w:rPr>
        <w:t>Que, el artículo 25 numeral 1 inciso n) de la Ley de Partidos, en concordancia con el dispositivo 56 numeral 1 fracción XVIII de la Ley Electoral, disponen que es obligación de los partidos políticos, aplicar el financiamiento de que dispongan exclusivamente para los fines que les hayan sido entregados.</w:t>
      </w:r>
    </w:p>
    <w:p w14:paraId="47E225B8" w14:textId="77777777" w:rsidR="005B2D76" w:rsidRPr="00A86B8E" w:rsidRDefault="005B2D76" w:rsidP="00AA7DD3">
      <w:pPr>
        <w:pStyle w:val="Ttulo2"/>
        <w:rPr>
          <w:rFonts w:ascii="Arial" w:hAnsi="Arial" w:cs="Arial"/>
          <w:sz w:val="22"/>
        </w:rPr>
      </w:pPr>
      <w:r w:rsidRPr="00A86B8E">
        <w:rPr>
          <w:rFonts w:ascii="Arial" w:hAnsi="Arial" w:cs="Arial"/>
          <w:sz w:val="22"/>
        </w:rPr>
        <w:t>Fiscalización de los recursos</w:t>
      </w:r>
    </w:p>
    <w:p w14:paraId="49CDE660" w14:textId="16022088" w:rsidR="005B2D76" w:rsidRPr="00A86B8E" w:rsidRDefault="005B2D76" w:rsidP="005B2D76">
      <w:pPr>
        <w:rPr>
          <w:rFonts w:ascii="Arial" w:hAnsi="Arial" w:cs="Arial"/>
          <w:sz w:val="22"/>
        </w:rPr>
      </w:pPr>
      <w:r w:rsidRPr="00A86B8E">
        <w:rPr>
          <w:rFonts w:ascii="Arial" w:hAnsi="Arial" w:cs="Arial"/>
          <w:sz w:val="22"/>
        </w:rPr>
        <w:t>Que, de acuerdo con el artículo 41 base V, apartado B</w:t>
      </w:r>
      <w:r w:rsidR="00303183" w:rsidRPr="00A86B8E">
        <w:rPr>
          <w:rFonts w:ascii="Arial" w:hAnsi="Arial" w:cs="Arial"/>
          <w:sz w:val="22"/>
        </w:rPr>
        <w:t>, inciso a) numeral 6</w:t>
      </w:r>
      <w:r w:rsidR="00F068E1" w:rsidRPr="00A86B8E">
        <w:rPr>
          <w:rFonts w:ascii="Arial" w:hAnsi="Arial" w:cs="Arial"/>
          <w:sz w:val="22"/>
        </w:rPr>
        <w:t xml:space="preserve"> de la Constitución Federal</w:t>
      </w:r>
      <w:r w:rsidR="00AB69D0" w:rsidRPr="00A86B8E">
        <w:rPr>
          <w:rFonts w:ascii="Arial" w:hAnsi="Arial" w:cs="Arial"/>
          <w:sz w:val="22"/>
        </w:rPr>
        <w:t>,</w:t>
      </w:r>
      <w:r w:rsidRPr="00A86B8E">
        <w:rPr>
          <w:rFonts w:ascii="Arial" w:hAnsi="Arial" w:cs="Arial"/>
          <w:sz w:val="22"/>
        </w:rPr>
        <w:t xml:space="preserve"> corresponde al Consejo General del INE la fiscalización de las finanzas de los partidos políticos y de las campañas de</w:t>
      </w:r>
      <w:r w:rsidR="00A574D5" w:rsidRPr="00A86B8E">
        <w:rPr>
          <w:rFonts w:ascii="Arial" w:hAnsi="Arial" w:cs="Arial"/>
          <w:sz w:val="22"/>
        </w:rPr>
        <w:t xml:space="preserve"> las y</w:t>
      </w:r>
      <w:r w:rsidRPr="00A86B8E">
        <w:rPr>
          <w:rFonts w:ascii="Arial" w:hAnsi="Arial" w:cs="Arial"/>
          <w:sz w:val="22"/>
        </w:rPr>
        <w:t xml:space="preserve"> los candidatos relativas a los procesos electorales federal y locales, para ello, no estará limitado por los secretos bancario, fiduciario y fiscal, y contará con el apoyo de las autoridades federales y locales.</w:t>
      </w:r>
    </w:p>
    <w:p w14:paraId="7B0BC53E" w14:textId="77777777" w:rsidR="005B2D76" w:rsidRPr="00A86B8E" w:rsidRDefault="005B2D76" w:rsidP="00AA7DD3">
      <w:pPr>
        <w:pStyle w:val="Ttulo2"/>
        <w:rPr>
          <w:rFonts w:ascii="Arial" w:hAnsi="Arial" w:cs="Arial"/>
          <w:sz w:val="22"/>
        </w:rPr>
      </w:pPr>
      <w:r w:rsidRPr="00A86B8E">
        <w:rPr>
          <w:rFonts w:ascii="Arial" w:hAnsi="Arial" w:cs="Arial"/>
          <w:sz w:val="22"/>
        </w:rPr>
        <w:t>Determinación de los límites anuales de financiamiento privado</w:t>
      </w:r>
    </w:p>
    <w:p w14:paraId="0D9AC999" w14:textId="1D92F6D5" w:rsidR="005B2D76" w:rsidRPr="00A86B8E" w:rsidRDefault="005B2D76" w:rsidP="005B2D76">
      <w:pPr>
        <w:rPr>
          <w:rFonts w:ascii="Arial" w:hAnsi="Arial" w:cs="Arial"/>
          <w:sz w:val="22"/>
        </w:rPr>
      </w:pPr>
      <w:r w:rsidRPr="00A86B8E">
        <w:rPr>
          <w:rFonts w:ascii="Arial" w:hAnsi="Arial" w:cs="Arial"/>
          <w:sz w:val="22"/>
        </w:rPr>
        <w:t>Que, de acuerdo con los fundamentos y las consideraciones mencionadas, corresponde a este Consejo Estatal determinar los límites anuales de financiamiento privado que podrán percibir los partidos políticos durante el ejercicio</w:t>
      </w:r>
      <w:r w:rsidR="000A1C00" w:rsidRPr="00A86B8E">
        <w:rPr>
          <w:rFonts w:ascii="Arial" w:hAnsi="Arial" w:cs="Arial"/>
          <w:sz w:val="22"/>
        </w:rPr>
        <w:t xml:space="preserve"> 2026</w:t>
      </w:r>
      <w:r w:rsidRPr="00A86B8E">
        <w:rPr>
          <w:rFonts w:ascii="Arial" w:hAnsi="Arial" w:cs="Arial"/>
          <w:sz w:val="22"/>
        </w:rPr>
        <w:t>, conforme a las reglas y criterios contenidos en el artículo 56</w:t>
      </w:r>
      <w:r w:rsidR="00745454" w:rsidRPr="00A86B8E">
        <w:rPr>
          <w:rFonts w:ascii="Arial" w:hAnsi="Arial" w:cs="Arial"/>
          <w:sz w:val="22"/>
        </w:rPr>
        <w:t>,</w:t>
      </w:r>
      <w:r w:rsidRPr="00A86B8E">
        <w:rPr>
          <w:rFonts w:ascii="Arial" w:hAnsi="Arial" w:cs="Arial"/>
          <w:sz w:val="22"/>
        </w:rPr>
        <w:t xml:space="preserve"> numeral 2</w:t>
      </w:r>
      <w:r w:rsidR="00745454" w:rsidRPr="00A86B8E">
        <w:rPr>
          <w:rFonts w:ascii="Arial" w:hAnsi="Arial" w:cs="Arial"/>
          <w:sz w:val="22"/>
        </w:rPr>
        <w:t>,</w:t>
      </w:r>
      <w:r w:rsidRPr="00A86B8E">
        <w:rPr>
          <w:rFonts w:ascii="Arial" w:hAnsi="Arial" w:cs="Arial"/>
          <w:sz w:val="22"/>
        </w:rPr>
        <w:t xml:space="preserve"> inciso a)</w:t>
      </w:r>
      <w:r w:rsidR="00745454" w:rsidRPr="00A86B8E">
        <w:rPr>
          <w:rFonts w:ascii="Arial" w:hAnsi="Arial" w:cs="Arial"/>
          <w:sz w:val="22"/>
        </w:rPr>
        <w:t>,</w:t>
      </w:r>
      <w:r w:rsidRPr="00A86B8E">
        <w:rPr>
          <w:rFonts w:ascii="Arial" w:hAnsi="Arial" w:cs="Arial"/>
          <w:sz w:val="22"/>
        </w:rPr>
        <w:t xml:space="preserve"> de la Ley de Partidos, en relación con el diverso 75 numeral 2 de la Ley Electoral.</w:t>
      </w:r>
    </w:p>
    <w:p w14:paraId="0A6B8C08" w14:textId="423DB26A" w:rsidR="00DF4735" w:rsidRPr="00A86B8E" w:rsidRDefault="00DF4735" w:rsidP="005B2D76">
      <w:pPr>
        <w:rPr>
          <w:rFonts w:ascii="Arial" w:hAnsi="Arial" w:cs="Arial"/>
          <w:sz w:val="22"/>
        </w:rPr>
      </w:pPr>
      <w:r w:rsidRPr="00A86B8E">
        <w:rPr>
          <w:rFonts w:ascii="Arial" w:hAnsi="Arial" w:cs="Arial"/>
          <w:sz w:val="22"/>
        </w:rPr>
        <w:t>En ese tenor, a partir de los porcentajes mencionados, los límites al financiamiento privado se obtienen de la siguiente forma:</w:t>
      </w:r>
    </w:p>
    <w:p w14:paraId="06349F9E" w14:textId="77777777" w:rsidR="005B2D76" w:rsidRPr="00A86B8E" w:rsidRDefault="005B2D76" w:rsidP="00DF4735">
      <w:pPr>
        <w:pStyle w:val="Ttulo3"/>
        <w:rPr>
          <w:rFonts w:ascii="Arial" w:hAnsi="Arial" w:cs="Arial"/>
          <w:sz w:val="22"/>
        </w:rPr>
      </w:pPr>
      <w:r w:rsidRPr="00A86B8E">
        <w:rPr>
          <w:rFonts w:ascii="Arial" w:hAnsi="Arial" w:cs="Arial"/>
          <w:sz w:val="22"/>
        </w:rPr>
        <w:t>Límite anual de aportaciones de las y los militantes</w:t>
      </w:r>
    </w:p>
    <w:p w14:paraId="2BDC2A3F" w14:textId="5C45AE22" w:rsidR="00ED0A70" w:rsidRPr="00A86B8E" w:rsidRDefault="005B2D76" w:rsidP="005B2D76">
      <w:pPr>
        <w:rPr>
          <w:rFonts w:ascii="Arial" w:hAnsi="Arial" w:cs="Arial"/>
        </w:rPr>
      </w:pPr>
      <w:r w:rsidRPr="00A86B8E">
        <w:rPr>
          <w:rFonts w:ascii="Arial" w:hAnsi="Arial" w:cs="Arial"/>
          <w:sz w:val="22"/>
        </w:rPr>
        <w:t>Conforme al inciso a) del numeral 2 del artículo 56 de la Ley de Partidos, el límite anual de financiamiento privado que cada partido político podrá pe</w:t>
      </w:r>
      <w:r w:rsidR="00AA7DD3" w:rsidRPr="00A86B8E">
        <w:rPr>
          <w:rFonts w:ascii="Arial" w:hAnsi="Arial" w:cs="Arial"/>
          <w:sz w:val="22"/>
        </w:rPr>
        <w:t>rcibir durante el ejercicio</w:t>
      </w:r>
      <w:r w:rsidR="000A1C00" w:rsidRPr="00A86B8E">
        <w:rPr>
          <w:rFonts w:ascii="Arial" w:hAnsi="Arial" w:cs="Arial"/>
          <w:sz w:val="22"/>
        </w:rPr>
        <w:t xml:space="preserve"> 2026 </w:t>
      </w:r>
      <w:r w:rsidRPr="00A86B8E">
        <w:rPr>
          <w:rFonts w:ascii="Arial" w:hAnsi="Arial" w:cs="Arial"/>
          <w:sz w:val="22"/>
        </w:rPr>
        <w:t>se obtiene de aplicar el 2% sobre el financiamiento público otorgado a la totalidad de los partidos políticos para el sostenimiento de sus actividades ordinarias. En ese sentido, de las operaciones aritméticas se obtienen los siguientes</w:t>
      </w:r>
      <w:r w:rsidRPr="00A86B8E">
        <w:rPr>
          <w:rFonts w:ascii="Arial" w:hAnsi="Arial" w:cs="Arial"/>
        </w:rPr>
        <w:t xml:space="preserve"> montos:</w:t>
      </w:r>
    </w:p>
    <w:tbl>
      <w:tblPr>
        <w:tblStyle w:val="Tablaconcuadrcula"/>
        <w:tblW w:w="0" w:type="auto"/>
        <w:tblInd w:w="562"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111"/>
        <w:gridCol w:w="3827"/>
      </w:tblGrid>
      <w:tr w:rsidR="00AA7DD3" w:rsidRPr="00A86B8E" w14:paraId="57779036" w14:textId="77777777" w:rsidTr="00C7483F">
        <w:tc>
          <w:tcPr>
            <w:tcW w:w="4111" w:type="dxa"/>
            <w:shd w:val="clear" w:color="auto" w:fill="993366"/>
          </w:tcPr>
          <w:p w14:paraId="384D6F0E" w14:textId="1F6EC083" w:rsidR="00AA7DD3" w:rsidRPr="00A86B8E" w:rsidRDefault="00AA7DD3" w:rsidP="00AE305F">
            <w:pPr>
              <w:spacing w:before="40" w:after="40" w:line="240" w:lineRule="auto"/>
              <w:jc w:val="center"/>
              <w:rPr>
                <w:rFonts w:ascii="Arial" w:hAnsi="Arial" w:cs="Arial"/>
                <w:b/>
                <w:bCs/>
                <w:color w:val="FFFFFF" w:themeColor="background1"/>
                <w:sz w:val="16"/>
                <w:szCs w:val="20"/>
              </w:rPr>
            </w:pPr>
            <w:r w:rsidRPr="00A86B8E">
              <w:rPr>
                <w:rFonts w:ascii="Arial" w:hAnsi="Arial" w:cs="Arial"/>
                <w:b/>
                <w:bCs/>
                <w:color w:val="FFFFFF" w:themeColor="background1"/>
                <w:sz w:val="16"/>
                <w:szCs w:val="20"/>
              </w:rPr>
              <w:lastRenderedPageBreak/>
              <w:t>Total de financiamiento público para actividades ordinarias para los partidos políticos para el ejercicio 202</w:t>
            </w:r>
            <w:r w:rsidR="00F22CBC" w:rsidRPr="00A86B8E">
              <w:rPr>
                <w:rFonts w:ascii="Arial" w:hAnsi="Arial" w:cs="Arial"/>
                <w:b/>
                <w:bCs/>
                <w:color w:val="FFFFFF" w:themeColor="background1"/>
                <w:sz w:val="16"/>
                <w:szCs w:val="20"/>
              </w:rPr>
              <w:t>6</w:t>
            </w:r>
            <w:r w:rsidRPr="00A86B8E">
              <w:rPr>
                <w:rFonts w:ascii="Arial" w:hAnsi="Arial" w:cs="Arial"/>
                <w:b/>
                <w:bCs/>
                <w:color w:val="FFFFFF" w:themeColor="background1"/>
                <w:sz w:val="16"/>
                <w:szCs w:val="20"/>
              </w:rPr>
              <w:t xml:space="preserve"> (CE/202</w:t>
            </w:r>
            <w:r w:rsidR="0055010C" w:rsidRPr="00A86B8E">
              <w:rPr>
                <w:rFonts w:ascii="Arial" w:hAnsi="Arial" w:cs="Arial"/>
                <w:b/>
                <w:bCs/>
                <w:color w:val="FFFFFF" w:themeColor="background1"/>
                <w:sz w:val="16"/>
                <w:szCs w:val="20"/>
              </w:rPr>
              <w:t>5</w:t>
            </w:r>
            <w:r w:rsidRPr="00A86B8E">
              <w:rPr>
                <w:rFonts w:ascii="Arial" w:hAnsi="Arial" w:cs="Arial"/>
                <w:b/>
                <w:bCs/>
                <w:color w:val="FFFFFF" w:themeColor="background1"/>
                <w:sz w:val="16"/>
                <w:szCs w:val="20"/>
              </w:rPr>
              <w:t>/</w:t>
            </w:r>
            <w:r w:rsidR="00B11DB7" w:rsidRPr="00A86B8E">
              <w:rPr>
                <w:rFonts w:ascii="Arial" w:hAnsi="Arial" w:cs="Arial"/>
                <w:b/>
                <w:bCs/>
                <w:color w:val="FFFFFF" w:themeColor="background1"/>
                <w:sz w:val="16"/>
                <w:szCs w:val="20"/>
              </w:rPr>
              <w:t>0</w:t>
            </w:r>
            <w:r w:rsidR="00F22CBC" w:rsidRPr="00A86B8E">
              <w:rPr>
                <w:rFonts w:ascii="Arial" w:hAnsi="Arial" w:cs="Arial"/>
                <w:b/>
                <w:bCs/>
                <w:color w:val="FFFFFF" w:themeColor="background1"/>
                <w:sz w:val="16"/>
                <w:szCs w:val="20"/>
              </w:rPr>
              <w:t>85)</w:t>
            </w:r>
          </w:p>
        </w:tc>
        <w:tc>
          <w:tcPr>
            <w:tcW w:w="3827" w:type="dxa"/>
            <w:shd w:val="clear" w:color="auto" w:fill="993366"/>
          </w:tcPr>
          <w:p w14:paraId="0DAA4075" w14:textId="77777777" w:rsidR="00AA7DD3" w:rsidRPr="00A86B8E" w:rsidRDefault="00AA7DD3" w:rsidP="00AE305F">
            <w:pPr>
              <w:spacing w:before="40" w:after="40" w:line="240" w:lineRule="auto"/>
              <w:jc w:val="center"/>
              <w:rPr>
                <w:rFonts w:ascii="Arial" w:hAnsi="Arial" w:cs="Arial"/>
                <w:b/>
                <w:bCs/>
                <w:color w:val="FFFFFF" w:themeColor="background1"/>
                <w:sz w:val="16"/>
                <w:szCs w:val="20"/>
              </w:rPr>
            </w:pPr>
            <w:r w:rsidRPr="00A86B8E">
              <w:rPr>
                <w:rFonts w:ascii="Arial" w:hAnsi="Arial" w:cs="Arial"/>
                <w:b/>
                <w:bCs/>
                <w:color w:val="FFFFFF" w:themeColor="background1"/>
                <w:sz w:val="16"/>
                <w:szCs w:val="20"/>
              </w:rPr>
              <w:t>Límite anual aportación de militantes (2% del financiamiento público para actividades ordinarias de todos los partidos políticos)</w:t>
            </w:r>
          </w:p>
        </w:tc>
      </w:tr>
      <w:tr w:rsidR="00AA7DD3" w:rsidRPr="00A86B8E" w14:paraId="52BC5640" w14:textId="77777777" w:rsidTr="00C7483F">
        <w:tc>
          <w:tcPr>
            <w:tcW w:w="4111" w:type="dxa"/>
          </w:tcPr>
          <w:p w14:paraId="20E43AF1" w14:textId="77777777" w:rsidR="00AA7DD3" w:rsidRPr="00A86B8E" w:rsidRDefault="00AA7DD3" w:rsidP="00C7483F">
            <w:pPr>
              <w:spacing w:before="40" w:after="40" w:line="300" w:lineRule="auto"/>
              <w:jc w:val="center"/>
              <w:rPr>
                <w:rFonts w:ascii="Arial" w:hAnsi="Arial" w:cs="Arial"/>
                <w:b/>
                <w:bCs/>
                <w:sz w:val="20"/>
                <w:szCs w:val="20"/>
              </w:rPr>
            </w:pPr>
            <w:r w:rsidRPr="00A86B8E">
              <w:rPr>
                <w:rFonts w:ascii="Arial" w:hAnsi="Arial" w:cs="Arial"/>
                <w:b/>
                <w:bCs/>
                <w:sz w:val="20"/>
                <w:szCs w:val="20"/>
              </w:rPr>
              <w:t>A</w:t>
            </w:r>
          </w:p>
        </w:tc>
        <w:tc>
          <w:tcPr>
            <w:tcW w:w="3827" w:type="dxa"/>
          </w:tcPr>
          <w:p w14:paraId="6EB5E26D" w14:textId="77777777" w:rsidR="00AA7DD3" w:rsidRPr="00A86B8E" w:rsidRDefault="00AA7DD3" w:rsidP="00C7483F">
            <w:pPr>
              <w:spacing w:before="40" w:after="40" w:line="300" w:lineRule="auto"/>
              <w:jc w:val="center"/>
              <w:rPr>
                <w:rFonts w:ascii="Arial" w:hAnsi="Arial" w:cs="Arial"/>
                <w:b/>
                <w:bCs/>
                <w:sz w:val="20"/>
                <w:szCs w:val="20"/>
              </w:rPr>
            </w:pPr>
            <w:r w:rsidRPr="00A86B8E">
              <w:rPr>
                <w:rFonts w:ascii="Arial" w:hAnsi="Arial" w:cs="Arial"/>
                <w:b/>
                <w:bCs/>
                <w:sz w:val="20"/>
                <w:szCs w:val="20"/>
              </w:rPr>
              <w:t>B= A × 2%</w:t>
            </w:r>
          </w:p>
        </w:tc>
      </w:tr>
      <w:tr w:rsidR="00AA7DD3" w:rsidRPr="00A86B8E" w14:paraId="6510913D" w14:textId="77777777" w:rsidTr="00C7483F">
        <w:tc>
          <w:tcPr>
            <w:tcW w:w="4111" w:type="dxa"/>
          </w:tcPr>
          <w:p w14:paraId="1E45A966" w14:textId="1B19A173" w:rsidR="00AA7DD3" w:rsidRPr="00A86B8E" w:rsidRDefault="00B11DB7" w:rsidP="00C7483F">
            <w:pPr>
              <w:spacing w:before="40" w:after="40" w:line="300" w:lineRule="auto"/>
              <w:jc w:val="center"/>
              <w:rPr>
                <w:rFonts w:ascii="Arial" w:hAnsi="Arial" w:cs="Arial"/>
                <w:b/>
                <w:bCs/>
                <w:sz w:val="20"/>
                <w:szCs w:val="20"/>
              </w:rPr>
            </w:pPr>
            <w:r w:rsidRPr="00A86B8E">
              <w:rPr>
                <w:rFonts w:ascii="Arial" w:hAnsi="Arial" w:cs="Arial"/>
                <w:b/>
                <w:bCs/>
                <w:sz w:val="20"/>
                <w:szCs w:val="20"/>
              </w:rPr>
              <w:t>$7</w:t>
            </w:r>
            <w:r w:rsidR="00AF4964" w:rsidRPr="00A86B8E">
              <w:rPr>
                <w:rFonts w:ascii="Arial" w:hAnsi="Arial" w:cs="Arial"/>
                <w:b/>
                <w:bCs/>
                <w:sz w:val="20"/>
                <w:szCs w:val="20"/>
              </w:rPr>
              <w:t>4</w:t>
            </w:r>
            <w:r w:rsidRPr="00A86B8E">
              <w:rPr>
                <w:rFonts w:ascii="Arial" w:hAnsi="Arial" w:cs="Arial"/>
                <w:b/>
                <w:bCs/>
                <w:sz w:val="20"/>
                <w:szCs w:val="20"/>
              </w:rPr>
              <w:t>’</w:t>
            </w:r>
            <w:r w:rsidR="00AF4964" w:rsidRPr="00A86B8E">
              <w:rPr>
                <w:rFonts w:ascii="Arial" w:hAnsi="Arial" w:cs="Arial"/>
                <w:b/>
                <w:bCs/>
                <w:sz w:val="20"/>
                <w:szCs w:val="20"/>
              </w:rPr>
              <w:t>996,246</w:t>
            </w:r>
            <w:r w:rsidRPr="00A86B8E">
              <w:rPr>
                <w:rFonts w:ascii="Arial" w:hAnsi="Arial" w:cs="Arial"/>
                <w:b/>
                <w:bCs/>
                <w:sz w:val="20"/>
                <w:szCs w:val="20"/>
              </w:rPr>
              <w:t>.</w:t>
            </w:r>
            <w:r w:rsidR="00AF4964" w:rsidRPr="00A86B8E">
              <w:rPr>
                <w:rFonts w:ascii="Arial" w:hAnsi="Arial" w:cs="Arial"/>
                <w:b/>
                <w:bCs/>
                <w:sz w:val="20"/>
                <w:szCs w:val="20"/>
              </w:rPr>
              <w:t>22</w:t>
            </w:r>
          </w:p>
        </w:tc>
        <w:tc>
          <w:tcPr>
            <w:tcW w:w="3827" w:type="dxa"/>
          </w:tcPr>
          <w:p w14:paraId="718060DA" w14:textId="35C4F4C4" w:rsidR="00AA7DD3" w:rsidRPr="00A86B8E" w:rsidRDefault="00B11DB7" w:rsidP="00C7483F">
            <w:pPr>
              <w:spacing w:before="40" w:after="40" w:line="300" w:lineRule="auto"/>
              <w:jc w:val="center"/>
              <w:rPr>
                <w:rFonts w:ascii="Arial" w:hAnsi="Arial" w:cs="Arial"/>
                <w:b/>
                <w:bCs/>
                <w:sz w:val="20"/>
                <w:szCs w:val="20"/>
              </w:rPr>
            </w:pPr>
            <w:r w:rsidRPr="00A86B8E">
              <w:rPr>
                <w:rFonts w:ascii="Arial" w:hAnsi="Arial" w:cs="Arial"/>
                <w:b/>
                <w:bCs/>
                <w:sz w:val="20"/>
                <w:szCs w:val="20"/>
              </w:rPr>
              <w:t>$1’4</w:t>
            </w:r>
            <w:r w:rsidR="00754927" w:rsidRPr="00A86B8E">
              <w:rPr>
                <w:rFonts w:ascii="Arial" w:hAnsi="Arial" w:cs="Arial"/>
                <w:b/>
                <w:bCs/>
                <w:sz w:val="20"/>
                <w:szCs w:val="20"/>
              </w:rPr>
              <w:t>99</w:t>
            </w:r>
            <w:r w:rsidRPr="00A86B8E">
              <w:rPr>
                <w:rFonts w:ascii="Arial" w:hAnsi="Arial" w:cs="Arial"/>
                <w:b/>
                <w:bCs/>
                <w:sz w:val="20"/>
                <w:szCs w:val="20"/>
              </w:rPr>
              <w:t>,</w:t>
            </w:r>
            <w:r w:rsidR="00754927" w:rsidRPr="00A86B8E">
              <w:rPr>
                <w:rFonts w:ascii="Arial" w:hAnsi="Arial" w:cs="Arial"/>
                <w:b/>
                <w:bCs/>
                <w:sz w:val="20"/>
                <w:szCs w:val="20"/>
              </w:rPr>
              <w:t>924</w:t>
            </w:r>
            <w:r w:rsidRPr="00A86B8E">
              <w:rPr>
                <w:rFonts w:ascii="Arial" w:hAnsi="Arial" w:cs="Arial"/>
                <w:b/>
                <w:bCs/>
                <w:sz w:val="20"/>
                <w:szCs w:val="20"/>
              </w:rPr>
              <w:t>.</w:t>
            </w:r>
            <w:r w:rsidR="00754927" w:rsidRPr="00A86B8E">
              <w:rPr>
                <w:rFonts w:ascii="Arial" w:hAnsi="Arial" w:cs="Arial"/>
                <w:b/>
                <w:bCs/>
                <w:sz w:val="20"/>
                <w:szCs w:val="20"/>
              </w:rPr>
              <w:t>92</w:t>
            </w:r>
          </w:p>
        </w:tc>
      </w:tr>
    </w:tbl>
    <w:p w14:paraId="47A0CFB7" w14:textId="6366E392" w:rsidR="00AA7DD3" w:rsidRPr="00A86B8E" w:rsidRDefault="00AA7DD3" w:rsidP="009A15DB">
      <w:pPr>
        <w:pStyle w:val="Ttulo3"/>
        <w:rPr>
          <w:rFonts w:ascii="Arial" w:hAnsi="Arial" w:cs="Arial"/>
          <w:sz w:val="22"/>
        </w:rPr>
      </w:pPr>
      <w:r w:rsidRPr="00A86B8E">
        <w:rPr>
          <w:rFonts w:ascii="Arial" w:hAnsi="Arial" w:cs="Arial"/>
          <w:sz w:val="22"/>
        </w:rPr>
        <w:t xml:space="preserve">Límite anual </w:t>
      </w:r>
      <w:r w:rsidR="0015750F" w:rsidRPr="00A86B8E">
        <w:rPr>
          <w:rFonts w:ascii="Arial" w:hAnsi="Arial" w:cs="Arial"/>
          <w:sz w:val="22"/>
        </w:rPr>
        <w:t xml:space="preserve">e individual </w:t>
      </w:r>
      <w:r w:rsidRPr="00A86B8E">
        <w:rPr>
          <w:rFonts w:ascii="Arial" w:hAnsi="Arial" w:cs="Arial"/>
          <w:sz w:val="22"/>
        </w:rPr>
        <w:t>de las aportaciones de simpatizantes y candidaturas</w:t>
      </w:r>
    </w:p>
    <w:p w14:paraId="7F4D714C" w14:textId="5E12D529" w:rsidR="00AA7DD3" w:rsidRPr="00A86B8E" w:rsidRDefault="00AA7DD3" w:rsidP="00AA7DD3">
      <w:pPr>
        <w:rPr>
          <w:rFonts w:ascii="Arial" w:hAnsi="Arial" w:cs="Arial"/>
        </w:rPr>
      </w:pPr>
      <w:r w:rsidRPr="00A86B8E">
        <w:rPr>
          <w:rFonts w:ascii="Arial" w:hAnsi="Arial" w:cs="Arial"/>
          <w:sz w:val="22"/>
        </w:rPr>
        <w:t xml:space="preserve">En lo que respecta a los límites de financiamiento privado por parte de las y los simpatizantes y candidaturas de partidos políticos durante el Proceso Electoral para ser utilizadas en las campañas de sus candidaturas, su monto se obtiene de aplicar el 10% del tope de gasto para la elección presidencial inmediata anterior, y de forma individual, las aportaciones de simpatizantes tendrán como límite anual el 0.5 por ciento del tope de gasto para la elección presidencial inmediata anterior; sin embargo, </w:t>
      </w:r>
      <w:r w:rsidR="000C76C0" w:rsidRPr="00A86B8E">
        <w:rPr>
          <w:rFonts w:ascii="Arial" w:hAnsi="Arial" w:cs="Arial"/>
          <w:sz w:val="22"/>
        </w:rPr>
        <w:t xml:space="preserve">de la interpretación sistemática se </w:t>
      </w:r>
      <w:r w:rsidRPr="00A86B8E">
        <w:rPr>
          <w:rFonts w:ascii="Arial" w:hAnsi="Arial" w:cs="Arial"/>
          <w:sz w:val="22"/>
        </w:rPr>
        <w:t>considera el tope de gastos de la elección de la Gubernatura inmediata anterior por tratarse de un límite</w:t>
      </w:r>
      <w:r w:rsidRPr="00A86B8E">
        <w:rPr>
          <w:rFonts w:ascii="Arial" w:hAnsi="Arial" w:cs="Arial"/>
        </w:rPr>
        <w:t xml:space="preserve"> referido al ámbito local. Con base en ello se obtienen los siguientes montos:</w:t>
      </w:r>
    </w:p>
    <w:tbl>
      <w:tblPr>
        <w:tblStyle w:val="Tablaconcuadrcula"/>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755"/>
        <w:gridCol w:w="2755"/>
        <w:gridCol w:w="2756"/>
      </w:tblGrid>
      <w:tr w:rsidR="00AA7DD3" w:rsidRPr="00A86B8E" w14:paraId="2577EE23" w14:textId="77777777" w:rsidTr="00C7483F">
        <w:trPr>
          <w:jc w:val="center"/>
        </w:trPr>
        <w:tc>
          <w:tcPr>
            <w:tcW w:w="2755" w:type="dxa"/>
            <w:shd w:val="clear" w:color="auto" w:fill="993366"/>
            <w:vAlign w:val="center"/>
          </w:tcPr>
          <w:p w14:paraId="59007E4C" w14:textId="77777777" w:rsidR="00AA7DD3" w:rsidRPr="00A86B8E" w:rsidRDefault="00AA7DD3" w:rsidP="00AE305F">
            <w:pPr>
              <w:spacing w:before="40" w:after="40" w:line="240" w:lineRule="auto"/>
              <w:jc w:val="center"/>
              <w:rPr>
                <w:rFonts w:ascii="Arial" w:hAnsi="Arial" w:cs="Arial"/>
                <w:b/>
                <w:bCs/>
                <w:color w:val="FFFFFF" w:themeColor="background1"/>
                <w:sz w:val="16"/>
                <w:szCs w:val="20"/>
              </w:rPr>
            </w:pPr>
            <w:r w:rsidRPr="00A86B8E">
              <w:rPr>
                <w:rFonts w:ascii="Arial" w:hAnsi="Arial" w:cs="Arial"/>
                <w:b/>
                <w:bCs/>
                <w:color w:val="FFFFFF" w:themeColor="background1"/>
                <w:sz w:val="16"/>
                <w:szCs w:val="20"/>
              </w:rPr>
              <w:t>Tope de gastos para la elección de la Gubernatura 2023-2024</w:t>
            </w:r>
          </w:p>
          <w:p w14:paraId="02FA1609" w14:textId="77777777" w:rsidR="00AA7DD3" w:rsidRPr="00A86B8E" w:rsidRDefault="00AA7DD3" w:rsidP="00AE305F">
            <w:pPr>
              <w:spacing w:before="40" w:after="40" w:line="240" w:lineRule="auto"/>
              <w:jc w:val="center"/>
              <w:rPr>
                <w:rFonts w:ascii="Arial" w:hAnsi="Arial" w:cs="Arial"/>
                <w:b/>
                <w:bCs/>
                <w:color w:val="FFFFFF" w:themeColor="background1"/>
                <w:sz w:val="16"/>
                <w:szCs w:val="20"/>
              </w:rPr>
            </w:pPr>
            <w:r w:rsidRPr="00A86B8E">
              <w:rPr>
                <w:rFonts w:ascii="Arial" w:hAnsi="Arial" w:cs="Arial"/>
                <w:b/>
                <w:bCs/>
                <w:color w:val="FFFFFF" w:themeColor="background1"/>
                <w:sz w:val="16"/>
                <w:szCs w:val="20"/>
              </w:rPr>
              <w:t>CE/2023/048</w:t>
            </w:r>
          </w:p>
        </w:tc>
        <w:tc>
          <w:tcPr>
            <w:tcW w:w="2755" w:type="dxa"/>
            <w:shd w:val="clear" w:color="auto" w:fill="993366"/>
            <w:vAlign w:val="center"/>
          </w:tcPr>
          <w:p w14:paraId="4F2C0460" w14:textId="2C0F1510" w:rsidR="00AA7DD3" w:rsidRPr="00A86B8E" w:rsidRDefault="00AA7DD3" w:rsidP="00AE305F">
            <w:pPr>
              <w:spacing w:before="40" w:after="40" w:line="240" w:lineRule="auto"/>
              <w:jc w:val="center"/>
              <w:rPr>
                <w:rFonts w:ascii="Arial" w:hAnsi="Arial" w:cs="Arial"/>
                <w:b/>
                <w:bCs/>
                <w:color w:val="FFFFFF" w:themeColor="background1"/>
                <w:sz w:val="16"/>
                <w:szCs w:val="20"/>
              </w:rPr>
            </w:pPr>
            <w:r w:rsidRPr="00A86B8E">
              <w:rPr>
                <w:rFonts w:ascii="Arial" w:hAnsi="Arial" w:cs="Arial"/>
                <w:b/>
                <w:bCs/>
                <w:color w:val="FFFFFF" w:themeColor="background1"/>
                <w:sz w:val="16"/>
                <w:szCs w:val="20"/>
              </w:rPr>
              <w:t>Límite de aportaciones de las candidaturas y simpatizantes para el ejercicio 202</w:t>
            </w:r>
            <w:r w:rsidR="00F22CBC" w:rsidRPr="00A86B8E">
              <w:rPr>
                <w:rFonts w:ascii="Arial" w:hAnsi="Arial" w:cs="Arial"/>
                <w:b/>
                <w:bCs/>
                <w:color w:val="FFFFFF" w:themeColor="background1"/>
                <w:sz w:val="16"/>
                <w:szCs w:val="20"/>
              </w:rPr>
              <w:t>6</w:t>
            </w:r>
            <w:r w:rsidRPr="00A86B8E">
              <w:rPr>
                <w:rFonts w:ascii="Arial" w:hAnsi="Arial" w:cs="Arial"/>
                <w:b/>
                <w:bCs/>
                <w:color w:val="FFFFFF" w:themeColor="background1"/>
                <w:sz w:val="16"/>
                <w:szCs w:val="20"/>
              </w:rPr>
              <w:t xml:space="preserve"> (10% del tope de gastos para la elección a la Gubernatura inmediata anterior)</w:t>
            </w:r>
          </w:p>
        </w:tc>
        <w:tc>
          <w:tcPr>
            <w:tcW w:w="2756" w:type="dxa"/>
            <w:shd w:val="clear" w:color="auto" w:fill="993366"/>
            <w:vAlign w:val="center"/>
          </w:tcPr>
          <w:p w14:paraId="66B0BE0D" w14:textId="77777777" w:rsidR="00AA7DD3" w:rsidRPr="00A86B8E" w:rsidRDefault="00AA7DD3" w:rsidP="00AE305F">
            <w:pPr>
              <w:spacing w:before="40" w:after="40" w:line="240" w:lineRule="auto"/>
              <w:jc w:val="center"/>
              <w:rPr>
                <w:rFonts w:ascii="Arial" w:hAnsi="Arial" w:cs="Arial"/>
                <w:b/>
                <w:bCs/>
                <w:color w:val="FFFFFF" w:themeColor="background1"/>
                <w:sz w:val="16"/>
                <w:szCs w:val="20"/>
              </w:rPr>
            </w:pPr>
            <w:r w:rsidRPr="00A86B8E">
              <w:rPr>
                <w:rFonts w:ascii="Arial" w:hAnsi="Arial" w:cs="Arial"/>
                <w:b/>
                <w:bCs/>
                <w:color w:val="FFFFFF" w:themeColor="background1"/>
                <w:sz w:val="16"/>
                <w:szCs w:val="20"/>
              </w:rPr>
              <w:t>Aportación individual anual de simpatizantes (0.5% del tope de gastos para la elección a la Gubernatura inmediata anterior)</w:t>
            </w:r>
          </w:p>
        </w:tc>
      </w:tr>
      <w:tr w:rsidR="00AA7DD3" w:rsidRPr="00A86B8E" w14:paraId="0E14BE0E" w14:textId="77777777" w:rsidTr="00C7483F">
        <w:trPr>
          <w:jc w:val="center"/>
        </w:trPr>
        <w:tc>
          <w:tcPr>
            <w:tcW w:w="2755" w:type="dxa"/>
            <w:vAlign w:val="center"/>
          </w:tcPr>
          <w:p w14:paraId="04F78065" w14:textId="77777777" w:rsidR="00AA7DD3" w:rsidRPr="00A86B8E" w:rsidRDefault="00AA7DD3" w:rsidP="00C7483F">
            <w:pPr>
              <w:spacing w:before="40" w:after="40" w:line="300" w:lineRule="auto"/>
              <w:jc w:val="center"/>
              <w:rPr>
                <w:rFonts w:ascii="Arial" w:hAnsi="Arial" w:cs="Arial"/>
                <w:b/>
                <w:bCs/>
                <w:sz w:val="18"/>
                <w:szCs w:val="18"/>
              </w:rPr>
            </w:pPr>
            <w:r w:rsidRPr="00A86B8E">
              <w:rPr>
                <w:rFonts w:ascii="Arial" w:hAnsi="Arial" w:cs="Arial"/>
                <w:b/>
                <w:bCs/>
                <w:sz w:val="18"/>
                <w:szCs w:val="18"/>
              </w:rPr>
              <w:t>A</w:t>
            </w:r>
          </w:p>
        </w:tc>
        <w:tc>
          <w:tcPr>
            <w:tcW w:w="2755" w:type="dxa"/>
            <w:vAlign w:val="center"/>
          </w:tcPr>
          <w:p w14:paraId="260567B4" w14:textId="77777777" w:rsidR="00AA7DD3" w:rsidRPr="00A86B8E" w:rsidRDefault="00AA7DD3" w:rsidP="00C7483F">
            <w:pPr>
              <w:spacing w:before="40" w:after="40" w:line="300" w:lineRule="auto"/>
              <w:jc w:val="center"/>
              <w:rPr>
                <w:rFonts w:ascii="Arial" w:hAnsi="Arial" w:cs="Arial"/>
                <w:b/>
                <w:bCs/>
                <w:sz w:val="18"/>
                <w:szCs w:val="18"/>
              </w:rPr>
            </w:pPr>
            <w:r w:rsidRPr="00A86B8E">
              <w:rPr>
                <w:rFonts w:ascii="Arial" w:hAnsi="Arial" w:cs="Arial"/>
                <w:b/>
                <w:bCs/>
                <w:sz w:val="18"/>
                <w:szCs w:val="18"/>
              </w:rPr>
              <w:t>B= A × 10%</w:t>
            </w:r>
          </w:p>
        </w:tc>
        <w:tc>
          <w:tcPr>
            <w:tcW w:w="2756" w:type="dxa"/>
            <w:vAlign w:val="center"/>
          </w:tcPr>
          <w:p w14:paraId="38682308" w14:textId="77777777" w:rsidR="00AA7DD3" w:rsidRPr="00A86B8E" w:rsidRDefault="00AA7DD3" w:rsidP="00C7483F">
            <w:pPr>
              <w:spacing w:before="40" w:after="40" w:line="300" w:lineRule="auto"/>
              <w:jc w:val="center"/>
              <w:rPr>
                <w:rFonts w:ascii="Arial" w:hAnsi="Arial" w:cs="Arial"/>
                <w:b/>
                <w:bCs/>
                <w:sz w:val="18"/>
                <w:szCs w:val="18"/>
              </w:rPr>
            </w:pPr>
            <w:r w:rsidRPr="00A86B8E">
              <w:rPr>
                <w:rFonts w:ascii="Arial" w:hAnsi="Arial" w:cs="Arial"/>
                <w:b/>
                <w:bCs/>
                <w:sz w:val="18"/>
                <w:szCs w:val="18"/>
              </w:rPr>
              <w:t>C= A × 0.5%</w:t>
            </w:r>
          </w:p>
        </w:tc>
      </w:tr>
      <w:tr w:rsidR="00AA7DD3" w:rsidRPr="00A86B8E" w14:paraId="41AA0697" w14:textId="77777777" w:rsidTr="00C7483F">
        <w:trPr>
          <w:jc w:val="center"/>
        </w:trPr>
        <w:tc>
          <w:tcPr>
            <w:tcW w:w="2755" w:type="dxa"/>
            <w:vAlign w:val="center"/>
          </w:tcPr>
          <w:p w14:paraId="4CCBD1E3" w14:textId="0C16FF03" w:rsidR="00AA7DD3" w:rsidRPr="00A86B8E" w:rsidRDefault="00900300" w:rsidP="00AA7DD3">
            <w:pPr>
              <w:spacing w:before="40" w:after="40" w:line="300" w:lineRule="auto"/>
              <w:jc w:val="center"/>
              <w:rPr>
                <w:rFonts w:ascii="Arial" w:hAnsi="Arial" w:cs="Arial"/>
                <w:b/>
                <w:bCs/>
                <w:sz w:val="20"/>
                <w:szCs w:val="20"/>
              </w:rPr>
            </w:pPr>
            <w:r w:rsidRPr="00A86B8E">
              <w:rPr>
                <w:rFonts w:ascii="Arial" w:hAnsi="Arial" w:cs="Arial"/>
                <w:b/>
                <w:bCs/>
                <w:sz w:val="20"/>
                <w:szCs w:val="20"/>
              </w:rPr>
              <w:t>$</w:t>
            </w:r>
            <w:r w:rsidR="003E65EA" w:rsidRPr="00A86B8E">
              <w:rPr>
                <w:rFonts w:ascii="Arial" w:hAnsi="Arial" w:cs="Arial"/>
                <w:b/>
                <w:bCs/>
                <w:sz w:val="20"/>
                <w:szCs w:val="20"/>
              </w:rPr>
              <w:t>15’172,034.00</w:t>
            </w:r>
          </w:p>
        </w:tc>
        <w:tc>
          <w:tcPr>
            <w:tcW w:w="2755" w:type="dxa"/>
            <w:vAlign w:val="center"/>
          </w:tcPr>
          <w:p w14:paraId="423FD126" w14:textId="75E1BA91" w:rsidR="00AA7DD3" w:rsidRPr="00A86B8E" w:rsidRDefault="003E65EA" w:rsidP="003E65EA">
            <w:pPr>
              <w:spacing w:before="40" w:after="40" w:line="300" w:lineRule="auto"/>
              <w:jc w:val="center"/>
              <w:rPr>
                <w:rFonts w:ascii="Arial" w:hAnsi="Arial" w:cs="Arial"/>
                <w:b/>
                <w:bCs/>
                <w:sz w:val="20"/>
                <w:szCs w:val="20"/>
              </w:rPr>
            </w:pPr>
            <w:r w:rsidRPr="00A86B8E">
              <w:rPr>
                <w:rFonts w:ascii="Arial" w:hAnsi="Arial" w:cs="Arial"/>
                <w:b/>
                <w:bCs/>
                <w:sz w:val="20"/>
                <w:szCs w:val="20"/>
              </w:rPr>
              <w:t>$1’517,203.40</w:t>
            </w:r>
          </w:p>
        </w:tc>
        <w:tc>
          <w:tcPr>
            <w:tcW w:w="2756" w:type="dxa"/>
            <w:vAlign w:val="center"/>
          </w:tcPr>
          <w:p w14:paraId="254776EC" w14:textId="66D0560A" w:rsidR="00AA7DD3" w:rsidRPr="00A86B8E" w:rsidRDefault="003E65EA" w:rsidP="00AA7DD3">
            <w:pPr>
              <w:spacing w:before="40" w:after="40" w:line="300" w:lineRule="auto"/>
              <w:jc w:val="center"/>
              <w:rPr>
                <w:rFonts w:ascii="Arial" w:hAnsi="Arial" w:cs="Arial"/>
                <w:b/>
                <w:bCs/>
                <w:sz w:val="20"/>
                <w:szCs w:val="20"/>
              </w:rPr>
            </w:pPr>
            <w:r w:rsidRPr="00A86B8E">
              <w:rPr>
                <w:rFonts w:ascii="Arial" w:hAnsi="Arial" w:cs="Arial"/>
                <w:b/>
                <w:bCs/>
                <w:sz w:val="20"/>
                <w:szCs w:val="20"/>
              </w:rPr>
              <w:t>$75,860.17</w:t>
            </w:r>
          </w:p>
        </w:tc>
      </w:tr>
    </w:tbl>
    <w:p w14:paraId="32CB93F1" w14:textId="77777777" w:rsidR="00AA7DD3" w:rsidRPr="00A86B8E" w:rsidRDefault="00AA7DD3" w:rsidP="00AA7DD3">
      <w:pPr>
        <w:rPr>
          <w:rFonts w:ascii="Arial" w:hAnsi="Arial" w:cs="Arial"/>
        </w:rPr>
      </w:pPr>
      <w:r w:rsidRPr="00A86B8E">
        <w:rPr>
          <w:rFonts w:ascii="Arial" w:hAnsi="Arial" w:cs="Arial"/>
        </w:rPr>
        <w:t>Sobre la base de las consideraciones señaladas, este Consejo Estatal emite el siguiente:</w:t>
      </w:r>
    </w:p>
    <w:p w14:paraId="46F74A29" w14:textId="77777777" w:rsidR="00AA7DD3" w:rsidRPr="00A86B8E" w:rsidRDefault="00AA7DD3" w:rsidP="00AA7DD3">
      <w:pPr>
        <w:pStyle w:val="Ttulo1"/>
        <w:rPr>
          <w:rFonts w:ascii="Arial" w:hAnsi="Arial" w:cs="Arial"/>
          <w:sz w:val="24"/>
          <w:szCs w:val="24"/>
        </w:rPr>
      </w:pPr>
      <w:r w:rsidRPr="00A86B8E">
        <w:rPr>
          <w:rFonts w:ascii="Arial" w:hAnsi="Arial" w:cs="Arial"/>
          <w:sz w:val="24"/>
          <w:szCs w:val="24"/>
        </w:rPr>
        <w:t>Acuerdo</w:t>
      </w:r>
    </w:p>
    <w:p w14:paraId="17E4D6EC" w14:textId="7BAFDEE5" w:rsidR="00AA7DD3" w:rsidRPr="00A86B8E" w:rsidRDefault="00AA7DD3" w:rsidP="00987BC4">
      <w:pPr>
        <w:rPr>
          <w:rFonts w:ascii="Arial" w:hAnsi="Arial" w:cs="Arial"/>
          <w:b/>
          <w:bCs/>
          <w:sz w:val="22"/>
        </w:rPr>
      </w:pPr>
      <w:r w:rsidRPr="00A86B8E">
        <w:rPr>
          <w:rFonts w:ascii="Arial" w:hAnsi="Arial" w:cs="Arial"/>
          <w:b/>
          <w:sz w:val="22"/>
        </w:rPr>
        <w:t>Primero.</w:t>
      </w:r>
      <w:r w:rsidRPr="00A86B8E">
        <w:rPr>
          <w:rFonts w:ascii="Arial" w:hAnsi="Arial" w:cs="Arial"/>
          <w:sz w:val="22"/>
        </w:rPr>
        <w:t xml:space="preserve"> El límite anual de financiamiento privado que cada partido político podrá percibir de su militancia para el sostenimiento de sus actividades ordinarias durante el ejercicio 202</w:t>
      </w:r>
      <w:r w:rsidR="00754927" w:rsidRPr="00A86B8E">
        <w:rPr>
          <w:rFonts w:ascii="Arial" w:hAnsi="Arial" w:cs="Arial"/>
          <w:sz w:val="22"/>
        </w:rPr>
        <w:t>6</w:t>
      </w:r>
      <w:r w:rsidRPr="00A86B8E">
        <w:rPr>
          <w:rFonts w:ascii="Arial" w:hAnsi="Arial" w:cs="Arial"/>
          <w:sz w:val="22"/>
        </w:rPr>
        <w:t xml:space="preserve"> es por la cantidad de </w:t>
      </w:r>
      <w:r w:rsidR="00987BC4" w:rsidRPr="00A86B8E">
        <w:rPr>
          <w:rFonts w:ascii="Arial" w:hAnsi="Arial" w:cs="Arial"/>
          <w:b/>
          <w:bCs/>
          <w:sz w:val="22"/>
        </w:rPr>
        <w:t>$1’4</w:t>
      </w:r>
      <w:r w:rsidR="00754927" w:rsidRPr="00A86B8E">
        <w:rPr>
          <w:rFonts w:ascii="Arial" w:hAnsi="Arial" w:cs="Arial"/>
          <w:b/>
          <w:bCs/>
          <w:sz w:val="22"/>
        </w:rPr>
        <w:t>99</w:t>
      </w:r>
      <w:r w:rsidR="00987BC4" w:rsidRPr="00A86B8E">
        <w:rPr>
          <w:rFonts w:ascii="Arial" w:hAnsi="Arial" w:cs="Arial"/>
          <w:b/>
          <w:bCs/>
          <w:sz w:val="22"/>
        </w:rPr>
        <w:t>,</w:t>
      </w:r>
      <w:r w:rsidR="00754927" w:rsidRPr="00A86B8E">
        <w:rPr>
          <w:rFonts w:ascii="Arial" w:hAnsi="Arial" w:cs="Arial"/>
          <w:b/>
          <w:bCs/>
          <w:sz w:val="22"/>
        </w:rPr>
        <w:t>924</w:t>
      </w:r>
      <w:r w:rsidR="00987BC4" w:rsidRPr="00A86B8E">
        <w:rPr>
          <w:rFonts w:ascii="Arial" w:hAnsi="Arial" w:cs="Arial"/>
          <w:b/>
          <w:bCs/>
          <w:sz w:val="22"/>
        </w:rPr>
        <w:t>.</w:t>
      </w:r>
      <w:r w:rsidR="00754927" w:rsidRPr="00A86B8E">
        <w:rPr>
          <w:rFonts w:ascii="Arial" w:hAnsi="Arial" w:cs="Arial"/>
          <w:b/>
          <w:bCs/>
          <w:sz w:val="22"/>
        </w:rPr>
        <w:t>92</w:t>
      </w:r>
      <w:r w:rsidRPr="00A86B8E">
        <w:rPr>
          <w:rFonts w:ascii="Arial" w:hAnsi="Arial" w:cs="Arial"/>
          <w:b/>
          <w:bCs/>
          <w:sz w:val="22"/>
        </w:rPr>
        <w:t xml:space="preserve"> (un millón </w:t>
      </w:r>
      <w:r w:rsidR="00987BC4" w:rsidRPr="00A86B8E">
        <w:rPr>
          <w:rFonts w:ascii="Arial" w:hAnsi="Arial" w:cs="Arial"/>
          <w:b/>
          <w:bCs/>
          <w:sz w:val="22"/>
        </w:rPr>
        <w:t xml:space="preserve">cuatrocientos </w:t>
      </w:r>
      <w:r w:rsidR="00754927" w:rsidRPr="00A86B8E">
        <w:rPr>
          <w:rFonts w:ascii="Arial" w:hAnsi="Arial" w:cs="Arial"/>
          <w:b/>
          <w:bCs/>
          <w:sz w:val="22"/>
        </w:rPr>
        <w:t>noventa y nueve</w:t>
      </w:r>
      <w:r w:rsidR="00987BC4" w:rsidRPr="00A86B8E">
        <w:rPr>
          <w:rFonts w:ascii="Arial" w:hAnsi="Arial" w:cs="Arial"/>
          <w:b/>
          <w:bCs/>
          <w:sz w:val="22"/>
        </w:rPr>
        <w:t xml:space="preserve"> mil </w:t>
      </w:r>
      <w:r w:rsidR="00754927" w:rsidRPr="00A86B8E">
        <w:rPr>
          <w:rFonts w:ascii="Arial" w:hAnsi="Arial" w:cs="Arial"/>
          <w:b/>
          <w:bCs/>
          <w:sz w:val="22"/>
        </w:rPr>
        <w:t xml:space="preserve">novecientos veinticuatro </w:t>
      </w:r>
      <w:r w:rsidRPr="00A86B8E">
        <w:rPr>
          <w:rFonts w:ascii="Arial" w:hAnsi="Arial" w:cs="Arial"/>
          <w:b/>
          <w:bCs/>
          <w:sz w:val="22"/>
        </w:rPr>
        <w:t xml:space="preserve">pesos </w:t>
      </w:r>
      <w:r w:rsidR="00754927" w:rsidRPr="00A86B8E">
        <w:rPr>
          <w:rFonts w:ascii="Arial" w:hAnsi="Arial" w:cs="Arial"/>
          <w:b/>
          <w:bCs/>
          <w:sz w:val="22"/>
        </w:rPr>
        <w:t>92</w:t>
      </w:r>
      <w:r w:rsidRPr="00A86B8E">
        <w:rPr>
          <w:rFonts w:ascii="Arial" w:hAnsi="Arial" w:cs="Arial"/>
          <w:b/>
          <w:bCs/>
          <w:sz w:val="22"/>
        </w:rPr>
        <w:t>/100 m. n.).</w:t>
      </w:r>
    </w:p>
    <w:p w14:paraId="69AADB1D" w14:textId="4FB2067E" w:rsidR="008C3DAA" w:rsidRPr="00A86B8E" w:rsidRDefault="00AA7DD3" w:rsidP="00AA7DD3">
      <w:pPr>
        <w:rPr>
          <w:rFonts w:ascii="Arial" w:hAnsi="Arial" w:cs="Arial"/>
          <w:sz w:val="22"/>
        </w:rPr>
      </w:pPr>
      <w:r w:rsidRPr="00A86B8E">
        <w:rPr>
          <w:rFonts w:ascii="Arial" w:hAnsi="Arial" w:cs="Arial"/>
          <w:b/>
          <w:sz w:val="22"/>
        </w:rPr>
        <w:t>Segundo.</w:t>
      </w:r>
      <w:r w:rsidRPr="00A86B8E">
        <w:rPr>
          <w:rFonts w:ascii="Arial" w:hAnsi="Arial" w:cs="Arial"/>
          <w:sz w:val="22"/>
        </w:rPr>
        <w:t xml:space="preserve"> El límite de las aportaciones que cada partido político podrá recibir como aportaciones de simpatizantes</w:t>
      </w:r>
      <w:r w:rsidR="005D6BA6" w:rsidRPr="00A86B8E">
        <w:rPr>
          <w:rFonts w:ascii="Arial" w:hAnsi="Arial" w:cs="Arial"/>
          <w:sz w:val="22"/>
        </w:rPr>
        <w:t>,</w:t>
      </w:r>
      <w:r w:rsidRPr="00A86B8E">
        <w:rPr>
          <w:rFonts w:ascii="Arial" w:hAnsi="Arial" w:cs="Arial"/>
          <w:sz w:val="22"/>
        </w:rPr>
        <w:t xml:space="preserve"> en dinero o en especie</w:t>
      </w:r>
      <w:r w:rsidR="005D6BA6" w:rsidRPr="00A86B8E">
        <w:rPr>
          <w:rFonts w:ascii="Arial" w:hAnsi="Arial" w:cs="Arial"/>
          <w:sz w:val="22"/>
        </w:rPr>
        <w:t>,</w:t>
      </w:r>
      <w:r w:rsidRPr="00A86B8E">
        <w:rPr>
          <w:rFonts w:ascii="Arial" w:hAnsi="Arial" w:cs="Arial"/>
          <w:sz w:val="22"/>
        </w:rPr>
        <w:t xml:space="preserve"> durante el ejercicio 202</w:t>
      </w:r>
      <w:r w:rsidR="00754927" w:rsidRPr="00A86B8E">
        <w:rPr>
          <w:rFonts w:ascii="Arial" w:hAnsi="Arial" w:cs="Arial"/>
          <w:sz w:val="22"/>
        </w:rPr>
        <w:t>6</w:t>
      </w:r>
      <w:r w:rsidRPr="00A86B8E">
        <w:rPr>
          <w:rFonts w:ascii="Arial" w:hAnsi="Arial" w:cs="Arial"/>
          <w:sz w:val="22"/>
        </w:rPr>
        <w:t xml:space="preserve"> es por la </w:t>
      </w:r>
      <w:r w:rsidRPr="00A86B8E">
        <w:rPr>
          <w:rFonts w:ascii="Arial" w:hAnsi="Arial" w:cs="Arial"/>
          <w:sz w:val="22"/>
        </w:rPr>
        <w:lastRenderedPageBreak/>
        <w:t xml:space="preserve">cantidad de </w:t>
      </w:r>
      <w:r w:rsidR="00ED1D88" w:rsidRPr="00A86B8E">
        <w:rPr>
          <w:rFonts w:ascii="Arial" w:hAnsi="Arial" w:cs="Arial"/>
          <w:b/>
          <w:sz w:val="22"/>
        </w:rPr>
        <w:t>$1’517,203.40</w:t>
      </w:r>
      <w:r w:rsidR="00ED1D88" w:rsidRPr="00A86B8E">
        <w:rPr>
          <w:rFonts w:ascii="Arial" w:hAnsi="Arial" w:cs="Arial"/>
          <w:sz w:val="22"/>
        </w:rPr>
        <w:t xml:space="preserve"> </w:t>
      </w:r>
      <w:r w:rsidR="008C3DAA" w:rsidRPr="00A86B8E">
        <w:rPr>
          <w:rFonts w:ascii="Arial" w:hAnsi="Arial" w:cs="Arial"/>
          <w:b/>
          <w:bCs/>
          <w:sz w:val="22"/>
        </w:rPr>
        <w:t>(</w:t>
      </w:r>
      <w:r w:rsidR="00ED1D88" w:rsidRPr="00A86B8E">
        <w:rPr>
          <w:rFonts w:ascii="Arial" w:hAnsi="Arial" w:cs="Arial"/>
          <w:b/>
          <w:bCs/>
          <w:sz w:val="22"/>
        </w:rPr>
        <w:t>un millón quinientos diecisiete mil doscientos tres pesos 4</w:t>
      </w:r>
      <w:r w:rsidR="008C3DAA" w:rsidRPr="00A86B8E">
        <w:rPr>
          <w:rFonts w:ascii="Arial" w:hAnsi="Arial" w:cs="Arial"/>
          <w:b/>
          <w:bCs/>
          <w:sz w:val="22"/>
        </w:rPr>
        <w:t>0/100 m. n.).</w:t>
      </w:r>
    </w:p>
    <w:p w14:paraId="7CAF9CCE" w14:textId="5F64DA10" w:rsidR="00AA7DD3" w:rsidRPr="00A86B8E" w:rsidRDefault="00AA7DD3" w:rsidP="00AA7DD3">
      <w:pPr>
        <w:rPr>
          <w:rFonts w:ascii="Arial" w:hAnsi="Arial" w:cs="Arial"/>
          <w:sz w:val="22"/>
        </w:rPr>
      </w:pPr>
      <w:r w:rsidRPr="00A86B8E">
        <w:rPr>
          <w:rFonts w:ascii="Arial" w:hAnsi="Arial" w:cs="Arial"/>
          <w:b/>
          <w:sz w:val="22"/>
        </w:rPr>
        <w:t>Tercero.</w:t>
      </w:r>
      <w:r w:rsidRPr="00A86B8E">
        <w:rPr>
          <w:rFonts w:ascii="Arial" w:hAnsi="Arial" w:cs="Arial"/>
          <w:sz w:val="22"/>
        </w:rPr>
        <w:t xml:space="preserve"> El límite individual anual de las aportaciones</w:t>
      </w:r>
      <w:r w:rsidR="008231D4" w:rsidRPr="00A86B8E">
        <w:rPr>
          <w:rFonts w:ascii="Arial" w:hAnsi="Arial" w:cs="Arial"/>
          <w:sz w:val="22"/>
        </w:rPr>
        <w:t>,</w:t>
      </w:r>
      <w:r w:rsidRPr="00A86B8E">
        <w:rPr>
          <w:rFonts w:ascii="Arial" w:hAnsi="Arial" w:cs="Arial"/>
          <w:sz w:val="22"/>
        </w:rPr>
        <w:t xml:space="preserve"> en dinero o en especie</w:t>
      </w:r>
      <w:r w:rsidR="008231D4" w:rsidRPr="00A86B8E">
        <w:rPr>
          <w:rFonts w:ascii="Arial" w:hAnsi="Arial" w:cs="Arial"/>
          <w:sz w:val="22"/>
        </w:rPr>
        <w:t>,</w:t>
      </w:r>
      <w:r w:rsidRPr="00A86B8E">
        <w:rPr>
          <w:rFonts w:ascii="Arial" w:hAnsi="Arial" w:cs="Arial"/>
          <w:sz w:val="22"/>
        </w:rPr>
        <w:t xml:space="preserve"> que</w:t>
      </w:r>
      <w:r w:rsidRPr="00A86B8E">
        <w:rPr>
          <w:rFonts w:ascii="Arial" w:hAnsi="Arial" w:cs="Arial"/>
        </w:rPr>
        <w:t xml:space="preserve"> cada partido político podrá recibir de sus simpatizantes durante el ejercicio </w:t>
      </w:r>
      <w:r w:rsidR="00F22CBC" w:rsidRPr="00A86B8E">
        <w:rPr>
          <w:rFonts w:ascii="Arial" w:hAnsi="Arial" w:cs="Arial"/>
        </w:rPr>
        <w:t>2026 es</w:t>
      </w:r>
      <w:r w:rsidRPr="00A86B8E">
        <w:rPr>
          <w:rFonts w:ascii="Arial" w:hAnsi="Arial" w:cs="Arial"/>
        </w:rPr>
        <w:t xml:space="preserve"> por la cantidad de </w:t>
      </w:r>
      <w:r w:rsidR="00C01877" w:rsidRPr="00A86B8E">
        <w:rPr>
          <w:rFonts w:ascii="Arial" w:hAnsi="Arial" w:cs="Arial"/>
          <w:b/>
          <w:bCs/>
        </w:rPr>
        <w:t>$</w:t>
      </w:r>
      <w:r w:rsidR="002D2074" w:rsidRPr="00A86B8E">
        <w:rPr>
          <w:rFonts w:ascii="Arial" w:hAnsi="Arial" w:cs="Arial"/>
          <w:b/>
          <w:bCs/>
        </w:rPr>
        <w:t>75,860.17</w:t>
      </w:r>
      <w:r w:rsidR="00C01877" w:rsidRPr="00A86B8E">
        <w:rPr>
          <w:rFonts w:ascii="Arial" w:hAnsi="Arial" w:cs="Arial"/>
          <w:b/>
          <w:bCs/>
        </w:rPr>
        <w:t xml:space="preserve"> </w:t>
      </w:r>
      <w:r w:rsidRPr="00A86B8E">
        <w:rPr>
          <w:rFonts w:ascii="Arial" w:hAnsi="Arial" w:cs="Arial"/>
          <w:b/>
          <w:bCs/>
        </w:rPr>
        <w:t>(</w:t>
      </w:r>
      <w:r w:rsidR="002D2074" w:rsidRPr="00A86B8E">
        <w:rPr>
          <w:rFonts w:ascii="Arial" w:hAnsi="Arial" w:cs="Arial"/>
          <w:b/>
          <w:bCs/>
        </w:rPr>
        <w:t>setenta y cinco mil ochocientos sesenta pesos 17/</w:t>
      </w:r>
      <w:r w:rsidR="002D2074" w:rsidRPr="00A86B8E">
        <w:rPr>
          <w:rFonts w:ascii="Arial" w:hAnsi="Arial" w:cs="Arial"/>
          <w:b/>
          <w:bCs/>
          <w:sz w:val="22"/>
        </w:rPr>
        <w:t xml:space="preserve">100 </w:t>
      </w:r>
      <w:r w:rsidRPr="00A86B8E">
        <w:rPr>
          <w:rFonts w:ascii="Arial" w:hAnsi="Arial" w:cs="Arial"/>
          <w:b/>
          <w:bCs/>
          <w:sz w:val="22"/>
        </w:rPr>
        <w:t>m. n.).</w:t>
      </w:r>
    </w:p>
    <w:p w14:paraId="781F74B5" w14:textId="77777777" w:rsidR="00AA7DD3" w:rsidRPr="00A86B8E" w:rsidRDefault="00AA7DD3" w:rsidP="00AA7DD3">
      <w:pPr>
        <w:rPr>
          <w:rFonts w:ascii="Arial" w:hAnsi="Arial" w:cs="Arial"/>
          <w:sz w:val="22"/>
        </w:rPr>
      </w:pPr>
      <w:r w:rsidRPr="00A86B8E">
        <w:rPr>
          <w:rFonts w:ascii="Arial" w:hAnsi="Arial" w:cs="Arial"/>
          <w:b/>
          <w:sz w:val="22"/>
        </w:rPr>
        <w:t>Cuarto.</w:t>
      </w:r>
      <w:r w:rsidRPr="00A86B8E">
        <w:rPr>
          <w:rFonts w:ascii="Arial" w:hAnsi="Arial" w:cs="Arial"/>
          <w:sz w:val="22"/>
        </w:rPr>
        <w:t xml:space="preserve"> La suma del financiamiento privado de los partidos políticos en todas sus modalidades, incluido el autofinanciamiento, rendimientos financieros, fondos y fideicomisos, en ningún caso podrá ser superior al monto de financiamiento público para el sostenimiento de sus actividades ordinarias permanentes y actividades específicas.</w:t>
      </w:r>
    </w:p>
    <w:p w14:paraId="69CD36EB" w14:textId="77777777" w:rsidR="00AA7DD3" w:rsidRPr="00A86B8E" w:rsidRDefault="00AA7DD3" w:rsidP="00AA7DD3">
      <w:pPr>
        <w:rPr>
          <w:rFonts w:ascii="Arial" w:hAnsi="Arial" w:cs="Arial"/>
          <w:sz w:val="22"/>
        </w:rPr>
      </w:pPr>
      <w:r w:rsidRPr="00A86B8E">
        <w:rPr>
          <w:rFonts w:ascii="Arial" w:hAnsi="Arial" w:cs="Arial"/>
          <w:b/>
          <w:sz w:val="22"/>
        </w:rPr>
        <w:t>Quinto.</w:t>
      </w:r>
      <w:r w:rsidRPr="00A86B8E">
        <w:rPr>
          <w:rFonts w:ascii="Arial" w:hAnsi="Arial" w:cs="Arial"/>
          <w:sz w:val="22"/>
        </w:rPr>
        <w:t xml:space="preserve"> Se instruye a la Secretaría Ejecutiva de este Instituto para que, por conducto de la Coordinación de Vinculación con el Instituto Nacional Electoral notifique el presente acuerdo al citado organismo nacional, a través de su Unidad Técnica de Vinculación con los Organismos Públicos Locales, para los efectos correspondientes.</w:t>
      </w:r>
    </w:p>
    <w:p w14:paraId="00C0B642" w14:textId="77777777" w:rsidR="00AA7DD3" w:rsidRPr="00A86B8E" w:rsidRDefault="00AA7DD3" w:rsidP="00AA7DD3">
      <w:pPr>
        <w:rPr>
          <w:rFonts w:ascii="Arial" w:hAnsi="Arial" w:cs="Arial"/>
          <w:sz w:val="22"/>
        </w:rPr>
      </w:pPr>
      <w:r w:rsidRPr="00A86B8E">
        <w:rPr>
          <w:rFonts w:ascii="Arial" w:hAnsi="Arial" w:cs="Arial"/>
          <w:b/>
          <w:sz w:val="22"/>
        </w:rPr>
        <w:t>Sexto.</w:t>
      </w:r>
      <w:r w:rsidRPr="00A86B8E">
        <w:rPr>
          <w:rFonts w:ascii="Arial" w:hAnsi="Arial" w:cs="Arial"/>
          <w:sz w:val="22"/>
        </w:rPr>
        <w:t xml:space="preserve"> De conformidad con lo dispuesto en el artículo 114 de la Ley Electoral y de Partidos Políticos del Estado de Tabasco publíquese el contenido del presente acuerdo en el Periódico Oficial del Estado y en la página de internet del Instituto.</w:t>
      </w:r>
    </w:p>
    <w:p w14:paraId="7A37E5FB" w14:textId="7CA3FC4E" w:rsidR="00200EAF" w:rsidRPr="00A86B8E" w:rsidRDefault="00200EAF" w:rsidP="00200EAF">
      <w:pPr>
        <w:rPr>
          <w:rFonts w:ascii="Arial" w:hAnsi="Arial" w:cs="Arial"/>
          <w:sz w:val="22"/>
        </w:rPr>
      </w:pPr>
      <w:r w:rsidRPr="00A86B8E">
        <w:rPr>
          <w:rFonts w:ascii="Arial" w:hAnsi="Arial" w:cs="Arial"/>
          <w:sz w:val="22"/>
        </w:rPr>
        <w:t xml:space="preserve">El presente acuerdo fue aprobado en sesión </w:t>
      </w:r>
      <w:r w:rsidR="00A86B8E">
        <w:rPr>
          <w:rFonts w:ascii="Arial" w:hAnsi="Arial" w:cs="Arial"/>
          <w:sz w:val="22"/>
        </w:rPr>
        <w:t xml:space="preserve"> extraordinaria</w:t>
      </w:r>
      <w:r w:rsidRPr="00A86B8E">
        <w:rPr>
          <w:rFonts w:ascii="Arial" w:hAnsi="Arial" w:cs="Arial"/>
          <w:sz w:val="22"/>
        </w:rPr>
        <w:t xml:space="preserve"> efectuada el</w:t>
      </w:r>
      <w:r w:rsidR="00A86B8E">
        <w:rPr>
          <w:rFonts w:ascii="Arial" w:hAnsi="Arial" w:cs="Arial"/>
          <w:sz w:val="22"/>
        </w:rPr>
        <w:t xml:space="preserve"> día diecinueve</w:t>
      </w:r>
      <w:r w:rsidRPr="00A86B8E">
        <w:rPr>
          <w:rFonts w:ascii="Arial" w:hAnsi="Arial" w:cs="Arial"/>
          <w:sz w:val="22"/>
        </w:rPr>
        <w:t xml:space="preserve"> de </w:t>
      </w:r>
      <w:r w:rsidR="005D01F2" w:rsidRPr="00A86B8E">
        <w:rPr>
          <w:rFonts w:ascii="Arial" w:hAnsi="Arial" w:cs="Arial"/>
          <w:sz w:val="22"/>
        </w:rPr>
        <w:t xml:space="preserve">enero </w:t>
      </w:r>
      <w:r w:rsidRPr="00A86B8E">
        <w:rPr>
          <w:rFonts w:ascii="Arial" w:hAnsi="Arial" w:cs="Arial"/>
          <w:sz w:val="22"/>
        </w:rPr>
        <w:t xml:space="preserve">del año dos mil </w:t>
      </w:r>
      <w:r w:rsidR="005D01F2" w:rsidRPr="00A86B8E">
        <w:rPr>
          <w:rFonts w:ascii="Arial" w:hAnsi="Arial" w:cs="Arial"/>
          <w:sz w:val="22"/>
        </w:rPr>
        <w:t>veintiséis</w:t>
      </w:r>
      <w:r w:rsidRPr="00A86B8E">
        <w:rPr>
          <w:rFonts w:ascii="Arial" w:hAnsi="Arial" w:cs="Arial"/>
          <w:sz w:val="22"/>
        </w:rPr>
        <w:t xml:space="preserve">, por votación </w:t>
      </w:r>
      <w:r w:rsidR="00A86B8E">
        <w:rPr>
          <w:rFonts w:ascii="Arial" w:hAnsi="Arial" w:cs="Arial"/>
          <w:sz w:val="22"/>
        </w:rPr>
        <w:t>unánime</w:t>
      </w:r>
      <w:r w:rsidRPr="00A86B8E">
        <w:rPr>
          <w:rFonts w:ascii="Arial" w:hAnsi="Arial" w:cs="Arial"/>
          <w:sz w:val="22"/>
        </w:rPr>
        <w:t xml:space="preserve">  de las y los Consejeros Electorales del Consejo Estatal del Instituto Electoral y de Participación Ciudadana de Tabasco: Licda. María Elvia Magaña Sandoval, Lic. Hernán González Sala, Lic. Vladimir Hernández Venegas, Licda. Ángela Guadalupe Araujo Segura, Licda. Monserrat Martínez </w:t>
      </w:r>
      <w:proofErr w:type="spellStart"/>
      <w:r w:rsidRPr="00A86B8E">
        <w:rPr>
          <w:rFonts w:ascii="Arial" w:hAnsi="Arial" w:cs="Arial"/>
          <w:sz w:val="22"/>
        </w:rPr>
        <w:t>Beaurregard</w:t>
      </w:r>
      <w:proofErr w:type="spellEnd"/>
      <w:r w:rsidRPr="00A86B8E">
        <w:rPr>
          <w:rFonts w:ascii="Arial" w:hAnsi="Arial" w:cs="Arial"/>
          <w:sz w:val="22"/>
        </w:rPr>
        <w:t xml:space="preserve">, Mtra. Ruth </w:t>
      </w:r>
      <w:proofErr w:type="spellStart"/>
      <w:r w:rsidRPr="00A86B8E">
        <w:rPr>
          <w:rFonts w:ascii="Arial" w:hAnsi="Arial" w:cs="Arial"/>
          <w:sz w:val="22"/>
        </w:rPr>
        <w:t>Lizette</w:t>
      </w:r>
      <w:proofErr w:type="spellEnd"/>
      <w:r w:rsidRPr="00A86B8E">
        <w:rPr>
          <w:rFonts w:ascii="Arial" w:hAnsi="Arial" w:cs="Arial"/>
          <w:sz w:val="22"/>
        </w:rPr>
        <w:t xml:space="preserve"> Toledo Peral y la Consejera Presidenta, Mtra. Elizabeth Nava Gutiérrez.</w:t>
      </w:r>
    </w:p>
    <w:p w14:paraId="6CB9DEA0" w14:textId="2DABF0EF" w:rsidR="00ED2DF7" w:rsidRDefault="00ED2DF7" w:rsidP="00200EAF">
      <w:pPr>
        <w:rPr>
          <w:rFonts w:ascii="Arial" w:hAnsi="Arial" w:cs="Arial"/>
          <w:sz w:val="22"/>
        </w:rPr>
      </w:pPr>
    </w:p>
    <w:p w14:paraId="3846CD7A" w14:textId="77777777" w:rsidR="001A39B0" w:rsidRPr="00A86B8E" w:rsidRDefault="001A39B0" w:rsidP="00200EAF">
      <w:pPr>
        <w:rPr>
          <w:rFonts w:ascii="Arial" w:hAnsi="Arial" w:cs="Arial"/>
          <w:sz w:val="22"/>
        </w:rPr>
      </w:pPr>
      <w:bookmarkStart w:id="0" w:name="_GoBack"/>
      <w:bookmarkEnd w:id="0"/>
    </w:p>
    <w:p w14:paraId="4D7EBDAD" w14:textId="77777777" w:rsidR="00200EAF" w:rsidRPr="00A86B8E" w:rsidRDefault="00200EAF" w:rsidP="00200EAF">
      <w:pPr>
        <w:rPr>
          <w:rFonts w:ascii="Arial" w:hAnsi="Arial" w:cs="Arial"/>
          <w:sz w:val="22"/>
        </w:rPr>
      </w:pP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78"/>
        <w:gridCol w:w="4400"/>
      </w:tblGrid>
      <w:tr w:rsidR="00200EAF" w:rsidRPr="00A86B8E" w14:paraId="2B413D79" w14:textId="77777777" w:rsidTr="00652E2A">
        <w:tc>
          <w:tcPr>
            <w:tcW w:w="4395" w:type="dxa"/>
          </w:tcPr>
          <w:p w14:paraId="123F7A7B" w14:textId="77777777" w:rsidR="00200EAF" w:rsidRPr="00A86B8E" w:rsidRDefault="00200EAF" w:rsidP="00652E2A">
            <w:pPr>
              <w:widowControl w:val="0"/>
              <w:spacing w:before="0" w:after="0"/>
              <w:jc w:val="center"/>
              <w:rPr>
                <w:rFonts w:ascii="Arial" w:hAnsi="Arial" w:cs="Arial"/>
                <w:b/>
                <w:spacing w:val="-10"/>
              </w:rPr>
            </w:pPr>
            <w:r w:rsidRPr="00A86B8E">
              <w:rPr>
                <w:rFonts w:ascii="Arial" w:hAnsi="Arial" w:cs="Arial"/>
                <w:b/>
                <w:spacing w:val="-10"/>
              </w:rPr>
              <w:t>MTRA. ELIZABETH NAVA GUTIÉRREZ</w:t>
            </w:r>
          </w:p>
          <w:p w14:paraId="284A71FD" w14:textId="77777777" w:rsidR="00200EAF" w:rsidRPr="00A86B8E" w:rsidRDefault="00200EAF" w:rsidP="00652E2A">
            <w:pPr>
              <w:widowControl w:val="0"/>
              <w:spacing w:before="0" w:after="0"/>
              <w:jc w:val="center"/>
              <w:rPr>
                <w:rFonts w:ascii="Arial" w:hAnsi="Arial" w:cs="Arial"/>
                <w:b/>
              </w:rPr>
            </w:pPr>
            <w:r w:rsidRPr="00A86B8E">
              <w:rPr>
                <w:rFonts w:ascii="Arial" w:hAnsi="Arial" w:cs="Arial"/>
                <w:b/>
                <w:spacing w:val="-10"/>
              </w:rPr>
              <w:t>CONSEJERA PRESIDENTA</w:t>
            </w:r>
          </w:p>
        </w:tc>
        <w:tc>
          <w:tcPr>
            <w:tcW w:w="278" w:type="dxa"/>
          </w:tcPr>
          <w:p w14:paraId="4B03BE51" w14:textId="77777777" w:rsidR="00200EAF" w:rsidRPr="00A86B8E" w:rsidRDefault="00200EAF" w:rsidP="00652E2A">
            <w:pPr>
              <w:widowControl w:val="0"/>
              <w:spacing w:before="0" w:after="0"/>
              <w:rPr>
                <w:rFonts w:ascii="Arial" w:hAnsi="Arial" w:cs="Arial"/>
                <w:b/>
              </w:rPr>
            </w:pPr>
          </w:p>
        </w:tc>
        <w:tc>
          <w:tcPr>
            <w:tcW w:w="4400" w:type="dxa"/>
          </w:tcPr>
          <w:p w14:paraId="69A9073C" w14:textId="77777777" w:rsidR="00200EAF" w:rsidRPr="00A86B8E" w:rsidRDefault="00200EAF" w:rsidP="00652E2A">
            <w:pPr>
              <w:widowControl w:val="0"/>
              <w:spacing w:before="0" w:after="0"/>
              <w:jc w:val="center"/>
              <w:rPr>
                <w:rFonts w:ascii="Arial" w:hAnsi="Arial" w:cs="Arial"/>
                <w:b/>
                <w:spacing w:val="-10"/>
              </w:rPr>
            </w:pPr>
            <w:r w:rsidRPr="00A86B8E">
              <w:rPr>
                <w:rFonts w:ascii="Arial" w:hAnsi="Arial" w:cs="Arial"/>
                <w:b/>
                <w:spacing w:val="-10"/>
              </w:rPr>
              <w:t>LIC. JORGE ALBERTO ZAVALA FRÍAS</w:t>
            </w:r>
          </w:p>
          <w:p w14:paraId="14877286" w14:textId="77777777" w:rsidR="00200EAF" w:rsidRPr="00A86B8E" w:rsidRDefault="00200EAF" w:rsidP="00652E2A">
            <w:pPr>
              <w:widowControl w:val="0"/>
              <w:spacing w:before="0" w:after="0"/>
              <w:jc w:val="center"/>
              <w:rPr>
                <w:rFonts w:ascii="Arial" w:hAnsi="Arial" w:cs="Arial"/>
                <w:b/>
              </w:rPr>
            </w:pPr>
            <w:r w:rsidRPr="00A86B8E">
              <w:rPr>
                <w:rFonts w:ascii="Arial" w:hAnsi="Arial" w:cs="Arial"/>
                <w:b/>
                <w:spacing w:val="-10"/>
              </w:rPr>
              <w:t>SECRETARIO DEL CONSEJO</w:t>
            </w:r>
          </w:p>
        </w:tc>
      </w:tr>
    </w:tbl>
    <w:p w14:paraId="408645FE" w14:textId="77777777" w:rsidR="00200EAF" w:rsidRPr="00A86B8E" w:rsidRDefault="00200EAF" w:rsidP="00AA7DD3">
      <w:pPr>
        <w:rPr>
          <w:rFonts w:ascii="Arial" w:hAnsi="Arial" w:cs="Arial"/>
        </w:rPr>
      </w:pPr>
    </w:p>
    <w:sectPr w:rsidR="00200EAF" w:rsidRPr="00A86B8E" w:rsidSect="00A86B8E">
      <w:headerReference w:type="default" r:id="rId7"/>
      <w:footerReference w:type="default" r:id="rId8"/>
      <w:pgSz w:w="12240" w:h="15840" w:code="1"/>
      <w:pgMar w:top="2694" w:right="1701" w:bottom="1418"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55F330" w14:textId="77777777" w:rsidR="001919DC" w:rsidRDefault="001919DC" w:rsidP="005B2D76">
      <w:pPr>
        <w:spacing w:before="0" w:after="0" w:line="240" w:lineRule="auto"/>
      </w:pPr>
      <w:r>
        <w:separator/>
      </w:r>
    </w:p>
  </w:endnote>
  <w:endnote w:type="continuationSeparator" w:id="0">
    <w:p w14:paraId="530129AE" w14:textId="77777777" w:rsidR="001919DC" w:rsidRDefault="001919DC" w:rsidP="005B2D7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B90A133-AF56-4F1E-9A6E-DC1CC437A3C0}"/>
    <w:embedBold r:id="rId2" w:fontKey="{4E95F2B3-7AEE-4886-B34D-047805432B45}"/>
  </w:font>
  <w:font w:name="Exo">
    <w:altName w:val="Times New Roman"/>
    <w:charset w:val="00"/>
    <w:family w:val="auto"/>
    <w:pitch w:val="variable"/>
    <w:sig w:usb0="A00000FF" w:usb1="4000204B" w:usb2="00000000" w:usb3="00000000" w:csb0="00000193" w:csb1="00000000"/>
  </w:font>
  <w:font w:name="Calibri Light">
    <w:panose1 w:val="020F0302020204030204"/>
    <w:charset w:val="00"/>
    <w:family w:val="swiss"/>
    <w:pitch w:val="variable"/>
    <w:sig w:usb0="E4002EFF" w:usb1="C200247B" w:usb2="00000009" w:usb3="00000000" w:csb0="000001FF" w:csb1="00000000"/>
    <w:embedRegular r:id="rId3" w:fontKey="{A33E2473-D9EB-499E-B6EA-6791F2B5C7E7}"/>
    <w:embedItalic r:id="rId4" w:fontKey="{586D0FB8-FB28-4A65-83FA-B0EF039B2225}"/>
  </w:font>
  <w:font w:name="Segoe UI">
    <w:panose1 w:val="020B0502040204020203"/>
    <w:charset w:val="00"/>
    <w:family w:val="swiss"/>
    <w:pitch w:val="variable"/>
    <w:sig w:usb0="E4002EFF" w:usb1="C000E47F" w:usb2="00000009" w:usb3="00000000" w:csb0="000001FF" w:csb1="00000000"/>
    <w:embedRegular r:id="rId5" w:fontKey="{69B2E809-EC01-471B-B130-604E7C7CE4E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color w:val="993366"/>
        <w:sz w:val="20"/>
        <w:szCs w:val="20"/>
      </w:rPr>
      <w:id w:val="-1054772472"/>
      <w:docPartObj>
        <w:docPartGallery w:val="Page Numbers (Top of Page)"/>
        <w:docPartUnique/>
      </w:docPartObj>
    </w:sdtPr>
    <w:sdtEndPr/>
    <w:sdtContent>
      <w:p w14:paraId="0E71EA93" w14:textId="576C8024" w:rsidR="003518A6" w:rsidRPr="003518A6" w:rsidRDefault="003518A6" w:rsidP="003518A6">
        <w:pPr>
          <w:pStyle w:val="Piedepgina"/>
          <w:jc w:val="right"/>
          <w:rPr>
            <w:rFonts w:cs="Arial"/>
            <w:color w:val="993366"/>
            <w:sz w:val="20"/>
            <w:szCs w:val="20"/>
          </w:rPr>
        </w:pPr>
        <w:r w:rsidRPr="00C31E7D">
          <w:rPr>
            <w:rFonts w:cs="Arial"/>
            <w:b/>
            <w:bCs/>
            <w:color w:val="993366"/>
          </w:rPr>
          <w:t xml:space="preserve">Página </w:t>
        </w:r>
        <w:r w:rsidRPr="00C31E7D">
          <w:rPr>
            <w:rFonts w:cs="Arial"/>
            <w:b/>
            <w:bCs/>
            <w:color w:val="993366"/>
          </w:rPr>
          <w:fldChar w:fldCharType="begin"/>
        </w:r>
        <w:r w:rsidRPr="00C31E7D">
          <w:rPr>
            <w:rFonts w:cs="Arial"/>
            <w:b/>
            <w:bCs/>
            <w:color w:val="993366"/>
          </w:rPr>
          <w:instrText>PAGE</w:instrText>
        </w:r>
        <w:r w:rsidRPr="00C31E7D">
          <w:rPr>
            <w:rFonts w:cs="Arial"/>
            <w:b/>
            <w:bCs/>
            <w:color w:val="993366"/>
          </w:rPr>
          <w:fldChar w:fldCharType="separate"/>
        </w:r>
        <w:r w:rsidR="001A39B0">
          <w:rPr>
            <w:rFonts w:cs="Arial"/>
            <w:b/>
            <w:bCs/>
            <w:noProof/>
            <w:color w:val="993366"/>
          </w:rPr>
          <w:t>8</w:t>
        </w:r>
        <w:r w:rsidRPr="00C31E7D">
          <w:rPr>
            <w:rFonts w:cs="Arial"/>
            <w:b/>
            <w:bCs/>
            <w:color w:val="993366"/>
          </w:rPr>
          <w:fldChar w:fldCharType="end"/>
        </w:r>
        <w:r w:rsidRPr="00C31E7D">
          <w:rPr>
            <w:rFonts w:cs="Arial"/>
            <w:b/>
            <w:bCs/>
            <w:color w:val="993366"/>
          </w:rPr>
          <w:t xml:space="preserve"> | </w:t>
        </w:r>
        <w:r w:rsidRPr="00C31E7D">
          <w:rPr>
            <w:rFonts w:cs="Arial"/>
            <w:b/>
            <w:bCs/>
            <w:color w:val="993366"/>
          </w:rPr>
          <w:fldChar w:fldCharType="begin"/>
        </w:r>
        <w:r w:rsidRPr="00C31E7D">
          <w:rPr>
            <w:rFonts w:cs="Arial"/>
            <w:b/>
            <w:bCs/>
            <w:color w:val="993366"/>
          </w:rPr>
          <w:instrText>NUMPAGES</w:instrText>
        </w:r>
        <w:r w:rsidRPr="00C31E7D">
          <w:rPr>
            <w:rFonts w:cs="Arial"/>
            <w:b/>
            <w:bCs/>
            <w:color w:val="993366"/>
          </w:rPr>
          <w:fldChar w:fldCharType="separate"/>
        </w:r>
        <w:r w:rsidR="001A39B0">
          <w:rPr>
            <w:rFonts w:cs="Arial"/>
            <w:b/>
            <w:bCs/>
            <w:noProof/>
            <w:color w:val="993366"/>
          </w:rPr>
          <w:t>10</w:t>
        </w:r>
        <w:r w:rsidRPr="00C31E7D">
          <w:rPr>
            <w:rFonts w:cs="Arial"/>
            <w:b/>
            <w:bCs/>
            <w:color w:val="993366"/>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08B8BC" w14:textId="77777777" w:rsidR="001919DC" w:rsidRDefault="001919DC" w:rsidP="005B2D76">
      <w:pPr>
        <w:spacing w:before="0" w:after="0" w:line="240" w:lineRule="auto"/>
      </w:pPr>
      <w:r>
        <w:separator/>
      </w:r>
    </w:p>
  </w:footnote>
  <w:footnote w:type="continuationSeparator" w:id="0">
    <w:p w14:paraId="57291AE9" w14:textId="77777777" w:rsidR="001919DC" w:rsidRDefault="001919DC" w:rsidP="005B2D76">
      <w:pPr>
        <w:spacing w:before="0" w:after="0" w:line="240" w:lineRule="auto"/>
      </w:pPr>
      <w:r>
        <w:continuationSeparator/>
      </w:r>
    </w:p>
  </w:footnote>
  <w:footnote w:id="1">
    <w:p w14:paraId="603093F8" w14:textId="77777777" w:rsidR="005B2D76" w:rsidRPr="00A07290" w:rsidRDefault="005B2D76" w:rsidP="005B2D76">
      <w:pPr>
        <w:spacing w:line="300" w:lineRule="auto"/>
        <w:rPr>
          <w:sz w:val="12"/>
          <w:szCs w:val="12"/>
        </w:rPr>
      </w:pPr>
      <w:r w:rsidRPr="00A07290">
        <w:rPr>
          <w:rStyle w:val="Refdenotaalpie"/>
          <w:sz w:val="12"/>
          <w:szCs w:val="12"/>
        </w:rPr>
        <w:footnoteRef/>
      </w:r>
      <w:r w:rsidRPr="00A07290">
        <w:rPr>
          <w:sz w:val="12"/>
          <w:szCs w:val="12"/>
        </w:rPr>
        <w:t xml:space="preserve"> Publicada en la Gaceta de Jurisprudencia y Tesis en materia electoral, Tribunal Electoral del Poder Judicial de la Federación, Año 10, Número 20, 2017, páginas 11 y 12.</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361"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701"/>
    </w:tblGrid>
    <w:tr w:rsidR="003518A6" w:rsidRPr="00063338" w14:paraId="2BF5B398" w14:textId="77777777" w:rsidTr="00652E2A">
      <w:tc>
        <w:tcPr>
          <w:tcW w:w="1418" w:type="dxa"/>
        </w:tcPr>
        <w:p w14:paraId="25993EB0" w14:textId="77777777" w:rsidR="003518A6" w:rsidRPr="00063338" w:rsidRDefault="003518A6" w:rsidP="003518A6">
          <w:pPr>
            <w:pStyle w:val="Encabezado"/>
            <w:ind w:left="-170"/>
            <w:jc w:val="left"/>
          </w:pPr>
          <w:r>
            <w:rPr>
              <w:b/>
              <w:noProof/>
              <w:sz w:val="32"/>
              <w:lang w:eastAsia="es-MX"/>
            </w:rPr>
            <w:drawing>
              <wp:inline distT="0" distB="0" distL="0" distR="0" wp14:anchorId="0BF78D9D" wp14:editId="330066C6">
                <wp:extent cx="1014331" cy="1199403"/>
                <wp:effectExtent l="0" t="0" r="0" b="1270"/>
                <wp:docPr id="7" name="Imagen 7" descr="Dibujo animado de un animal con la boca abiert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bujo animado de un animal con la boca abierta&#10;&#10;Descripción generada automáticamente con confianza baja"/>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14:paraId="0306B7B0" w14:textId="77777777" w:rsidR="003518A6" w:rsidRPr="00281799" w:rsidRDefault="003518A6" w:rsidP="003518A6">
          <w:pPr>
            <w:pStyle w:val="Encabezado"/>
            <w:spacing w:before="720"/>
            <w:jc w:val="center"/>
            <w:rPr>
              <w:rFonts w:ascii="Arial" w:hAnsi="Arial" w:cs="Arial"/>
              <w:b/>
              <w:bCs/>
              <w:sz w:val="25"/>
              <w:szCs w:val="25"/>
            </w:rPr>
          </w:pPr>
          <w:r w:rsidRPr="00281799">
            <w:rPr>
              <w:rFonts w:ascii="Arial" w:hAnsi="Arial" w:cs="Arial"/>
              <w:b/>
              <w:bCs/>
              <w:sz w:val="25"/>
              <w:szCs w:val="25"/>
            </w:rPr>
            <w:t>INSTITUTO ELECTORAL Y DE PARTICIPACIÓN CIUDADANA DE TABASCO</w:t>
          </w:r>
        </w:p>
        <w:p w14:paraId="33C194EF" w14:textId="77777777" w:rsidR="003518A6" w:rsidRPr="00063338" w:rsidRDefault="003518A6" w:rsidP="003518A6">
          <w:pPr>
            <w:pStyle w:val="Encabezado"/>
            <w:jc w:val="center"/>
          </w:pPr>
          <w:r w:rsidRPr="00281799">
            <w:rPr>
              <w:rFonts w:ascii="Arial" w:hAnsi="Arial" w:cs="Arial"/>
              <w:sz w:val="26"/>
              <w:szCs w:val="26"/>
            </w:rPr>
            <w:t>CONSEJO ESTATAL</w:t>
          </w:r>
        </w:p>
      </w:tc>
      <w:tc>
        <w:tcPr>
          <w:tcW w:w="1701" w:type="dxa"/>
        </w:tcPr>
        <w:p w14:paraId="247B5EEF" w14:textId="77777777" w:rsidR="003518A6" w:rsidRPr="00063338" w:rsidRDefault="003518A6" w:rsidP="003518A6">
          <w:pPr>
            <w:pStyle w:val="Encabezado"/>
            <w:spacing w:before="480"/>
          </w:pPr>
          <w:r>
            <w:rPr>
              <w:noProof/>
              <w:lang w:eastAsia="es-MX"/>
            </w:rPr>
            <w:drawing>
              <wp:inline distT="0" distB="0" distL="0" distR="0" wp14:anchorId="31739040" wp14:editId="3971A451">
                <wp:extent cx="942975" cy="774065"/>
                <wp:effectExtent l="0" t="0" r="9525" b="6985"/>
                <wp:docPr id="8" name="Imagen 8"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41557" name="Imagen 1008241557" descr="Logotipo, Icono&#10;&#10;Descripción generada automáticamente"/>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14:paraId="5361A448" w14:textId="513728FA" w:rsidR="003518A6" w:rsidRPr="00A86B8E" w:rsidRDefault="00A86B8E" w:rsidP="00A86B8E">
    <w:pPr>
      <w:pStyle w:val="Encabezado"/>
      <w:jc w:val="right"/>
      <w:rPr>
        <w:rFonts w:ascii="Arial" w:hAnsi="Arial" w:cs="Arial"/>
        <w:b/>
      </w:rPr>
    </w:pPr>
    <w:r w:rsidRPr="00A86B8E">
      <w:rPr>
        <w:rFonts w:ascii="Arial" w:hAnsi="Arial" w:cs="Arial"/>
        <w:b/>
      </w:rPr>
      <w:t>CE/2026/005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56824"/>
    <w:multiLevelType w:val="hybridMultilevel"/>
    <w:tmpl w:val="F11C64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5283AFC"/>
    <w:multiLevelType w:val="multilevel"/>
    <w:tmpl w:val="08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1713"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2C5337DA"/>
    <w:multiLevelType w:val="hybridMultilevel"/>
    <w:tmpl w:val="F95E3FFC"/>
    <w:lvl w:ilvl="0" w:tplc="B4C8E90C">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FF23198"/>
    <w:multiLevelType w:val="hybridMultilevel"/>
    <w:tmpl w:val="F796C8A0"/>
    <w:lvl w:ilvl="0" w:tplc="B4C8E90C">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81D4979"/>
    <w:multiLevelType w:val="hybridMultilevel"/>
    <w:tmpl w:val="B3DEFBF0"/>
    <w:lvl w:ilvl="0" w:tplc="B4C8E90C">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A70"/>
    <w:rsid w:val="00086984"/>
    <w:rsid w:val="000A1C00"/>
    <w:rsid w:val="000A7B9A"/>
    <w:rsid w:val="000C76C0"/>
    <w:rsid w:val="001141EE"/>
    <w:rsid w:val="00126631"/>
    <w:rsid w:val="001350B0"/>
    <w:rsid w:val="00141C4E"/>
    <w:rsid w:val="00150CC9"/>
    <w:rsid w:val="0015750F"/>
    <w:rsid w:val="00163CEA"/>
    <w:rsid w:val="00187ECC"/>
    <w:rsid w:val="001919DC"/>
    <w:rsid w:val="001A39B0"/>
    <w:rsid w:val="001E5DDC"/>
    <w:rsid w:val="00200EAF"/>
    <w:rsid w:val="00262DAD"/>
    <w:rsid w:val="00281F7C"/>
    <w:rsid w:val="00284DCD"/>
    <w:rsid w:val="002D2074"/>
    <w:rsid w:val="003011F0"/>
    <w:rsid w:val="00303183"/>
    <w:rsid w:val="003441DD"/>
    <w:rsid w:val="003470E4"/>
    <w:rsid w:val="003518A6"/>
    <w:rsid w:val="00352C63"/>
    <w:rsid w:val="0037408A"/>
    <w:rsid w:val="00376CF8"/>
    <w:rsid w:val="003B79B6"/>
    <w:rsid w:val="003E101F"/>
    <w:rsid w:val="003E4F79"/>
    <w:rsid w:val="003E65EA"/>
    <w:rsid w:val="004109AA"/>
    <w:rsid w:val="004313B5"/>
    <w:rsid w:val="00431C57"/>
    <w:rsid w:val="00454442"/>
    <w:rsid w:val="00460D0E"/>
    <w:rsid w:val="004A1E10"/>
    <w:rsid w:val="004A75E1"/>
    <w:rsid w:val="004B18DE"/>
    <w:rsid w:val="004D6E47"/>
    <w:rsid w:val="00532602"/>
    <w:rsid w:val="0055010C"/>
    <w:rsid w:val="005559D3"/>
    <w:rsid w:val="005667FA"/>
    <w:rsid w:val="005B2D76"/>
    <w:rsid w:val="005C5CDB"/>
    <w:rsid w:val="005D01F2"/>
    <w:rsid w:val="005D6BA6"/>
    <w:rsid w:val="005D72D4"/>
    <w:rsid w:val="005E63DA"/>
    <w:rsid w:val="0060540E"/>
    <w:rsid w:val="00622706"/>
    <w:rsid w:val="00626110"/>
    <w:rsid w:val="00652633"/>
    <w:rsid w:val="00735C88"/>
    <w:rsid w:val="00745454"/>
    <w:rsid w:val="007454E5"/>
    <w:rsid w:val="00747921"/>
    <w:rsid w:val="00754927"/>
    <w:rsid w:val="0076632C"/>
    <w:rsid w:val="007E1955"/>
    <w:rsid w:val="008231D4"/>
    <w:rsid w:val="00843AC4"/>
    <w:rsid w:val="008661A2"/>
    <w:rsid w:val="008C3DAA"/>
    <w:rsid w:val="008E4DA7"/>
    <w:rsid w:val="00900300"/>
    <w:rsid w:val="00985AE5"/>
    <w:rsid w:val="00987BC4"/>
    <w:rsid w:val="009A15DB"/>
    <w:rsid w:val="009A1A5E"/>
    <w:rsid w:val="009C2E00"/>
    <w:rsid w:val="009C6BDA"/>
    <w:rsid w:val="009D1748"/>
    <w:rsid w:val="009D205F"/>
    <w:rsid w:val="009E7E26"/>
    <w:rsid w:val="00A10BFE"/>
    <w:rsid w:val="00A34910"/>
    <w:rsid w:val="00A44C17"/>
    <w:rsid w:val="00A574D5"/>
    <w:rsid w:val="00A70739"/>
    <w:rsid w:val="00A86B8E"/>
    <w:rsid w:val="00A97BCD"/>
    <w:rsid w:val="00AA2B31"/>
    <w:rsid w:val="00AA7DD3"/>
    <w:rsid w:val="00AB69D0"/>
    <w:rsid w:val="00AE2F4B"/>
    <w:rsid w:val="00AE305F"/>
    <w:rsid w:val="00AF4964"/>
    <w:rsid w:val="00B11DB7"/>
    <w:rsid w:val="00B2340B"/>
    <w:rsid w:val="00B24030"/>
    <w:rsid w:val="00B91CBF"/>
    <w:rsid w:val="00BA4B12"/>
    <w:rsid w:val="00BB444D"/>
    <w:rsid w:val="00BF025F"/>
    <w:rsid w:val="00BF135B"/>
    <w:rsid w:val="00BF3557"/>
    <w:rsid w:val="00BF5168"/>
    <w:rsid w:val="00C01877"/>
    <w:rsid w:val="00C069E5"/>
    <w:rsid w:val="00C22D6E"/>
    <w:rsid w:val="00CC0D53"/>
    <w:rsid w:val="00CF0188"/>
    <w:rsid w:val="00D15266"/>
    <w:rsid w:val="00D265EA"/>
    <w:rsid w:val="00D5632E"/>
    <w:rsid w:val="00DF4735"/>
    <w:rsid w:val="00E178AE"/>
    <w:rsid w:val="00E5169B"/>
    <w:rsid w:val="00ED0A70"/>
    <w:rsid w:val="00ED1D88"/>
    <w:rsid w:val="00ED1F7D"/>
    <w:rsid w:val="00ED2DF7"/>
    <w:rsid w:val="00F01AC4"/>
    <w:rsid w:val="00F068E1"/>
    <w:rsid w:val="00F22CBC"/>
    <w:rsid w:val="00FA1386"/>
    <w:rsid w:val="00FC187B"/>
    <w:rsid w:val="00FC42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6D31F9"/>
  <w15:chartTrackingRefBased/>
  <w15:docId w15:val="{FB79D7A6-8A77-489B-B367-D19D264A6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0A70"/>
    <w:pPr>
      <w:spacing w:before="240" w:after="240" w:line="276" w:lineRule="auto"/>
      <w:jc w:val="both"/>
    </w:pPr>
    <w:rPr>
      <w:rFonts w:ascii="Exo" w:hAnsi="Exo"/>
      <w:sz w:val="24"/>
    </w:rPr>
  </w:style>
  <w:style w:type="paragraph" w:styleId="Ttulo1">
    <w:name w:val="heading 1"/>
    <w:basedOn w:val="Normal"/>
    <w:next w:val="Normal"/>
    <w:link w:val="Ttulo1Car"/>
    <w:uiPriority w:val="9"/>
    <w:qFormat/>
    <w:rsid w:val="00376CF8"/>
    <w:pPr>
      <w:numPr>
        <w:numId w:val="5"/>
      </w:numPr>
      <w:spacing w:before="600" w:after="360"/>
      <w:jc w:val="center"/>
      <w:outlineLvl w:val="0"/>
    </w:pPr>
    <w:rPr>
      <w:b/>
      <w:sz w:val="28"/>
    </w:rPr>
  </w:style>
  <w:style w:type="paragraph" w:styleId="Ttulo2">
    <w:name w:val="heading 2"/>
    <w:basedOn w:val="Normal"/>
    <w:next w:val="Normal"/>
    <w:link w:val="Ttulo2Car"/>
    <w:uiPriority w:val="9"/>
    <w:unhideWhenUsed/>
    <w:qFormat/>
    <w:rsid w:val="00376CF8"/>
    <w:pPr>
      <w:numPr>
        <w:ilvl w:val="1"/>
        <w:numId w:val="5"/>
      </w:numPr>
      <w:spacing w:before="480"/>
      <w:outlineLvl w:val="1"/>
    </w:pPr>
    <w:rPr>
      <w:b/>
    </w:rPr>
  </w:style>
  <w:style w:type="paragraph" w:styleId="Ttulo3">
    <w:name w:val="heading 3"/>
    <w:basedOn w:val="Ttulo2"/>
    <w:next w:val="Normal"/>
    <w:link w:val="Ttulo3Car"/>
    <w:uiPriority w:val="9"/>
    <w:unhideWhenUsed/>
    <w:qFormat/>
    <w:rsid w:val="00DF4735"/>
    <w:pPr>
      <w:numPr>
        <w:ilvl w:val="2"/>
      </w:numPr>
      <w:ind w:left="720"/>
      <w:outlineLvl w:val="2"/>
    </w:pPr>
  </w:style>
  <w:style w:type="paragraph" w:styleId="Ttulo4">
    <w:name w:val="heading 4"/>
    <w:basedOn w:val="Normal"/>
    <w:next w:val="Normal"/>
    <w:link w:val="Ttulo4Car"/>
    <w:uiPriority w:val="9"/>
    <w:semiHidden/>
    <w:unhideWhenUsed/>
    <w:qFormat/>
    <w:rsid w:val="00843AC4"/>
    <w:pPr>
      <w:keepNext/>
      <w:keepLines/>
      <w:numPr>
        <w:ilvl w:val="3"/>
        <w:numId w:val="5"/>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843AC4"/>
    <w:pPr>
      <w:keepNext/>
      <w:keepLines/>
      <w:numPr>
        <w:ilvl w:val="4"/>
        <w:numId w:val="5"/>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843AC4"/>
    <w:pPr>
      <w:keepNext/>
      <w:keepLines/>
      <w:numPr>
        <w:ilvl w:val="5"/>
        <w:numId w:val="5"/>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843AC4"/>
    <w:pPr>
      <w:keepNext/>
      <w:keepLines/>
      <w:numPr>
        <w:ilvl w:val="6"/>
        <w:numId w:val="5"/>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843AC4"/>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843AC4"/>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76CF8"/>
    <w:rPr>
      <w:rFonts w:ascii="Exo" w:hAnsi="Exo"/>
      <w:b/>
      <w:sz w:val="28"/>
    </w:rPr>
  </w:style>
  <w:style w:type="character" w:customStyle="1" w:styleId="Ttulo2Car">
    <w:name w:val="Título 2 Car"/>
    <w:basedOn w:val="Fuentedeprrafopredeter"/>
    <w:link w:val="Ttulo2"/>
    <w:uiPriority w:val="9"/>
    <w:rsid w:val="00376CF8"/>
    <w:rPr>
      <w:rFonts w:ascii="Exo" w:hAnsi="Exo"/>
      <w:b/>
      <w:sz w:val="24"/>
    </w:rPr>
  </w:style>
  <w:style w:type="character" w:styleId="Refdenotaalpie">
    <w:name w:val="footnote reference"/>
    <w:basedOn w:val="Fuentedeprrafopredeter"/>
    <w:uiPriority w:val="99"/>
    <w:semiHidden/>
    <w:unhideWhenUsed/>
    <w:rsid w:val="005B2D76"/>
    <w:rPr>
      <w:vertAlign w:val="superscript"/>
    </w:rPr>
  </w:style>
  <w:style w:type="table" w:styleId="Tablaconcuadrcula">
    <w:name w:val="Table Grid"/>
    <w:basedOn w:val="Tablanormal"/>
    <w:uiPriority w:val="39"/>
    <w:rsid w:val="00AA7DD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518A6"/>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3518A6"/>
    <w:rPr>
      <w:rFonts w:ascii="Exo" w:hAnsi="Exo"/>
      <w:sz w:val="24"/>
    </w:rPr>
  </w:style>
  <w:style w:type="paragraph" w:styleId="Piedepgina">
    <w:name w:val="footer"/>
    <w:basedOn w:val="Normal"/>
    <w:link w:val="PiedepginaCar"/>
    <w:uiPriority w:val="99"/>
    <w:unhideWhenUsed/>
    <w:rsid w:val="003518A6"/>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3518A6"/>
    <w:rPr>
      <w:rFonts w:ascii="Exo" w:hAnsi="Exo"/>
      <w:sz w:val="24"/>
    </w:rPr>
  </w:style>
  <w:style w:type="paragraph" w:styleId="Prrafodelista">
    <w:name w:val="List Paragraph"/>
    <w:basedOn w:val="Normal"/>
    <w:uiPriority w:val="34"/>
    <w:qFormat/>
    <w:rsid w:val="00BF025F"/>
    <w:pPr>
      <w:ind w:left="720"/>
      <w:contextualSpacing/>
    </w:pPr>
  </w:style>
  <w:style w:type="character" w:customStyle="1" w:styleId="Ttulo3Car">
    <w:name w:val="Título 3 Car"/>
    <w:basedOn w:val="Fuentedeprrafopredeter"/>
    <w:link w:val="Ttulo3"/>
    <w:uiPriority w:val="9"/>
    <w:rsid w:val="00DF4735"/>
    <w:rPr>
      <w:rFonts w:ascii="Exo" w:hAnsi="Exo"/>
      <w:b/>
      <w:sz w:val="24"/>
    </w:rPr>
  </w:style>
  <w:style w:type="character" w:customStyle="1" w:styleId="Ttulo4Car">
    <w:name w:val="Título 4 Car"/>
    <w:basedOn w:val="Fuentedeprrafopredeter"/>
    <w:link w:val="Ttulo4"/>
    <w:uiPriority w:val="9"/>
    <w:semiHidden/>
    <w:rsid w:val="00843AC4"/>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semiHidden/>
    <w:rsid w:val="00843AC4"/>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semiHidden/>
    <w:rsid w:val="00843AC4"/>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843AC4"/>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843AC4"/>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843AC4"/>
    <w:rPr>
      <w:rFonts w:asciiTheme="majorHAnsi" w:eastAsiaTheme="majorEastAsia" w:hAnsiTheme="majorHAnsi" w:cstheme="majorBidi"/>
      <w:i/>
      <w:iCs/>
      <w:color w:val="272727" w:themeColor="text1" w:themeTint="D8"/>
      <w:sz w:val="21"/>
      <w:szCs w:val="21"/>
    </w:rPr>
  </w:style>
  <w:style w:type="character" w:styleId="Refdecomentario">
    <w:name w:val="annotation reference"/>
    <w:basedOn w:val="Fuentedeprrafopredeter"/>
    <w:uiPriority w:val="99"/>
    <w:semiHidden/>
    <w:unhideWhenUsed/>
    <w:rsid w:val="00150CC9"/>
    <w:rPr>
      <w:sz w:val="16"/>
      <w:szCs w:val="16"/>
    </w:rPr>
  </w:style>
  <w:style w:type="paragraph" w:styleId="Textocomentario">
    <w:name w:val="annotation text"/>
    <w:basedOn w:val="Normal"/>
    <w:link w:val="TextocomentarioCar"/>
    <w:uiPriority w:val="99"/>
    <w:unhideWhenUsed/>
    <w:rsid w:val="00150CC9"/>
    <w:pPr>
      <w:spacing w:line="240" w:lineRule="auto"/>
    </w:pPr>
    <w:rPr>
      <w:sz w:val="20"/>
      <w:szCs w:val="20"/>
    </w:rPr>
  </w:style>
  <w:style w:type="character" w:customStyle="1" w:styleId="TextocomentarioCar">
    <w:name w:val="Texto comentario Car"/>
    <w:basedOn w:val="Fuentedeprrafopredeter"/>
    <w:link w:val="Textocomentario"/>
    <w:uiPriority w:val="99"/>
    <w:rsid w:val="00150CC9"/>
    <w:rPr>
      <w:rFonts w:ascii="Exo" w:hAnsi="Exo"/>
      <w:sz w:val="20"/>
      <w:szCs w:val="20"/>
    </w:rPr>
  </w:style>
  <w:style w:type="paragraph" w:styleId="Asuntodelcomentario">
    <w:name w:val="annotation subject"/>
    <w:basedOn w:val="Textocomentario"/>
    <w:next w:val="Textocomentario"/>
    <w:link w:val="AsuntodelcomentarioCar"/>
    <w:uiPriority w:val="99"/>
    <w:semiHidden/>
    <w:unhideWhenUsed/>
    <w:rsid w:val="00150CC9"/>
    <w:rPr>
      <w:b/>
      <w:bCs/>
    </w:rPr>
  </w:style>
  <w:style w:type="character" w:customStyle="1" w:styleId="AsuntodelcomentarioCar">
    <w:name w:val="Asunto del comentario Car"/>
    <w:basedOn w:val="TextocomentarioCar"/>
    <w:link w:val="Asuntodelcomentario"/>
    <w:uiPriority w:val="99"/>
    <w:semiHidden/>
    <w:rsid w:val="00150CC9"/>
    <w:rPr>
      <w:rFonts w:ascii="Exo" w:hAnsi="Exo"/>
      <w:b/>
      <w:bCs/>
      <w:sz w:val="20"/>
      <w:szCs w:val="20"/>
    </w:rPr>
  </w:style>
  <w:style w:type="paragraph" w:styleId="Textodeglobo">
    <w:name w:val="Balloon Text"/>
    <w:basedOn w:val="Normal"/>
    <w:link w:val="TextodegloboCar"/>
    <w:uiPriority w:val="99"/>
    <w:semiHidden/>
    <w:unhideWhenUsed/>
    <w:rsid w:val="001A39B0"/>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A39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10</Pages>
  <Words>3196</Words>
  <Characters>17579</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5</cp:revision>
  <cp:lastPrinted>2026-01-19T22:03:00Z</cp:lastPrinted>
  <dcterms:created xsi:type="dcterms:W3CDTF">2026-01-19T16:09:00Z</dcterms:created>
  <dcterms:modified xsi:type="dcterms:W3CDTF">2026-01-19T22:03:00Z</dcterms:modified>
</cp:coreProperties>
</file>