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EC744" w14:textId="6D0A293A" w:rsidR="00E64D1B" w:rsidRPr="001651FF" w:rsidRDefault="00F15EED" w:rsidP="00E64D1B">
      <w:pPr>
        <w:rPr>
          <w:rFonts w:ascii="Arial" w:hAnsi="Arial" w:cs="Arial"/>
          <w:b/>
          <w:bCs/>
        </w:rPr>
      </w:pPr>
      <w:r w:rsidRPr="001651FF">
        <w:rPr>
          <w:rFonts w:ascii="Arial" w:hAnsi="Arial" w:cs="Arial"/>
          <w:b/>
          <w:bCs/>
        </w:rPr>
        <w:t>ACUERDO QUE, A PROPUESTA DE LA COMISIÓN DE IGUALDAD DE GÉNERO Y NO DISCRIMINACIÓN, EMITE EL CONSEJO ESTATAL DEL INSTITUTO ELECTORAL Y DE PARTICIPACIÓN CIUDADANA DE TABASCO POR EL QUE APRUEBA LOS LINEAMIENTOS PARA QUE LOS PARTIDOS POLÍTICOS LOCALES PREVENGAN, ATIENDAN, SANCIONEN, REPAREN Y ERRADIQUEN LA VIOLENCIA POLÍTICA CONTRA LAS MUJERES EN RAZÓN DE GÉNERO</w:t>
      </w:r>
    </w:p>
    <w:p w14:paraId="1C91AF42" w14:textId="572A7365" w:rsidR="00E64D1B" w:rsidRPr="00F15EED" w:rsidRDefault="00E64D1B" w:rsidP="00E64D1B">
      <w:pPr>
        <w:rPr>
          <w:rFonts w:ascii="Arial" w:hAnsi="Arial" w:cs="Arial"/>
          <w:sz w:val="22"/>
          <w:szCs w:val="22"/>
        </w:rPr>
      </w:pPr>
      <w:r w:rsidRPr="00F15EED">
        <w:rPr>
          <w:rFonts w:ascii="Arial" w:hAnsi="Arial" w:cs="Arial"/>
          <w:sz w:val="22"/>
          <w:szCs w:val="22"/>
        </w:rPr>
        <w:t>Para efectos del pre</w:t>
      </w:r>
      <w:bookmarkStart w:id="0" w:name="_GoBack"/>
      <w:bookmarkEnd w:id="0"/>
      <w:r w:rsidRPr="00F15EED">
        <w:rPr>
          <w:rFonts w:ascii="Arial" w:hAnsi="Arial" w:cs="Arial"/>
          <w:sz w:val="22"/>
          <w:szCs w:val="22"/>
        </w:rPr>
        <w:t>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1651FF" w:rsidRPr="001651FF" w14:paraId="258D68C6" w14:textId="77777777" w:rsidTr="00586753">
        <w:trPr>
          <w:trHeight w:val="624"/>
          <w:jc w:val="center"/>
        </w:trPr>
        <w:tc>
          <w:tcPr>
            <w:tcW w:w="2042" w:type="pct"/>
            <w:shd w:val="clear" w:color="auto" w:fill="auto"/>
            <w:vAlign w:val="center"/>
          </w:tcPr>
          <w:p w14:paraId="2A583DF1" w14:textId="77777777" w:rsidR="00E64D1B" w:rsidRPr="00F15EED" w:rsidRDefault="00E64D1B" w:rsidP="00586753">
            <w:pPr>
              <w:widowControl w:val="0"/>
              <w:spacing w:before="120" w:after="120" w:line="281" w:lineRule="auto"/>
              <w:ind w:left="57"/>
              <w:jc w:val="right"/>
              <w:rPr>
                <w:rFonts w:ascii="Arial" w:hAnsi="Arial" w:cs="Arial"/>
                <w:b/>
                <w:sz w:val="20"/>
                <w:szCs w:val="20"/>
              </w:rPr>
            </w:pPr>
            <w:bookmarkStart w:id="1" w:name="_Hlk186652747"/>
            <w:r w:rsidRPr="00F15EED">
              <w:rPr>
                <w:rFonts w:ascii="Arial" w:hAnsi="Arial" w:cs="Arial"/>
                <w:b/>
                <w:sz w:val="20"/>
                <w:szCs w:val="20"/>
              </w:rPr>
              <w:t>Comisión:</w:t>
            </w:r>
          </w:p>
        </w:tc>
        <w:tc>
          <w:tcPr>
            <w:tcW w:w="2958" w:type="pct"/>
            <w:shd w:val="clear" w:color="auto" w:fill="auto"/>
            <w:vAlign w:val="center"/>
          </w:tcPr>
          <w:p w14:paraId="164D10E2"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Comisión de Igualdad de Género y No Discriminación del Instituto Electoral y de Participación Ciudadana de Tabasco.</w:t>
            </w:r>
          </w:p>
        </w:tc>
      </w:tr>
      <w:tr w:rsidR="001651FF" w:rsidRPr="001651FF" w14:paraId="1FC5D6F5" w14:textId="77777777" w:rsidTr="00586753">
        <w:trPr>
          <w:trHeight w:val="624"/>
          <w:jc w:val="center"/>
        </w:trPr>
        <w:tc>
          <w:tcPr>
            <w:tcW w:w="2042" w:type="pct"/>
            <w:shd w:val="clear" w:color="auto" w:fill="auto"/>
            <w:vAlign w:val="center"/>
          </w:tcPr>
          <w:p w14:paraId="3CF93006"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Consejo Estatal:</w:t>
            </w:r>
          </w:p>
        </w:tc>
        <w:tc>
          <w:tcPr>
            <w:tcW w:w="2958" w:type="pct"/>
            <w:shd w:val="clear" w:color="auto" w:fill="auto"/>
            <w:vAlign w:val="center"/>
          </w:tcPr>
          <w:p w14:paraId="3EB42395"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Consejo Estatal del Instituto Electoral y de Participación Ciudadana de Tabasco.</w:t>
            </w:r>
          </w:p>
        </w:tc>
      </w:tr>
      <w:tr w:rsidR="001651FF" w:rsidRPr="001651FF" w14:paraId="7F95DE86" w14:textId="77777777" w:rsidTr="00586753">
        <w:trPr>
          <w:trHeight w:val="624"/>
          <w:jc w:val="center"/>
        </w:trPr>
        <w:tc>
          <w:tcPr>
            <w:tcW w:w="2042" w:type="pct"/>
            <w:shd w:val="clear" w:color="auto" w:fill="auto"/>
            <w:vAlign w:val="center"/>
          </w:tcPr>
          <w:p w14:paraId="03D447F4"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Constitución Federal:</w:t>
            </w:r>
          </w:p>
        </w:tc>
        <w:tc>
          <w:tcPr>
            <w:tcW w:w="2958" w:type="pct"/>
            <w:shd w:val="clear" w:color="auto" w:fill="auto"/>
            <w:vAlign w:val="center"/>
          </w:tcPr>
          <w:p w14:paraId="01D9120B"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Constitución Política de los Estados Unidos Mexicanos.</w:t>
            </w:r>
          </w:p>
        </w:tc>
      </w:tr>
      <w:tr w:rsidR="001651FF" w:rsidRPr="001651FF" w14:paraId="4054DFC0" w14:textId="77777777" w:rsidTr="00586753">
        <w:trPr>
          <w:trHeight w:val="624"/>
          <w:jc w:val="center"/>
        </w:trPr>
        <w:tc>
          <w:tcPr>
            <w:tcW w:w="2042" w:type="pct"/>
            <w:shd w:val="clear" w:color="auto" w:fill="auto"/>
            <w:vAlign w:val="center"/>
          </w:tcPr>
          <w:p w14:paraId="3386B32B"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Constitución Local:</w:t>
            </w:r>
          </w:p>
        </w:tc>
        <w:tc>
          <w:tcPr>
            <w:tcW w:w="2958" w:type="pct"/>
            <w:shd w:val="clear" w:color="auto" w:fill="auto"/>
            <w:vAlign w:val="center"/>
          </w:tcPr>
          <w:p w14:paraId="5194462C"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Constitución Política del Estado Libre y Soberano de Tabasco.</w:t>
            </w:r>
          </w:p>
        </w:tc>
      </w:tr>
      <w:tr w:rsidR="001651FF" w:rsidRPr="001651FF" w14:paraId="424F2285" w14:textId="77777777" w:rsidTr="00586753">
        <w:trPr>
          <w:trHeight w:val="624"/>
          <w:jc w:val="center"/>
        </w:trPr>
        <w:tc>
          <w:tcPr>
            <w:tcW w:w="2042" w:type="pct"/>
            <w:shd w:val="clear" w:color="auto" w:fill="auto"/>
            <w:vAlign w:val="center"/>
          </w:tcPr>
          <w:p w14:paraId="13189375"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INE:</w:t>
            </w:r>
          </w:p>
        </w:tc>
        <w:tc>
          <w:tcPr>
            <w:tcW w:w="2958" w:type="pct"/>
            <w:shd w:val="clear" w:color="auto" w:fill="auto"/>
            <w:vAlign w:val="center"/>
          </w:tcPr>
          <w:p w14:paraId="30DDA6A7"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Instituto Nacional Electoral.</w:t>
            </w:r>
          </w:p>
        </w:tc>
      </w:tr>
      <w:tr w:rsidR="001651FF" w:rsidRPr="001651FF" w14:paraId="5B8293C5" w14:textId="77777777" w:rsidTr="00586753">
        <w:trPr>
          <w:trHeight w:val="624"/>
          <w:jc w:val="center"/>
        </w:trPr>
        <w:tc>
          <w:tcPr>
            <w:tcW w:w="2042" w:type="pct"/>
            <w:shd w:val="clear" w:color="auto" w:fill="auto"/>
            <w:vAlign w:val="center"/>
          </w:tcPr>
          <w:p w14:paraId="70EC1796"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Instituto:</w:t>
            </w:r>
          </w:p>
        </w:tc>
        <w:tc>
          <w:tcPr>
            <w:tcW w:w="2958" w:type="pct"/>
            <w:shd w:val="clear" w:color="auto" w:fill="auto"/>
          </w:tcPr>
          <w:p w14:paraId="2C51DC71"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Instituto Electoral y de Participación Ciudadana de Tabasco.</w:t>
            </w:r>
          </w:p>
        </w:tc>
      </w:tr>
      <w:tr w:rsidR="001651FF" w:rsidRPr="001651FF" w14:paraId="53366A6E" w14:textId="77777777" w:rsidTr="00586753">
        <w:trPr>
          <w:trHeight w:val="624"/>
          <w:jc w:val="center"/>
        </w:trPr>
        <w:tc>
          <w:tcPr>
            <w:tcW w:w="2042" w:type="pct"/>
            <w:shd w:val="clear" w:color="auto" w:fill="auto"/>
            <w:vAlign w:val="center"/>
          </w:tcPr>
          <w:p w14:paraId="3B6BD9AA"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Ley Electoral:</w:t>
            </w:r>
          </w:p>
        </w:tc>
        <w:tc>
          <w:tcPr>
            <w:tcW w:w="2958" w:type="pct"/>
            <w:shd w:val="clear" w:color="auto" w:fill="auto"/>
            <w:vAlign w:val="center"/>
          </w:tcPr>
          <w:p w14:paraId="338A1438"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Ley Electoral y de Partidos Políticos del Estado de Tabasco.</w:t>
            </w:r>
          </w:p>
        </w:tc>
      </w:tr>
      <w:tr w:rsidR="001651FF" w:rsidRPr="001651FF" w14:paraId="77302E3D" w14:textId="77777777" w:rsidTr="00586753">
        <w:trPr>
          <w:trHeight w:val="624"/>
          <w:jc w:val="center"/>
        </w:trPr>
        <w:tc>
          <w:tcPr>
            <w:tcW w:w="2042" w:type="pct"/>
            <w:shd w:val="clear" w:color="auto" w:fill="auto"/>
            <w:vAlign w:val="center"/>
          </w:tcPr>
          <w:p w14:paraId="699DDFBD"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Ley General:</w:t>
            </w:r>
          </w:p>
        </w:tc>
        <w:tc>
          <w:tcPr>
            <w:tcW w:w="2958" w:type="pct"/>
            <w:shd w:val="clear" w:color="auto" w:fill="auto"/>
            <w:vAlign w:val="center"/>
          </w:tcPr>
          <w:p w14:paraId="689D576F"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Ley General de Instituciones y Procedimientos Electorales.</w:t>
            </w:r>
          </w:p>
        </w:tc>
      </w:tr>
      <w:tr w:rsidR="001651FF" w:rsidRPr="001651FF" w14:paraId="43AABD9D" w14:textId="77777777" w:rsidTr="00586753">
        <w:trPr>
          <w:trHeight w:val="624"/>
          <w:jc w:val="center"/>
        </w:trPr>
        <w:tc>
          <w:tcPr>
            <w:tcW w:w="2042" w:type="pct"/>
            <w:shd w:val="clear" w:color="auto" w:fill="auto"/>
            <w:vAlign w:val="center"/>
          </w:tcPr>
          <w:p w14:paraId="0E6AD01A" w14:textId="77777777" w:rsidR="00E64D1B" w:rsidRPr="00F15EED" w:rsidRDefault="00E64D1B" w:rsidP="00586753">
            <w:pPr>
              <w:widowControl w:val="0"/>
              <w:spacing w:before="120" w:after="120" w:line="281" w:lineRule="auto"/>
              <w:ind w:left="57"/>
              <w:jc w:val="right"/>
              <w:rPr>
                <w:rFonts w:ascii="Arial" w:hAnsi="Arial" w:cs="Arial"/>
                <w:b/>
                <w:sz w:val="20"/>
                <w:szCs w:val="20"/>
              </w:rPr>
            </w:pPr>
            <w:r w:rsidRPr="00F15EED">
              <w:rPr>
                <w:rFonts w:ascii="Arial" w:hAnsi="Arial" w:cs="Arial"/>
                <w:b/>
                <w:sz w:val="20"/>
                <w:szCs w:val="20"/>
              </w:rPr>
              <w:t>Organismo(s) electoral(es):</w:t>
            </w:r>
          </w:p>
        </w:tc>
        <w:tc>
          <w:tcPr>
            <w:tcW w:w="2958" w:type="pct"/>
            <w:shd w:val="clear" w:color="auto" w:fill="auto"/>
            <w:vAlign w:val="center"/>
          </w:tcPr>
          <w:p w14:paraId="32BE2553" w14:textId="77777777" w:rsidR="00E64D1B" w:rsidRPr="00F15EED" w:rsidRDefault="00E64D1B" w:rsidP="00586753">
            <w:pPr>
              <w:widowControl w:val="0"/>
              <w:spacing w:before="120" w:after="120" w:line="281" w:lineRule="auto"/>
              <w:ind w:left="57"/>
              <w:rPr>
                <w:rFonts w:ascii="Arial" w:hAnsi="Arial" w:cs="Arial"/>
                <w:sz w:val="20"/>
                <w:szCs w:val="20"/>
              </w:rPr>
            </w:pPr>
            <w:r w:rsidRPr="00F15EED">
              <w:rPr>
                <w:rFonts w:ascii="Arial" w:hAnsi="Arial" w:cs="Arial"/>
                <w:sz w:val="20"/>
                <w:szCs w:val="20"/>
              </w:rPr>
              <w:t xml:space="preserve">Organismo(s) público(s) local(es) electoral(es). </w:t>
            </w:r>
          </w:p>
        </w:tc>
      </w:tr>
      <w:tr w:rsidR="001651FF" w:rsidRPr="001651FF" w14:paraId="53F96756" w14:textId="77777777" w:rsidTr="00586753">
        <w:trPr>
          <w:trHeight w:val="624"/>
          <w:jc w:val="center"/>
        </w:trPr>
        <w:tc>
          <w:tcPr>
            <w:tcW w:w="2042" w:type="pct"/>
            <w:shd w:val="clear" w:color="auto" w:fill="auto"/>
            <w:vAlign w:val="center"/>
          </w:tcPr>
          <w:p w14:paraId="06CA8A8E" w14:textId="77777777" w:rsidR="00E64D1B" w:rsidRPr="001651FF" w:rsidRDefault="00E64D1B" w:rsidP="00586753">
            <w:pPr>
              <w:widowControl w:val="0"/>
              <w:spacing w:before="120" w:after="120" w:line="281" w:lineRule="auto"/>
              <w:ind w:left="57"/>
              <w:jc w:val="right"/>
              <w:rPr>
                <w:rFonts w:ascii="Arial" w:hAnsi="Arial" w:cs="Arial"/>
                <w:b/>
                <w:sz w:val="20"/>
                <w:szCs w:val="20"/>
              </w:rPr>
            </w:pPr>
            <w:r w:rsidRPr="001651FF">
              <w:rPr>
                <w:rFonts w:ascii="Arial" w:hAnsi="Arial" w:cs="Arial"/>
                <w:b/>
                <w:sz w:val="20"/>
                <w:szCs w:val="20"/>
              </w:rPr>
              <w:t>Secretaría Ejecutiva:</w:t>
            </w:r>
          </w:p>
        </w:tc>
        <w:tc>
          <w:tcPr>
            <w:tcW w:w="2958" w:type="pct"/>
            <w:shd w:val="clear" w:color="auto" w:fill="auto"/>
            <w:vAlign w:val="center"/>
          </w:tcPr>
          <w:p w14:paraId="23321918" w14:textId="77777777" w:rsidR="00E64D1B" w:rsidRPr="001651FF" w:rsidRDefault="00E64D1B" w:rsidP="00586753">
            <w:pPr>
              <w:widowControl w:val="0"/>
              <w:spacing w:before="120" w:after="120" w:line="281" w:lineRule="auto"/>
              <w:ind w:left="57"/>
              <w:rPr>
                <w:rFonts w:ascii="Arial" w:hAnsi="Arial" w:cs="Arial"/>
                <w:sz w:val="20"/>
                <w:szCs w:val="20"/>
              </w:rPr>
            </w:pPr>
            <w:r w:rsidRPr="001651FF">
              <w:rPr>
                <w:rFonts w:ascii="Arial" w:hAnsi="Arial" w:cs="Arial"/>
                <w:sz w:val="20"/>
                <w:szCs w:val="20"/>
              </w:rPr>
              <w:t>Secretaría Ejecutiva del Instituto Electoral y de Participación Ciudadana de Tabasco.</w:t>
            </w:r>
          </w:p>
        </w:tc>
      </w:tr>
      <w:tr w:rsidR="001651FF" w:rsidRPr="001651FF" w14:paraId="50A2E234" w14:textId="77777777" w:rsidTr="00586753">
        <w:trPr>
          <w:trHeight w:val="624"/>
          <w:jc w:val="center"/>
        </w:trPr>
        <w:tc>
          <w:tcPr>
            <w:tcW w:w="2042" w:type="pct"/>
            <w:shd w:val="clear" w:color="auto" w:fill="auto"/>
            <w:vAlign w:val="center"/>
          </w:tcPr>
          <w:p w14:paraId="21FE423C" w14:textId="65508F68" w:rsidR="00E64D1B" w:rsidRPr="001651FF" w:rsidRDefault="00ED0F1A" w:rsidP="00586753">
            <w:pPr>
              <w:widowControl w:val="0"/>
              <w:spacing w:before="120" w:after="120" w:line="281" w:lineRule="auto"/>
              <w:ind w:left="57"/>
              <w:jc w:val="right"/>
              <w:rPr>
                <w:rFonts w:ascii="Arial" w:hAnsi="Arial" w:cs="Arial"/>
                <w:b/>
                <w:sz w:val="20"/>
                <w:szCs w:val="20"/>
              </w:rPr>
            </w:pPr>
            <w:r w:rsidRPr="001651FF">
              <w:rPr>
                <w:rFonts w:ascii="Arial" w:hAnsi="Arial" w:cs="Arial"/>
                <w:b/>
                <w:sz w:val="20"/>
                <w:szCs w:val="20"/>
              </w:rPr>
              <w:lastRenderedPageBreak/>
              <w:t>Violencia política</w:t>
            </w:r>
            <w:r w:rsidR="00E64D1B" w:rsidRPr="001651FF">
              <w:rPr>
                <w:rFonts w:ascii="Arial" w:hAnsi="Arial" w:cs="Arial"/>
                <w:b/>
                <w:sz w:val="20"/>
                <w:szCs w:val="20"/>
              </w:rPr>
              <w:t>:</w:t>
            </w:r>
          </w:p>
        </w:tc>
        <w:tc>
          <w:tcPr>
            <w:tcW w:w="2958" w:type="pct"/>
            <w:shd w:val="clear" w:color="auto" w:fill="auto"/>
            <w:vAlign w:val="center"/>
          </w:tcPr>
          <w:p w14:paraId="323FB22B" w14:textId="77777777" w:rsidR="00E64D1B" w:rsidRPr="001651FF" w:rsidRDefault="00E64D1B" w:rsidP="00586753">
            <w:pPr>
              <w:widowControl w:val="0"/>
              <w:spacing w:before="120" w:after="120" w:line="281" w:lineRule="auto"/>
              <w:ind w:left="57"/>
              <w:rPr>
                <w:rFonts w:ascii="Arial" w:hAnsi="Arial" w:cs="Arial"/>
                <w:sz w:val="20"/>
                <w:szCs w:val="20"/>
              </w:rPr>
            </w:pPr>
            <w:r w:rsidRPr="001651FF">
              <w:rPr>
                <w:rFonts w:ascii="Arial" w:hAnsi="Arial" w:cs="Arial"/>
                <w:sz w:val="20"/>
                <w:szCs w:val="20"/>
              </w:rPr>
              <w:t>Violencia Política contra las Mujeres en Razón de Género.</w:t>
            </w:r>
          </w:p>
        </w:tc>
      </w:tr>
    </w:tbl>
    <w:bookmarkEnd w:id="1"/>
    <w:p w14:paraId="30E07F37" w14:textId="7D88389A" w:rsidR="00E64D1B" w:rsidRPr="001651FF" w:rsidRDefault="00E64D1B" w:rsidP="0004727C">
      <w:pPr>
        <w:pStyle w:val="Ttulo1"/>
        <w:keepNext w:val="0"/>
        <w:widowControl w:val="0"/>
        <w:rPr>
          <w:rFonts w:ascii="Arial" w:hAnsi="Arial" w:cs="Arial"/>
          <w:color w:val="auto"/>
          <w:sz w:val="24"/>
          <w:szCs w:val="24"/>
        </w:rPr>
      </w:pPr>
      <w:r w:rsidRPr="001651FF">
        <w:rPr>
          <w:rFonts w:ascii="Arial" w:hAnsi="Arial" w:cs="Arial"/>
          <w:color w:val="auto"/>
          <w:sz w:val="24"/>
          <w:szCs w:val="24"/>
        </w:rPr>
        <w:t>Antecedentes</w:t>
      </w:r>
    </w:p>
    <w:p w14:paraId="4B5620A3"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t>Fines del Instituto</w:t>
      </w:r>
    </w:p>
    <w:p w14:paraId="422EE15C"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B885F97"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59C7DD2D" w14:textId="6CA76B2D" w:rsidR="00E64D1B" w:rsidRDefault="00E64D1B" w:rsidP="0004727C">
      <w:pPr>
        <w:widowControl w:val="0"/>
        <w:rPr>
          <w:rFonts w:ascii="Arial" w:hAnsi="Arial" w:cs="Arial"/>
          <w:sz w:val="22"/>
          <w:szCs w:val="22"/>
        </w:rPr>
      </w:pPr>
      <w:r w:rsidRPr="001651FF">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6DC7A172" w14:textId="0DF2F9E7" w:rsidR="00C30DF7" w:rsidRDefault="00C30DF7" w:rsidP="0004727C">
      <w:pPr>
        <w:widowControl w:val="0"/>
        <w:rPr>
          <w:rFonts w:ascii="Arial" w:hAnsi="Arial" w:cs="Arial"/>
          <w:sz w:val="22"/>
          <w:szCs w:val="22"/>
        </w:rPr>
      </w:pPr>
    </w:p>
    <w:p w14:paraId="3D69D0BC" w14:textId="77777777" w:rsidR="00C30DF7" w:rsidRPr="001651FF" w:rsidRDefault="00C30DF7" w:rsidP="0004727C">
      <w:pPr>
        <w:widowControl w:val="0"/>
        <w:rPr>
          <w:rFonts w:ascii="Arial" w:hAnsi="Arial" w:cs="Arial"/>
          <w:sz w:val="22"/>
          <w:szCs w:val="22"/>
        </w:rPr>
      </w:pPr>
    </w:p>
    <w:p w14:paraId="637CDF76"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lastRenderedPageBreak/>
        <w:t>Integración del órgano superior de dirección</w:t>
      </w:r>
    </w:p>
    <w:p w14:paraId="4895A315"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2F9E4814"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63FECDF"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D6F1D66"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t>Integración de la Comisión</w:t>
      </w:r>
    </w:p>
    <w:p w14:paraId="6AC7AB97"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El 4 de octubre de 2024, mediante acuerdo CE/2024/090, el Consejo Estatal modificó la conformación de las Comisiones Permanentes, entre ellas, la relativa a la de Igualdad de Género y No Discriminación, quedando integrada por las Consejeras Electorales, Licda. María Elvia Magaña Sandoval y Mtra. Ruth Lizette Toledo Peral, y, el Consejero Electoral, Mtro. Hernán González Sala, éste último, Presidente de la Comisión; y en su calidad de secretaria técnica, la Licda. Rebeca Caraveo Cabrera, titular de la Unidad de Igualdad de Género y No Discriminación.</w:t>
      </w:r>
    </w:p>
    <w:p w14:paraId="46F1FE01"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t xml:space="preserve">Reforma Constitucional </w:t>
      </w:r>
    </w:p>
    <w:p w14:paraId="4CAA3DF6"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w:t>
      </w:r>
      <w:r w:rsidRPr="001651FF">
        <w:rPr>
          <w:rFonts w:ascii="Arial" w:hAnsi="Arial" w:cs="Arial"/>
          <w:sz w:val="22"/>
          <w:szCs w:val="22"/>
        </w:rPr>
        <w:lastRenderedPageBreak/>
        <w:t>segundo de la fracción XXI del artículo 36, la fracción IV del artículo 39; el inciso b) de la fracción I del artículo 55; y el artículo 61; todos de la Constitución Local.  Dicha reforma entró en vigor el 17 de diciembre de 2024.</w:t>
      </w:r>
    </w:p>
    <w:p w14:paraId="3A17D8CA"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20FA0090"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t>Reforma a la Ley Electoral</w:t>
      </w:r>
    </w:p>
    <w:p w14:paraId="31F46370" w14:textId="77777777" w:rsidR="00E64D1B" w:rsidRPr="001651FF" w:rsidRDefault="00E64D1B" w:rsidP="0004727C">
      <w:pPr>
        <w:widowControl w:val="0"/>
        <w:rPr>
          <w:rFonts w:ascii="Arial" w:hAnsi="Arial" w:cs="Arial"/>
          <w:sz w:val="22"/>
          <w:szCs w:val="22"/>
        </w:rPr>
      </w:pPr>
      <w:r w:rsidRPr="001651FF">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1C4C87F3" w14:textId="77777777" w:rsidR="008D38C9" w:rsidRPr="001651FF" w:rsidRDefault="008D38C9" w:rsidP="00081F70">
      <w:pPr>
        <w:pStyle w:val="Ttulo2"/>
        <w:rPr>
          <w:rFonts w:ascii="Arial" w:hAnsi="Arial" w:cs="Arial"/>
          <w:color w:val="auto"/>
          <w:sz w:val="22"/>
          <w:szCs w:val="22"/>
        </w:rPr>
      </w:pPr>
      <w:r w:rsidRPr="001651FF">
        <w:rPr>
          <w:rFonts w:ascii="Arial" w:hAnsi="Arial" w:cs="Arial"/>
          <w:color w:val="auto"/>
          <w:sz w:val="22"/>
          <w:szCs w:val="22"/>
        </w:rPr>
        <w:t>Atribuciones de la Comisión</w:t>
      </w:r>
    </w:p>
    <w:p w14:paraId="3F083DF5" w14:textId="77777777" w:rsidR="008D38C9" w:rsidRPr="001651FF" w:rsidRDefault="008D38C9" w:rsidP="0004727C">
      <w:pPr>
        <w:widowControl w:val="0"/>
        <w:rPr>
          <w:rFonts w:ascii="Arial" w:hAnsi="Arial" w:cs="Arial"/>
          <w:sz w:val="22"/>
          <w:szCs w:val="22"/>
        </w:rPr>
      </w:pPr>
      <w:r w:rsidRPr="001651FF">
        <w:rPr>
          <w:rFonts w:ascii="Arial" w:hAnsi="Arial" w:cs="Arial"/>
          <w:sz w:val="22"/>
          <w:szCs w:val="22"/>
        </w:rPr>
        <w:t>Que, de la interpretación sistemática y funcional de los artículos 113 de la Ley Electoral y 19, numeral 1, fracción I, II, III y IV del Reglamento de Comisiones, la Comisión, es el órgano auxiliar del Consejo Estatal, que tiene entre otras funciones, formular recomendaciones y sugerir directrices a la Unidad Técnica de Igualdad de Género y No Discriminación, para el cumplimiento del plan de trabajo de la Comisión, así como proponer al referido Consejo, políticas y programas generales que garanticen el respeto de los derechos políticos electorales de las mujeres y grupos vulnerables, así como dar cumplimiento y seguimiento a los protocolos e instrumentos jurídicos para atender la violencia política contra las mujeres en razón de género y la importancia de la paridad de género.</w:t>
      </w:r>
    </w:p>
    <w:p w14:paraId="0C860D5F" w14:textId="77777777" w:rsidR="00E64D1B" w:rsidRPr="001651FF" w:rsidRDefault="00E64D1B" w:rsidP="00081F70">
      <w:pPr>
        <w:pStyle w:val="Ttulo2"/>
        <w:rPr>
          <w:rFonts w:ascii="Arial" w:hAnsi="Arial" w:cs="Arial"/>
          <w:color w:val="auto"/>
          <w:sz w:val="22"/>
          <w:szCs w:val="22"/>
        </w:rPr>
      </w:pPr>
      <w:r w:rsidRPr="001651FF">
        <w:rPr>
          <w:rFonts w:ascii="Arial" w:hAnsi="Arial" w:cs="Arial"/>
          <w:color w:val="auto"/>
          <w:sz w:val="22"/>
          <w:szCs w:val="22"/>
        </w:rPr>
        <w:t>Presentación de la propuesta</w:t>
      </w:r>
    </w:p>
    <w:p w14:paraId="20F90725" w14:textId="096407CD" w:rsidR="00ED0F1A" w:rsidRDefault="00E64D1B" w:rsidP="0004727C">
      <w:pPr>
        <w:widowControl w:val="0"/>
        <w:rPr>
          <w:rFonts w:ascii="Arial" w:hAnsi="Arial" w:cs="Arial"/>
          <w:sz w:val="22"/>
          <w:szCs w:val="22"/>
        </w:rPr>
      </w:pPr>
      <w:r w:rsidRPr="001651FF">
        <w:rPr>
          <w:rFonts w:ascii="Arial" w:hAnsi="Arial" w:cs="Arial"/>
          <w:sz w:val="22"/>
          <w:szCs w:val="22"/>
        </w:rPr>
        <w:t xml:space="preserve">El 25 de marzo de 2025, la Secretaria Técnica de la Comisión, mediante oficio ST/CIGYND/212/2025, remitió a la Presidencia del Consejo, la propuesta relativa a los Lineamientos para que los partidos políticos locales prevengan, atiendan, sancionen, </w:t>
      </w:r>
      <w:r w:rsidRPr="001651FF">
        <w:rPr>
          <w:rFonts w:ascii="Arial" w:hAnsi="Arial" w:cs="Arial"/>
          <w:sz w:val="22"/>
          <w:szCs w:val="22"/>
        </w:rPr>
        <w:lastRenderedPageBreak/>
        <w:t xml:space="preserve">reparen y erradiquen la violencia política formulado por dicha Comisión; </w:t>
      </w:r>
      <w:r w:rsidR="00ED0F1A" w:rsidRPr="001651FF">
        <w:rPr>
          <w:rFonts w:ascii="Arial" w:hAnsi="Arial" w:cs="Arial"/>
          <w:sz w:val="22"/>
          <w:szCs w:val="22"/>
        </w:rPr>
        <w:t>para efectos de someterlo a la deliberación de este Consejo Estatal.</w:t>
      </w:r>
    </w:p>
    <w:p w14:paraId="1D59E6AC" w14:textId="24B6273D" w:rsidR="00ED0F1A" w:rsidRPr="001651FF" w:rsidRDefault="00ED0F1A" w:rsidP="0004727C">
      <w:pPr>
        <w:pStyle w:val="Ttulo1"/>
        <w:keepNext w:val="0"/>
        <w:widowControl w:val="0"/>
        <w:rPr>
          <w:rFonts w:ascii="Arial" w:hAnsi="Arial" w:cs="Arial"/>
          <w:color w:val="auto"/>
          <w:sz w:val="24"/>
          <w:szCs w:val="24"/>
        </w:rPr>
      </w:pPr>
      <w:r w:rsidRPr="001651FF">
        <w:rPr>
          <w:rFonts w:ascii="Arial" w:hAnsi="Arial" w:cs="Arial"/>
          <w:color w:val="auto"/>
          <w:sz w:val="24"/>
          <w:szCs w:val="24"/>
        </w:rPr>
        <w:t>Considerando</w:t>
      </w:r>
    </w:p>
    <w:p w14:paraId="508389C1" w14:textId="0C93CE31"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Competencia del Consejo Estatal</w:t>
      </w:r>
    </w:p>
    <w:p w14:paraId="491406FD" w14:textId="33A66280" w:rsidR="00ED0F1A" w:rsidRPr="001651FF" w:rsidRDefault="00ED0F1A" w:rsidP="0004727C">
      <w:pPr>
        <w:widowControl w:val="0"/>
        <w:rPr>
          <w:rFonts w:ascii="Arial" w:hAnsi="Arial" w:cs="Arial"/>
          <w:sz w:val="22"/>
          <w:szCs w:val="22"/>
        </w:rPr>
      </w:pPr>
      <w:r w:rsidRPr="001651FF">
        <w:rPr>
          <w:rFonts w:ascii="Arial" w:hAnsi="Arial" w:cs="Arial"/>
          <w:sz w:val="22"/>
          <w:szCs w:val="22"/>
        </w:rPr>
        <w:t>Que, de conformidad con los artículos 115 numeral 1, fracciones IX de la Ley Electoral, corresponde al Consejo Estatal vigilar que las actividades de los partidos políticos, las agrupaciones políticas y las candidatas y los candidatos, se desarrollen con apego a las disposiciones establecidas en esta Ley, las Leyes Generales y los lineamientos que emita el Consejo Estatal para que los partidos políticos prevengan, atiendan y erradiquen la violencia política, y vigilar que cumplan con las obligaciones a que están sujetos.</w:t>
      </w:r>
    </w:p>
    <w:p w14:paraId="0DBB9FC6" w14:textId="3B96E5C8" w:rsidR="00E64D1B" w:rsidRPr="001651FF" w:rsidRDefault="00ED0F1A" w:rsidP="0004727C">
      <w:pPr>
        <w:widowControl w:val="0"/>
        <w:rPr>
          <w:rFonts w:ascii="Arial" w:hAnsi="Arial" w:cs="Arial"/>
          <w:sz w:val="22"/>
          <w:szCs w:val="22"/>
        </w:rPr>
      </w:pPr>
      <w:r w:rsidRPr="001651FF">
        <w:rPr>
          <w:rFonts w:ascii="Arial" w:hAnsi="Arial" w:cs="Arial"/>
          <w:sz w:val="22"/>
          <w:szCs w:val="22"/>
        </w:rPr>
        <w:t xml:space="preserve">Acorde a lo anterior, el numeral 2 del artículo en cita, dispone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r w:rsidR="00E64D1B" w:rsidRPr="001651FF">
        <w:rPr>
          <w:rFonts w:ascii="Arial" w:hAnsi="Arial" w:cs="Arial"/>
          <w:sz w:val="22"/>
          <w:szCs w:val="22"/>
        </w:rPr>
        <w:t>a la deliberación de este Consejo Estatal.</w:t>
      </w:r>
    </w:p>
    <w:p w14:paraId="54B3C2AF" w14:textId="77777777"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 xml:space="preserve">Promoción, respeto, protección y garantía de los derechos humanos </w:t>
      </w:r>
    </w:p>
    <w:p w14:paraId="0F409309"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t>Que, de conformidad con los artículos 1 y 2 de la Declaración Universal de los Derechos Humanos, los seres humanos nacen libres e iguales en dignidad y derechos, dotados de razón y conciencia, por lo que deben de comportarse fraternalmente los unos a los otros. Asimismo, se reconoce los derechos y libertades con los que se les proclama en dicha declaración, sin distinción de raza, color, sexo, idioma, religión, opinión política, origen nacional o social, posición económica, nacimiento o cualquier otra condición.</w:t>
      </w:r>
    </w:p>
    <w:p w14:paraId="3B55837B" w14:textId="5E9E34E0" w:rsidR="00ED0F1A" w:rsidRDefault="00ED0F1A" w:rsidP="0004727C">
      <w:pPr>
        <w:widowControl w:val="0"/>
        <w:rPr>
          <w:rFonts w:ascii="Arial" w:hAnsi="Arial" w:cs="Arial"/>
          <w:sz w:val="22"/>
          <w:szCs w:val="22"/>
        </w:rPr>
      </w:pPr>
      <w:r w:rsidRPr="001651FF">
        <w:rPr>
          <w:rFonts w:ascii="Arial" w:hAnsi="Arial" w:cs="Arial"/>
          <w:sz w:val="22"/>
          <w:szCs w:val="22"/>
        </w:rPr>
        <w:t>Por su parte, el artículo 1 de la Constitución Federal impone a todas las autoridades, en el ámbito de sus competencias, la obligación de promover, respetar, proteger y garantizar los derechos humanos de conformidad con los principios de universalidad, inalienabilidad, interdependencia, indivisibilidad y progresividad.</w:t>
      </w:r>
    </w:p>
    <w:p w14:paraId="765F6E15" w14:textId="77777777" w:rsidR="00C30DF7" w:rsidRPr="001651FF" w:rsidRDefault="00C30DF7" w:rsidP="0004727C">
      <w:pPr>
        <w:widowControl w:val="0"/>
        <w:rPr>
          <w:rFonts w:ascii="Arial" w:hAnsi="Arial" w:cs="Arial"/>
          <w:sz w:val="22"/>
          <w:szCs w:val="22"/>
        </w:rPr>
      </w:pPr>
    </w:p>
    <w:p w14:paraId="5AA1DCE6"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lastRenderedPageBreak/>
        <w:t>En ese tenor, el párrafo quinto del articulo indicado refiere que se encuentra prohibida toda discriminación motivada por el origen étnico o nacional, el género, la edad, las discapacidades, la condición social, las condiciones de salud, la religión, las opiniones, la preferencia u orientación sexual, el estado civil o cualquier otra que atente contra la dignidad humana y tenga por objeto anular o menoscabar los derechos y libertades de las personas.</w:t>
      </w:r>
    </w:p>
    <w:p w14:paraId="0EA44DE2"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t>En el caso de las autoridades electorales, el artículo 3 numeral 3 de la Ley Electoral refiere que están obligadas para el cumplimiento de sus funciones electorales, a regir su actividad bajo los principios de certeza, legalidad, independencia, inclusión, imparcialidad, máxima publicidad, transparencia, rendición de cuentas, objetividad, paridad, interculturalidad; además de realizarlas con perspectiva de género y enfoque de derechos humanos.</w:t>
      </w:r>
    </w:p>
    <w:p w14:paraId="504C80E9" w14:textId="77777777"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Principio de igualdad y no discriminación en la Constitución Local</w:t>
      </w:r>
    </w:p>
    <w:p w14:paraId="21FA521F"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t>Que, acorde a lo anterior, el artículo 2 fracción VIII de la Constitución Local indica que todas las personas son iguales ante la ley. En consecuencia, tienen derecho a igual protección o beneficio ante la ley, sin discriminación, quedando prohibido en el Estado toda forma de discriminación motivada por el origen étnico o nacional, el género, la edad, la lengua o idioma, religión, costumbre, opiniones, preferencias, condición social, salud, estado civil o cualquier otra que atente contra la dignidad humana y tenga por objeto anular o menoscabar los derechos y las libertades de las personas.</w:t>
      </w:r>
    </w:p>
    <w:p w14:paraId="1B2D432F" w14:textId="77777777"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Ejercicio de los derechos político-electorales</w:t>
      </w:r>
    </w:p>
    <w:p w14:paraId="32772656"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t>Que, el artículo 5 numeral 6 de la Ley Electoral señala que los derechos político-electorales se ejercerán libres de violencia política, sin discriminación por origen étnico o nacional, género, edad, discapacidades, condición social, condiciones de salud, religión, opiniones, preferencias sexuales, estado civil o cualquier otra que atente contra la dignidad humana o tenga por objeto anular o menoscabar los derechos y libertades de las personas.</w:t>
      </w:r>
    </w:p>
    <w:p w14:paraId="555676D6" w14:textId="0FCAAF9A"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 xml:space="preserve">Violencia Política </w:t>
      </w:r>
    </w:p>
    <w:p w14:paraId="10858B67" w14:textId="25B05BCC" w:rsidR="00ED0F1A" w:rsidRPr="001651FF" w:rsidRDefault="00ED0F1A" w:rsidP="0004727C">
      <w:pPr>
        <w:widowControl w:val="0"/>
        <w:rPr>
          <w:rFonts w:ascii="Arial" w:hAnsi="Arial" w:cs="Arial"/>
          <w:sz w:val="22"/>
          <w:szCs w:val="22"/>
        </w:rPr>
      </w:pPr>
      <w:r w:rsidRPr="001651FF">
        <w:rPr>
          <w:rFonts w:ascii="Arial" w:hAnsi="Arial" w:cs="Arial"/>
          <w:sz w:val="22"/>
          <w:szCs w:val="22"/>
        </w:rPr>
        <w:t xml:space="preserve">Que, en términos del artículo 2, numeral 1, fracción XVIII, de la Ley Electoral Local, y 19 Bis de la Ley Estatal de Acceso, la violencia política es toda acción u omisión, incluida la </w:t>
      </w:r>
      <w:r w:rsidRPr="001651FF">
        <w:rPr>
          <w:rFonts w:ascii="Arial" w:hAnsi="Arial" w:cs="Arial"/>
          <w:sz w:val="22"/>
          <w:szCs w:val="22"/>
        </w:rPr>
        <w:lastRenderedPageBreak/>
        <w:t xml:space="preserve">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14:paraId="66F81F58" w14:textId="77777777" w:rsidR="00ED0F1A" w:rsidRPr="001651FF" w:rsidRDefault="00ED0F1A" w:rsidP="0004727C">
      <w:pPr>
        <w:widowControl w:val="0"/>
        <w:rPr>
          <w:rFonts w:ascii="Arial" w:hAnsi="Arial" w:cs="Arial"/>
          <w:sz w:val="22"/>
          <w:szCs w:val="22"/>
        </w:rPr>
      </w:pPr>
      <w:r w:rsidRPr="001651FF">
        <w:rPr>
          <w:rFonts w:ascii="Arial" w:hAnsi="Arial" w:cs="Arial"/>
          <w:sz w:val="22"/>
          <w:szCs w:val="22"/>
        </w:rPr>
        <w:t xml:space="preserve">Además, se entiende que todas las acciones u omisiones se basan en elementos de género, cando se dirijan a una mujer por hecho de serlo, le afecten desproporcionadamente o tengan un impacto diferenciado en ella. </w:t>
      </w:r>
    </w:p>
    <w:p w14:paraId="422A9B59" w14:textId="05DFD81E" w:rsidR="00E64D1B" w:rsidRPr="001651FF" w:rsidRDefault="00ED0F1A" w:rsidP="0004727C">
      <w:pPr>
        <w:widowControl w:val="0"/>
        <w:rPr>
          <w:rFonts w:ascii="Arial" w:hAnsi="Arial" w:cs="Arial"/>
          <w:sz w:val="22"/>
          <w:szCs w:val="22"/>
        </w:rPr>
      </w:pPr>
      <w:r w:rsidRPr="001651FF">
        <w:rPr>
          <w:rFonts w:ascii="Arial" w:hAnsi="Arial" w:cs="Arial"/>
          <w:sz w:val="22"/>
          <w:szCs w:val="22"/>
        </w:rPr>
        <w:t>Puede manifestarse en cualquiera de los tipos de violencia reconocidos en la Ley General de Acceso de las Mujeres a una vida libre de violencia o su correspondiente a nivel local, y puede ser perpetrada indistintamente por agentes estatales, por superiores jerárquicos, colegas de trabajo, personas dirigentes de partidos políticos, militantes, simpatizantes, precandidatas o precandidatos, candidatas o candidatos postulados por los partidos políticos o representantes de los mismos; medios de comunicación y sus integrantes, por un particular o por un grupo de personas particulares.</w:t>
      </w:r>
    </w:p>
    <w:p w14:paraId="5DC7449E" w14:textId="350506DF" w:rsidR="00ED0F1A" w:rsidRPr="001651FF" w:rsidRDefault="00ED0F1A" w:rsidP="00081F70">
      <w:pPr>
        <w:pStyle w:val="Ttulo2"/>
        <w:rPr>
          <w:rFonts w:ascii="Arial" w:hAnsi="Arial" w:cs="Arial"/>
          <w:color w:val="auto"/>
          <w:sz w:val="22"/>
          <w:szCs w:val="22"/>
        </w:rPr>
      </w:pPr>
      <w:r w:rsidRPr="001651FF">
        <w:rPr>
          <w:rFonts w:ascii="Arial" w:hAnsi="Arial" w:cs="Arial"/>
          <w:color w:val="auto"/>
          <w:sz w:val="22"/>
          <w:szCs w:val="22"/>
        </w:rPr>
        <w:t>Obligación de los partidos políticos locales en materia de violencia política</w:t>
      </w:r>
    </w:p>
    <w:p w14:paraId="256D981A" w14:textId="32F83773" w:rsidR="00ED0F1A" w:rsidRPr="001651FF" w:rsidRDefault="00ED0F1A" w:rsidP="0004727C">
      <w:pPr>
        <w:widowControl w:val="0"/>
        <w:rPr>
          <w:rFonts w:ascii="Arial" w:hAnsi="Arial" w:cs="Arial"/>
          <w:sz w:val="22"/>
          <w:szCs w:val="22"/>
        </w:rPr>
      </w:pPr>
      <w:r w:rsidRPr="001651FF">
        <w:rPr>
          <w:rFonts w:ascii="Arial" w:hAnsi="Arial" w:cs="Arial"/>
          <w:sz w:val="22"/>
          <w:szCs w:val="22"/>
        </w:rPr>
        <w:t>Que, el artículo 56, numeral 1, fracción XXII de la Ley Electoral Local impone como obligación de los partidos políticos el garantizar a las mujeres el ejercicio de sus derechos políticos y electorales libres de violencia política, en los términos de la Ley Estatal de Acceso de las Mujeres a una Vida Libre de Violencia y en la propia Ley Electoral.</w:t>
      </w:r>
    </w:p>
    <w:p w14:paraId="1AE0E70B" w14:textId="410C40F3" w:rsidR="008550FB" w:rsidRPr="001651FF" w:rsidRDefault="008550FB" w:rsidP="00081F70">
      <w:pPr>
        <w:pStyle w:val="Ttulo2"/>
        <w:rPr>
          <w:rFonts w:ascii="Arial" w:hAnsi="Arial" w:cs="Arial"/>
          <w:color w:val="auto"/>
          <w:sz w:val="22"/>
          <w:szCs w:val="22"/>
        </w:rPr>
      </w:pPr>
      <w:r w:rsidRPr="001651FF">
        <w:rPr>
          <w:rFonts w:ascii="Arial" w:hAnsi="Arial" w:cs="Arial"/>
          <w:color w:val="auto"/>
          <w:sz w:val="22"/>
          <w:szCs w:val="22"/>
        </w:rPr>
        <w:t xml:space="preserve">Lineamientos para que los partidos políticos locales prevengan, atiendan, sancionen, reparen y erradiquen la violencia política </w:t>
      </w:r>
    </w:p>
    <w:p w14:paraId="2CAEC840" w14:textId="7C8A6653" w:rsidR="00ED0F1A" w:rsidRDefault="00ED0F1A" w:rsidP="0004727C">
      <w:pPr>
        <w:widowControl w:val="0"/>
        <w:rPr>
          <w:rFonts w:ascii="Arial" w:hAnsi="Arial" w:cs="Arial"/>
          <w:sz w:val="22"/>
          <w:szCs w:val="22"/>
        </w:rPr>
      </w:pPr>
      <w:r w:rsidRPr="001651FF">
        <w:rPr>
          <w:rFonts w:ascii="Arial" w:hAnsi="Arial" w:cs="Arial"/>
          <w:sz w:val="22"/>
          <w:szCs w:val="22"/>
        </w:rPr>
        <w:t>Que, conforme a las consideraciones señaladas y con el propósito de generar condiciones que contribuyan a alcanzar la igualdad sustantiva entre mujeres y hombres, así como el acceso por parte de las mujeres al pleno goce y ejercicio de sus derechos políticos-electorales en el Estado, la Comisión formuló los Lineamientos para que los partidos políticos locales prevengan, atiendan, sancionen, reparen y erradiquen la violencia política.</w:t>
      </w:r>
    </w:p>
    <w:p w14:paraId="6484871F" w14:textId="77777777" w:rsidR="00C30DF7" w:rsidRPr="001651FF" w:rsidRDefault="00C30DF7" w:rsidP="0004727C">
      <w:pPr>
        <w:widowControl w:val="0"/>
        <w:rPr>
          <w:rFonts w:ascii="Arial" w:hAnsi="Arial" w:cs="Arial"/>
          <w:sz w:val="22"/>
          <w:szCs w:val="22"/>
        </w:rPr>
      </w:pPr>
    </w:p>
    <w:p w14:paraId="48F0E5B6" w14:textId="503B4ED6" w:rsidR="00ED0F1A" w:rsidRPr="001651FF" w:rsidRDefault="00ED0F1A" w:rsidP="0004727C">
      <w:pPr>
        <w:widowControl w:val="0"/>
        <w:rPr>
          <w:rFonts w:ascii="Arial" w:hAnsi="Arial" w:cs="Arial"/>
          <w:sz w:val="22"/>
          <w:szCs w:val="22"/>
        </w:rPr>
      </w:pPr>
      <w:r w:rsidRPr="001651FF">
        <w:rPr>
          <w:rFonts w:ascii="Arial" w:hAnsi="Arial" w:cs="Arial"/>
          <w:sz w:val="22"/>
          <w:szCs w:val="22"/>
        </w:rPr>
        <w:lastRenderedPageBreak/>
        <w:t>El objeto de los lineamientos es garantizar a las mujeres el ejercicio pleno de sus derechos políticos y electorales, libres de violencia, estableciendo mecanismos de prevención, atención, sanción, reparación y erradicación de la violencia política.</w:t>
      </w:r>
    </w:p>
    <w:p w14:paraId="1AA75CD3" w14:textId="525C9136" w:rsidR="00ED0F1A" w:rsidRPr="001651FF" w:rsidRDefault="00ED0F1A" w:rsidP="0004727C">
      <w:pPr>
        <w:widowControl w:val="0"/>
        <w:rPr>
          <w:rFonts w:ascii="Arial" w:hAnsi="Arial" w:cs="Arial"/>
          <w:sz w:val="22"/>
          <w:szCs w:val="22"/>
        </w:rPr>
      </w:pPr>
      <w:r w:rsidRPr="001651FF">
        <w:rPr>
          <w:rFonts w:ascii="Arial" w:hAnsi="Arial" w:cs="Arial"/>
          <w:sz w:val="22"/>
          <w:szCs w:val="22"/>
        </w:rPr>
        <w:t>Aunado a lo anterior, lo que se busca es proteger a todas las mujeres que participen en la vida política, ya sea como dirigentes, representantes, militantes, precandidatas, candidatas o cualquier otra persona que desempeñe un cargo o comisión dentro de un partido político.</w:t>
      </w:r>
    </w:p>
    <w:p w14:paraId="431F62A1" w14:textId="6EE32AEC" w:rsidR="004B692D" w:rsidRPr="001651FF" w:rsidRDefault="004B692D" w:rsidP="0004727C">
      <w:pPr>
        <w:widowControl w:val="0"/>
        <w:rPr>
          <w:rFonts w:ascii="Arial" w:hAnsi="Arial" w:cs="Arial"/>
          <w:sz w:val="22"/>
          <w:szCs w:val="22"/>
        </w:rPr>
      </w:pPr>
      <w:r w:rsidRPr="001651FF">
        <w:rPr>
          <w:rFonts w:ascii="Arial" w:hAnsi="Arial" w:cs="Arial"/>
          <w:sz w:val="22"/>
          <w:szCs w:val="22"/>
        </w:rPr>
        <w:t xml:space="preserve">En ese contexto, a través de la propuesta, se considera los partidos políticos locales cumplan con sus obligaciones, actuando desde una perspectiva de género, atendiendo la interseccionalidad, garantizando y protegiendo en todo momento, los derechos humanos, en este caso de las mujeres que militen en un instituto político de tal naturaleza. </w:t>
      </w:r>
    </w:p>
    <w:p w14:paraId="1DE64BA0" w14:textId="35ADB19D" w:rsidR="004B692D" w:rsidRPr="001651FF" w:rsidRDefault="004B692D" w:rsidP="0004727C">
      <w:pPr>
        <w:widowControl w:val="0"/>
        <w:rPr>
          <w:rFonts w:ascii="Arial" w:hAnsi="Arial" w:cs="Arial"/>
          <w:sz w:val="22"/>
          <w:szCs w:val="22"/>
        </w:rPr>
      </w:pPr>
      <w:r w:rsidRPr="001651FF">
        <w:rPr>
          <w:rFonts w:ascii="Arial" w:hAnsi="Arial" w:cs="Arial"/>
          <w:sz w:val="22"/>
          <w:szCs w:val="22"/>
        </w:rPr>
        <w:t xml:space="preserve">Entre otros aspectos, los Lineamientos establecen que los partidos políticos locales deberán establecer los criterios para garantizar la paridad de género en los procesos internos de selección de precandidaturas y candidaturas a cargos de elección popular, el ejercicio de las prerrogativas otorgadas constitucionalmente para el desarrollo del liderazgo político de las mujeres, el respeto a los derechos humanos de las mujeres, así como la identificación de casos de violencia política contra las mujeres en razón de género a efecto de denunciarlos. </w:t>
      </w:r>
    </w:p>
    <w:p w14:paraId="1716FFAE" w14:textId="146B921B" w:rsidR="004B692D" w:rsidRPr="001651FF" w:rsidRDefault="004B692D" w:rsidP="0004727C">
      <w:pPr>
        <w:widowControl w:val="0"/>
        <w:rPr>
          <w:rFonts w:ascii="Arial" w:hAnsi="Arial" w:cs="Arial"/>
          <w:sz w:val="22"/>
          <w:szCs w:val="22"/>
        </w:rPr>
      </w:pPr>
      <w:r w:rsidRPr="001651FF">
        <w:rPr>
          <w:rFonts w:ascii="Arial" w:hAnsi="Arial" w:cs="Arial"/>
          <w:sz w:val="22"/>
          <w:szCs w:val="22"/>
        </w:rPr>
        <w:t>Además, los partidos políticos locales deberán garantizar el principio de paridad de género en la integración de sus órganos, y, que los protocolos, mecanismos y, en general, todas las actuaciones y documentos relacionados con la atención de la violencia política contra las mujeres en razón de género, cuenten con un lenguaje sencillo, accesible, incluyente, de fácil comprensión, con perspectiva de género, considerando los diversos perfiles socioculturales., entre otras obligaciones.</w:t>
      </w:r>
    </w:p>
    <w:p w14:paraId="53BD8A62" w14:textId="128986C7" w:rsidR="004B692D" w:rsidRPr="001651FF" w:rsidRDefault="008550FB" w:rsidP="0004727C">
      <w:pPr>
        <w:widowControl w:val="0"/>
        <w:rPr>
          <w:rFonts w:ascii="Arial" w:hAnsi="Arial" w:cs="Arial"/>
          <w:sz w:val="22"/>
          <w:szCs w:val="22"/>
        </w:rPr>
      </w:pPr>
      <w:r w:rsidRPr="001651FF">
        <w:rPr>
          <w:rFonts w:ascii="Arial" w:hAnsi="Arial" w:cs="Arial"/>
          <w:sz w:val="22"/>
          <w:szCs w:val="22"/>
        </w:rPr>
        <w:t xml:space="preserve">Además, con la emisión de los Lineamientos se garantiza que los partidos políticos destinen parte de su </w:t>
      </w:r>
      <w:r w:rsidR="004B692D" w:rsidRPr="001651FF">
        <w:rPr>
          <w:rFonts w:ascii="Arial" w:hAnsi="Arial" w:cs="Arial"/>
          <w:sz w:val="22"/>
          <w:szCs w:val="22"/>
        </w:rPr>
        <w:t>financiamiento público para la capacitación, promoción y el desarrollo del liderazgo político de las mujeres militantes, precandidatas, candidatas y electas,</w:t>
      </w:r>
      <w:r w:rsidRPr="001651FF">
        <w:rPr>
          <w:rFonts w:ascii="Arial" w:hAnsi="Arial" w:cs="Arial"/>
          <w:sz w:val="22"/>
          <w:szCs w:val="22"/>
        </w:rPr>
        <w:t xml:space="preserve"> todo ello, con el propósito de </w:t>
      </w:r>
      <w:r w:rsidR="004B692D" w:rsidRPr="001651FF">
        <w:rPr>
          <w:rFonts w:ascii="Arial" w:hAnsi="Arial" w:cs="Arial"/>
          <w:sz w:val="22"/>
          <w:szCs w:val="22"/>
        </w:rPr>
        <w:t>erradicar la violencia política</w:t>
      </w:r>
      <w:r w:rsidRPr="001651FF">
        <w:rPr>
          <w:rFonts w:ascii="Arial" w:hAnsi="Arial" w:cs="Arial"/>
          <w:sz w:val="22"/>
          <w:szCs w:val="22"/>
        </w:rPr>
        <w:t>.</w:t>
      </w:r>
    </w:p>
    <w:p w14:paraId="457E4ECD" w14:textId="1511D8F7" w:rsidR="008550FB" w:rsidRDefault="008550FB" w:rsidP="0004727C">
      <w:pPr>
        <w:widowControl w:val="0"/>
        <w:rPr>
          <w:rFonts w:ascii="Arial" w:hAnsi="Arial" w:cs="Arial"/>
          <w:sz w:val="22"/>
          <w:szCs w:val="22"/>
        </w:rPr>
      </w:pPr>
      <w:r w:rsidRPr="001651FF">
        <w:rPr>
          <w:rFonts w:ascii="Arial" w:hAnsi="Arial" w:cs="Arial"/>
          <w:sz w:val="22"/>
          <w:szCs w:val="22"/>
        </w:rPr>
        <w:t>Sobre la base de las consideraciones señaladas, este Consejo Estatal emite el siguiente:</w:t>
      </w:r>
    </w:p>
    <w:p w14:paraId="68BD3905" w14:textId="7BF300DD" w:rsidR="00C30DF7" w:rsidRDefault="00C30DF7" w:rsidP="0004727C">
      <w:pPr>
        <w:widowControl w:val="0"/>
        <w:rPr>
          <w:rFonts w:ascii="Arial" w:hAnsi="Arial" w:cs="Arial"/>
          <w:sz w:val="22"/>
          <w:szCs w:val="22"/>
        </w:rPr>
      </w:pPr>
    </w:p>
    <w:p w14:paraId="34750AA2" w14:textId="77777777" w:rsidR="00C30DF7" w:rsidRPr="001651FF" w:rsidRDefault="00C30DF7" w:rsidP="0004727C">
      <w:pPr>
        <w:widowControl w:val="0"/>
        <w:rPr>
          <w:rFonts w:ascii="Arial" w:hAnsi="Arial" w:cs="Arial"/>
          <w:sz w:val="22"/>
          <w:szCs w:val="22"/>
        </w:rPr>
      </w:pPr>
    </w:p>
    <w:p w14:paraId="19A1EB63" w14:textId="77777777" w:rsidR="008550FB" w:rsidRPr="001651FF" w:rsidRDefault="008550FB" w:rsidP="0004727C">
      <w:pPr>
        <w:pStyle w:val="Ttulo1"/>
        <w:keepNext w:val="0"/>
        <w:widowControl w:val="0"/>
        <w:rPr>
          <w:rFonts w:ascii="Arial" w:hAnsi="Arial" w:cs="Arial"/>
          <w:color w:val="auto"/>
          <w:sz w:val="24"/>
          <w:szCs w:val="24"/>
        </w:rPr>
      </w:pPr>
      <w:r w:rsidRPr="001651FF">
        <w:rPr>
          <w:rFonts w:ascii="Arial" w:hAnsi="Arial" w:cs="Arial"/>
          <w:color w:val="auto"/>
          <w:sz w:val="24"/>
          <w:szCs w:val="24"/>
        </w:rPr>
        <w:lastRenderedPageBreak/>
        <w:t>Acuerdo</w:t>
      </w:r>
    </w:p>
    <w:p w14:paraId="5749760F" w14:textId="76F25F80" w:rsidR="004B692D" w:rsidRPr="001651FF" w:rsidRDefault="008550FB" w:rsidP="0004727C">
      <w:pPr>
        <w:widowControl w:val="0"/>
        <w:rPr>
          <w:rFonts w:ascii="Arial" w:hAnsi="Arial" w:cs="Arial"/>
          <w:sz w:val="22"/>
          <w:szCs w:val="22"/>
        </w:rPr>
      </w:pPr>
      <w:r w:rsidRPr="001651FF">
        <w:rPr>
          <w:rFonts w:ascii="Arial" w:hAnsi="Arial" w:cs="Arial"/>
          <w:b/>
          <w:bCs/>
          <w:sz w:val="22"/>
          <w:szCs w:val="22"/>
        </w:rPr>
        <w:t>Primero.</w:t>
      </w:r>
      <w:r w:rsidRPr="001651FF">
        <w:rPr>
          <w:rFonts w:ascii="Arial" w:hAnsi="Arial" w:cs="Arial"/>
          <w:sz w:val="22"/>
          <w:szCs w:val="22"/>
        </w:rPr>
        <w:t xml:space="preserve"> Se aprueban los Lineamientos para que los partidos políticos locales prevengan, atiendan, sancionen, reparen y erradiquen la violencia política contra las mujeres en razón de género propuestos por la Comisión Permanente de Igualdad de Género y No Discriminación, anexos al presente acuerdo.</w:t>
      </w:r>
    </w:p>
    <w:p w14:paraId="197F4CB6" w14:textId="25B854EC" w:rsidR="006E49FD" w:rsidRPr="001651FF" w:rsidRDefault="006E49FD" w:rsidP="0004727C">
      <w:pPr>
        <w:widowControl w:val="0"/>
        <w:rPr>
          <w:rFonts w:ascii="Arial" w:hAnsi="Arial" w:cs="Arial"/>
          <w:sz w:val="22"/>
          <w:szCs w:val="22"/>
        </w:rPr>
      </w:pPr>
      <w:r w:rsidRPr="001651FF">
        <w:rPr>
          <w:rFonts w:ascii="Arial" w:hAnsi="Arial" w:cs="Arial"/>
          <w:b/>
          <w:bCs/>
          <w:sz w:val="22"/>
          <w:szCs w:val="22"/>
        </w:rPr>
        <w:t>Segundo.</w:t>
      </w:r>
      <w:r w:rsidRPr="001651FF">
        <w:rPr>
          <w:rFonts w:ascii="Arial" w:hAnsi="Arial" w:cs="Arial"/>
          <w:sz w:val="22"/>
          <w:szCs w:val="22"/>
        </w:rPr>
        <w:t xml:space="preserve"> Se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3AE8E7A" w14:textId="0C6820FA" w:rsidR="006E49FD" w:rsidRPr="001651FF" w:rsidRDefault="006E49FD" w:rsidP="0004727C">
      <w:pPr>
        <w:widowControl w:val="0"/>
        <w:rPr>
          <w:rFonts w:ascii="Arial" w:hAnsi="Arial" w:cs="Arial"/>
          <w:sz w:val="22"/>
          <w:szCs w:val="22"/>
        </w:rPr>
      </w:pPr>
      <w:r w:rsidRPr="001651FF">
        <w:rPr>
          <w:rFonts w:ascii="Arial" w:hAnsi="Arial" w:cs="Arial"/>
          <w:b/>
          <w:bCs/>
          <w:sz w:val="22"/>
          <w:szCs w:val="22"/>
        </w:rPr>
        <w:t>Tercero.</w:t>
      </w:r>
      <w:r w:rsidRPr="001651FF">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A9CA62E" w14:textId="1E2EEFD1" w:rsidR="006E49FD" w:rsidRPr="001651FF" w:rsidRDefault="006E49FD" w:rsidP="0004727C">
      <w:pPr>
        <w:widowControl w:val="0"/>
        <w:rPr>
          <w:rFonts w:ascii="Arial" w:hAnsi="Arial" w:cs="Arial"/>
          <w:sz w:val="22"/>
          <w:szCs w:val="22"/>
        </w:rPr>
      </w:pPr>
      <w:r w:rsidRPr="001651FF">
        <w:rPr>
          <w:rFonts w:ascii="Arial" w:hAnsi="Arial" w:cs="Arial"/>
          <w:sz w:val="22"/>
          <w:szCs w:val="22"/>
        </w:rPr>
        <w:t>El presente</w:t>
      </w:r>
      <w:r w:rsidR="00C30DF7">
        <w:rPr>
          <w:rFonts w:ascii="Arial" w:hAnsi="Arial" w:cs="Arial"/>
          <w:sz w:val="22"/>
          <w:szCs w:val="22"/>
        </w:rPr>
        <w:t xml:space="preserve"> acuerdo fue aprobado en sesión ordinaria</w:t>
      </w:r>
      <w:r w:rsidRPr="001651FF">
        <w:rPr>
          <w:rFonts w:ascii="Arial" w:hAnsi="Arial" w:cs="Arial"/>
          <w:sz w:val="22"/>
          <w:szCs w:val="22"/>
        </w:rPr>
        <w:t xml:space="preserve"> efectuada el </w:t>
      </w:r>
      <w:r w:rsidR="00C30DF7">
        <w:rPr>
          <w:rFonts w:ascii="Arial" w:hAnsi="Arial" w:cs="Arial"/>
          <w:sz w:val="22"/>
          <w:szCs w:val="22"/>
        </w:rPr>
        <w:t>día treint</w:t>
      </w:r>
      <w:r w:rsidR="00521A08">
        <w:rPr>
          <w:rFonts w:ascii="Arial" w:hAnsi="Arial" w:cs="Arial"/>
          <w:sz w:val="22"/>
          <w:szCs w:val="22"/>
        </w:rPr>
        <w:t>a y uno</w:t>
      </w:r>
      <w:r w:rsidRPr="001651FF">
        <w:rPr>
          <w:rFonts w:ascii="Arial" w:hAnsi="Arial" w:cs="Arial"/>
          <w:sz w:val="22"/>
          <w:szCs w:val="22"/>
        </w:rPr>
        <w:t xml:space="preserve"> de </w:t>
      </w:r>
      <w:r w:rsidR="00521A08">
        <w:rPr>
          <w:rFonts w:ascii="Arial" w:hAnsi="Arial" w:cs="Arial"/>
          <w:sz w:val="22"/>
          <w:szCs w:val="22"/>
        </w:rPr>
        <w:t>marzo</w:t>
      </w:r>
      <w:r w:rsidRPr="001651FF">
        <w:rPr>
          <w:rFonts w:ascii="Arial" w:hAnsi="Arial" w:cs="Arial"/>
          <w:sz w:val="22"/>
          <w:szCs w:val="22"/>
        </w:rPr>
        <w:t xml:space="preserve"> del año dos mil veinticinco, por votación </w:t>
      </w:r>
      <w:r w:rsidR="00521A08">
        <w:rPr>
          <w:rFonts w:ascii="Arial" w:hAnsi="Arial" w:cs="Arial"/>
          <w:sz w:val="22"/>
          <w:szCs w:val="22"/>
        </w:rPr>
        <w:t>unánime</w:t>
      </w:r>
      <w:r w:rsidRPr="001651FF">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1651FF">
        <w:rPr>
          <w:rFonts w:ascii="Arial" w:hAnsi="Arial" w:cs="Arial"/>
          <w:sz w:val="22"/>
          <w:szCs w:val="22"/>
        </w:rPr>
        <w:t>Beaurregard</w:t>
      </w:r>
      <w:proofErr w:type="spellEnd"/>
      <w:r w:rsidRPr="001651FF">
        <w:rPr>
          <w:rFonts w:ascii="Arial" w:hAnsi="Arial" w:cs="Arial"/>
          <w:sz w:val="22"/>
          <w:szCs w:val="22"/>
        </w:rPr>
        <w:t>, Mtra. Ruth Lizette Toledo Peral y la Consejera Presidenta, Mtra. Elizabeth Nava Gutiérrez.</w:t>
      </w:r>
    </w:p>
    <w:p w14:paraId="069FED9C" w14:textId="77777777" w:rsidR="006E49FD" w:rsidRPr="001651FF" w:rsidRDefault="006E49FD" w:rsidP="0004727C">
      <w:pPr>
        <w:widowControl w:val="0"/>
        <w:rPr>
          <w:rFonts w:ascii="Arial" w:hAnsi="Arial" w:cs="Arial"/>
          <w:sz w:val="22"/>
          <w:szCs w:val="22"/>
        </w:rPr>
      </w:pPr>
    </w:p>
    <w:p w14:paraId="30F82B16" w14:textId="1C1CDD5B" w:rsidR="0099320E" w:rsidRDefault="0099320E" w:rsidP="0004727C">
      <w:pPr>
        <w:widowControl w:val="0"/>
        <w:rPr>
          <w:rFonts w:ascii="Arial" w:hAnsi="Arial" w:cs="Arial"/>
          <w:sz w:val="22"/>
          <w:szCs w:val="22"/>
        </w:rPr>
      </w:pPr>
    </w:p>
    <w:p w14:paraId="1A649A71" w14:textId="77777777" w:rsidR="001651FF" w:rsidRPr="001651FF" w:rsidRDefault="001651FF" w:rsidP="0004727C">
      <w:pPr>
        <w:widowControl w:val="0"/>
        <w:rPr>
          <w:rFonts w:ascii="Arial" w:hAnsi="Arial" w:cs="Arial"/>
          <w:sz w:val="22"/>
          <w:szCs w:val="22"/>
        </w:rPr>
      </w:pPr>
    </w:p>
    <w:tbl>
      <w:tblPr>
        <w:tblStyle w:val="Tablaconcuadrcula"/>
        <w:tblW w:w="9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6"/>
        <w:gridCol w:w="244"/>
        <w:gridCol w:w="4352"/>
      </w:tblGrid>
      <w:tr w:rsidR="001651FF" w:rsidRPr="001651FF" w14:paraId="2C6DD23A" w14:textId="77777777" w:rsidTr="001651FF">
        <w:trPr>
          <w:trHeight w:val="930"/>
        </w:trPr>
        <w:tc>
          <w:tcPr>
            <w:tcW w:w="4546" w:type="dxa"/>
          </w:tcPr>
          <w:p w14:paraId="406B244E" w14:textId="77777777" w:rsidR="006E49FD" w:rsidRPr="001651FF" w:rsidRDefault="006E49FD" w:rsidP="0004727C">
            <w:pPr>
              <w:widowControl w:val="0"/>
              <w:spacing w:before="0" w:after="0"/>
              <w:jc w:val="center"/>
              <w:rPr>
                <w:rFonts w:ascii="Arial" w:hAnsi="Arial" w:cs="Arial"/>
                <w:b/>
                <w:bCs/>
                <w:sz w:val="22"/>
                <w:szCs w:val="22"/>
              </w:rPr>
            </w:pPr>
            <w:r w:rsidRPr="001651FF">
              <w:rPr>
                <w:rFonts w:ascii="Arial" w:hAnsi="Arial" w:cs="Arial"/>
                <w:b/>
                <w:bCs/>
                <w:sz w:val="22"/>
                <w:szCs w:val="22"/>
              </w:rPr>
              <w:t>MTRA. ELIZABETH NAVA GUTIÉRREZ</w:t>
            </w:r>
          </w:p>
          <w:p w14:paraId="695CABBC" w14:textId="77777777" w:rsidR="006E49FD" w:rsidRPr="001651FF" w:rsidRDefault="006E49FD" w:rsidP="0004727C">
            <w:pPr>
              <w:widowControl w:val="0"/>
              <w:spacing w:before="0" w:after="0"/>
              <w:jc w:val="center"/>
              <w:rPr>
                <w:rFonts w:ascii="Arial" w:hAnsi="Arial" w:cs="Arial"/>
                <w:b/>
                <w:bCs/>
                <w:sz w:val="22"/>
                <w:szCs w:val="22"/>
              </w:rPr>
            </w:pPr>
            <w:r w:rsidRPr="001651FF">
              <w:rPr>
                <w:rFonts w:ascii="Arial" w:hAnsi="Arial" w:cs="Arial"/>
                <w:b/>
                <w:bCs/>
                <w:sz w:val="22"/>
                <w:szCs w:val="22"/>
              </w:rPr>
              <w:t>CONSEJERA PRESIDENTA</w:t>
            </w:r>
          </w:p>
        </w:tc>
        <w:tc>
          <w:tcPr>
            <w:tcW w:w="244" w:type="dxa"/>
          </w:tcPr>
          <w:p w14:paraId="23353E9D" w14:textId="77777777" w:rsidR="006E49FD" w:rsidRPr="001651FF" w:rsidRDefault="006E49FD" w:rsidP="0004727C">
            <w:pPr>
              <w:widowControl w:val="0"/>
              <w:spacing w:before="0" w:after="0"/>
              <w:rPr>
                <w:rFonts w:ascii="Arial" w:hAnsi="Arial" w:cs="Arial"/>
                <w:b/>
                <w:bCs/>
                <w:sz w:val="22"/>
                <w:szCs w:val="22"/>
              </w:rPr>
            </w:pPr>
          </w:p>
        </w:tc>
        <w:tc>
          <w:tcPr>
            <w:tcW w:w="4352" w:type="dxa"/>
          </w:tcPr>
          <w:p w14:paraId="4CAFD56A" w14:textId="77777777" w:rsidR="006E49FD" w:rsidRPr="001651FF" w:rsidRDefault="006E49FD" w:rsidP="0004727C">
            <w:pPr>
              <w:widowControl w:val="0"/>
              <w:spacing w:before="0" w:after="0"/>
              <w:jc w:val="center"/>
              <w:rPr>
                <w:rFonts w:ascii="Arial" w:hAnsi="Arial" w:cs="Arial"/>
                <w:b/>
                <w:bCs/>
                <w:sz w:val="22"/>
                <w:szCs w:val="22"/>
              </w:rPr>
            </w:pPr>
            <w:r w:rsidRPr="001651FF">
              <w:rPr>
                <w:rFonts w:ascii="Arial" w:hAnsi="Arial" w:cs="Arial"/>
                <w:b/>
                <w:bCs/>
                <w:sz w:val="22"/>
                <w:szCs w:val="22"/>
              </w:rPr>
              <w:t>LIC. JORGE ALBERTO ZAVALA FRÍAS</w:t>
            </w:r>
          </w:p>
          <w:p w14:paraId="109B2F2F" w14:textId="77777777" w:rsidR="006E49FD" w:rsidRPr="001651FF" w:rsidRDefault="006E49FD" w:rsidP="0004727C">
            <w:pPr>
              <w:widowControl w:val="0"/>
              <w:spacing w:before="0" w:after="0"/>
              <w:jc w:val="center"/>
              <w:rPr>
                <w:rFonts w:ascii="Arial" w:hAnsi="Arial" w:cs="Arial"/>
                <w:b/>
                <w:bCs/>
                <w:sz w:val="22"/>
                <w:szCs w:val="22"/>
              </w:rPr>
            </w:pPr>
            <w:r w:rsidRPr="001651FF">
              <w:rPr>
                <w:rFonts w:ascii="Arial" w:hAnsi="Arial" w:cs="Arial"/>
                <w:b/>
                <w:bCs/>
                <w:sz w:val="22"/>
                <w:szCs w:val="22"/>
              </w:rPr>
              <w:t>SECRETARIO DEL CONSEJO</w:t>
            </w:r>
          </w:p>
        </w:tc>
      </w:tr>
    </w:tbl>
    <w:p w14:paraId="71642069" w14:textId="77777777" w:rsidR="008550FB" w:rsidRPr="001651FF" w:rsidRDefault="008550FB" w:rsidP="0004727C">
      <w:pPr>
        <w:widowControl w:val="0"/>
        <w:spacing w:line="281" w:lineRule="auto"/>
        <w:rPr>
          <w:rFonts w:ascii="Arial" w:hAnsi="Arial" w:cs="Arial"/>
          <w:sz w:val="22"/>
          <w:szCs w:val="22"/>
        </w:rPr>
      </w:pPr>
    </w:p>
    <w:sectPr w:rsidR="008550FB" w:rsidRPr="001651FF" w:rsidSect="001651FF">
      <w:headerReference w:type="default" r:id="rId7"/>
      <w:footerReference w:type="default" r:id="rId8"/>
      <w:pgSz w:w="12240" w:h="15840" w:code="1"/>
      <w:pgMar w:top="3119"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047C9" w14:textId="77777777" w:rsidR="00206AAB" w:rsidRDefault="00206AAB" w:rsidP="008D38C9">
      <w:pPr>
        <w:spacing w:before="0" w:after="0" w:line="240" w:lineRule="auto"/>
      </w:pPr>
      <w:r>
        <w:separator/>
      </w:r>
    </w:p>
  </w:endnote>
  <w:endnote w:type="continuationSeparator" w:id="0">
    <w:p w14:paraId="51F09A54" w14:textId="77777777" w:rsidR="00206AAB" w:rsidRDefault="00206AAB" w:rsidP="008D38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ACFEA7EE-BAEB-4A35-A5D9-46E94966F613}"/>
    <w:embedBold r:id="rId2" w:fontKey="{4CBF9D29-B7E0-476A-ABB4-F039E5E960C5}"/>
    <w:embedItalic r:id="rId3" w:fontKey="{91D8D764-9E84-4956-85A9-DE8572D4293E}"/>
  </w:font>
  <w:font w:name="Times New Roman">
    <w:panose1 w:val="02020603050405020304"/>
    <w:charset w:val="00"/>
    <w:family w:val="roman"/>
    <w:pitch w:val="variable"/>
    <w:sig w:usb0="E0002EFF" w:usb1="C000785B" w:usb2="00000009" w:usb3="00000000" w:csb0="000001FF" w:csb1="00000000"/>
  </w:font>
  <w:font w:name="Exo">
    <w:charset w:val="00"/>
    <w:family w:val="auto"/>
    <w:pitch w:val="variable"/>
    <w:sig w:usb0="A00000FF" w:usb1="4000204B" w:usb2="00000000" w:usb3="00000000" w:csb0="00000193" w:csb1="00000000"/>
    <w:embedRegular r:id="rId4" w:fontKey="{42E4146F-8C8B-4CB4-9D92-C7B925DCAF7D}"/>
    <w:embedBold r:id="rId5" w:fontKey="{B5761A13-DC38-4F79-9456-FE4B6BE892EC}"/>
    <w:embedItalic r:id="rId6" w:fontKey="{912D2699-570C-49D6-ADC0-0B4F4736B6BB}"/>
  </w:font>
  <w:font w:name="Aptos Display">
    <w:charset w:val="00"/>
    <w:family w:val="swiss"/>
    <w:pitch w:val="variable"/>
    <w:sig w:usb0="20000287" w:usb1="00000003" w:usb2="00000000" w:usb3="00000000" w:csb0="0000019F" w:csb1="00000000"/>
    <w:embedRegular r:id="rId7" w:fontKey="{B7F0EB42-6CFE-47F9-ABDB-C4FA732386EC}"/>
  </w:font>
  <w:font w:name="Segoe UI">
    <w:panose1 w:val="020B0502040204020203"/>
    <w:charset w:val="00"/>
    <w:family w:val="swiss"/>
    <w:pitch w:val="variable"/>
    <w:sig w:usb0="E4002EFF" w:usb1="C000E47F" w:usb2="00000009" w:usb3="00000000" w:csb0="000001FF" w:csb1="00000000"/>
    <w:embedRegular r:id="rId8" w:fontKey="{73B93415-E1F9-42D9-8374-370BFBC07FCC}"/>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586537464"/>
      <w:docPartObj>
        <w:docPartGallery w:val="Page Numbers (Top of Page)"/>
        <w:docPartUnique/>
      </w:docPartObj>
    </w:sdtPr>
    <w:sdtEndPr/>
    <w:sdtContent>
      <w:p w14:paraId="100E8055" w14:textId="6276544B" w:rsidR="008D38C9" w:rsidRPr="00C30DF7" w:rsidRDefault="008D38C9" w:rsidP="008D38C9">
        <w:pPr>
          <w:pStyle w:val="Piedepgina"/>
          <w:spacing w:before="120"/>
          <w:jc w:val="right"/>
          <w:rPr>
            <w:rFonts w:ascii="Arial" w:hAnsi="Arial" w:cs="Arial"/>
            <w:color w:val="993366"/>
            <w:sz w:val="20"/>
            <w:szCs w:val="20"/>
          </w:rPr>
        </w:pPr>
        <w:r w:rsidRPr="00C30DF7">
          <w:rPr>
            <w:rFonts w:ascii="Arial" w:hAnsi="Arial" w:cs="Arial"/>
            <w:b/>
            <w:bCs/>
            <w:color w:val="993366"/>
          </w:rPr>
          <w:t xml:space="preserve">Página </w:t>
        </w:r>
        <w:r w:rsidRPr="00C30DF7">
          <w:rPr>
            <w:rFonts w:ascii="Arial" w:hAnsi="Arial" w:cs="Arial"/>
            <w:b/>
            <w:bCs/>
            <w:color w:val="993366"/>
          </w:rPr>
          <w:fldChar w:fldCharType="begin"/>
        </w:r>
        <w:r w:rsidRPr="00C30DF7">
          <w:rPr>
            <w:rFonts w:ascii="Arial" w:hAnsi="Arial" w:cs="Arial"/>
            <w:b/>
            <w:bCs/>
            <w:color w:val="993366"/>
          </w:rPr>
          <w:instrText>PAGE</w:instrText>
        </w:r>
        <w:r w:rsidRPr="00C30DF7">
          <w:rPr>
            <w:rFonts w:ascii="Arial" w:hAnsi="Arial" w:cs="Arial"/>
            <w:b/>
            <w:bCs/>
            <w:color w:val="993366"/>
          </w:rPr>
          <w:fldChar w:fldCharType="separate"/>
        </w:r>
        <w:r w:rsidR="00FE2280">
          <w:rPr>
            <w:rFonts w:ascii="Arial" w:hAnsi="Arial" w:cs="Arial"/>
            <w:b/>
            <w:bCs/>
            <w:noProof/>
            <w:color w:val="993366"/>
          </w:rPr>
          <w:t>6</w:t>
        </w:r>
        <w:r w:rsidRPr="00C30DF7">
          <w:rPr>
            <w:rFonts w:ascii="Arial" w:hAnsi="Arial" w:cs="Arial"/>
            <w:b/>
            <w:bCs/>
            <w:color w:val="993366"/>
          </w:rPr>
          <w:fldChar w:fldCharType="end"/>
        </w:r>
        <w:r w:rsidRPr="00C30DF7">
          <w:rPr>
            <w:rFonts w:ascii="Arial" w:hAnsi="Arial" w:cs="Arial"/>
            <w:b/>
            <w:bCs/>
            <w:color w:val="993366"/>
          </w:rPr>
          <w:t xml:space="preserve"> | </w:t>
        </w:r>
        <w:r w:rsidRPr="00C30DF7">
          <w:rPr>
            <w:rFonts w:ascii="Arial" w:hAnsi="Arial" w:cs="Arial"/>
            <w:b/>
            <w:bCs/>
            <w:color w:val="993366"/>
          </w:rPr>
          <w:fldChar w:fldCharType="begin"/>
        </w:r>
        <w:r w:rsidRPr="00C30DF7">
          <w:rPr>
            <w:rFonts w:ascii="Arial" w:hAnsi="Arial" w:cs="Arial"/>
            <w:b/>
            <w:bCs/>
            <w:color w:val="993366"/>
          </w:rPr>
          <w:instrText>NUMPAGES</w:instrText>
        </w:r>
        <w:r w:rsidRPr="00C30DF7">
          <w:rPr>
            <w:rFonts w:ascii="Arial" w:hAnsi="Arial" w:cs="Arial"/>
            <w:b/>
            <w:bCs/>
            <w:color w:val="993366"/>
          </w:rPr>
          <w:fldChar w:fldCharType="separate"/>
        </w:r>
        <w:r w:rsidR="00FE2280">
          <w:rPr>
            <w:rFonts w:ascii="Arial" w:hAnsi="Arial" w:cs="Arial"/>
            <w:b/>
            <w:bCs/>
            <w:noProof/>
            <w:color w:val="993366"/>
          </w:rPr>
          <w:t>9</w:t>
        </w:r>
        <w:r w:rsidRPr="00C30DF7">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1AA1F" w14:textId="77777777" w:rsidR="00206AAB" w:rsidRDefault="00206AAB" w:rsidP="008D38C9">
      <w:pPr>
        <w:spacing w:before="0" w:after="0" w:line="240" w:lineRule="auto"/>
      </w:pPr>
      <w:r>
        <w:separator/>
      </w:r>
    </w:p>
  </w:footnote>
  <w:footnote w:type="continuationSeparator" w:id="0">
    <w:p w14:paraId="2177D3CF" w14:textId="77777777" w:rsidR="00206AAB" w:rsidRDefault="00206AAB" w:rsidP="008D38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8D38C9" w14:paraId="25EA6FD0" w14:textId="77777777" w:rsidTr="00586753">
      <w:tc>
        <w:tcPr>
          <w:tcW w:w="1813" w:type="dxa"/>
        </w:tcPr>
        <w:p w14:paraId="42F1A854" w14:textId="77777777" w:rsidR="008D38C9" w:rsidRDefault="008D38C9" w:rsidP="008D38C9">
          <w:pPr>
            <w:pStyle w:val="Encabezado"/>
          </w:pPr>
          <w:r>
            <w:rPr>
              <w:b/>
              <w:noProof/>
              <w:sz w:val="32"/>
              <w:lang w:val="es-MX" w:eastAsia="es-MX"/>
            </w:rPr>
            <w:drawing>
              <wp:inline distT="0" distB="0" distL="0" distR="0" wp14:anchorId="2DD0466C" wp14:editId="2A2A5821">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4BD37941" w14:textId="77777777" w:rsidR="008D38C9" w:rsidRPr="00B33A23" w:rsidRDefault="008D38C9" w:rsidP="008D38C9">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0ADF8B2F" w14:textId="77777777" w:rsidR="008D38C9" w:rsidRDefault="008D38C9" w:rsidP="008D38C9">
          <w:pPr>
            <w:pStyle w:val="Encabezado"/>
            <w:spacing w:before="60"/>
            <w:jc w:val="center"/>
          </w:pPr>
          <w:r w:rsidRPr="00B33A23">
            <w:rPr>
              <w:rFonts w:ascii="Arial" w:hAnsi="Arial" w:cs="Arial"/>
              <w:b/>
              <w:bCs/>
              <w:sz w:val="28"/>
              <w:szCs w:val="28"/>
            </w:rPr>
            <w:t>CONSEJO ESTATAL</w:t>
          </w:r>
        </w:p>
      </w:tc>
      <w:tc>
        <w:tcPr>
          <w:tcW w:w="1560" w:type="dxa"/>
        </w:tcPr>
        <w:p w14:paraId="3CEB3203" w14:textId="77777777" w:rsidR="008D38C9" w:rsidRDefault="008D38C9" w:rsidP="008D38C9">
          <w:pPr>
            <w:pStyle w:val="Encabezado"/>
            <w:spacing w:before="480"/>
            <w:jc w:val="right"/>
          </w:pPr>
          <w:r>
            <w:rPr>
              <w:noProof/>
              <w:lang w:val="es-MX" w:eastAsia="es-MX"/>
            </w:rPr>
            <w:drawing>
              <wp:inline distT="0" distB="0" distL="0" distR="0" wp14:anchorId="3583BAFD" wp14:editId="19A93CF3">
                <wp:extent cx="921600" cy="756000"/>
                <wp:effectExtent l="0" t="0" r="0" b="6350"/>
                <wp:docPr id="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27B451D" w14:textId="03FAEACD" w:rsidR="008D38C9" w:rsidRPr="00F15EED" w:rsidRDefault="00F15EED" w:rsidP="00F15EED">
    <w:pPr>
      <w:pStyle w:val="Encabezado"/>
      <w:jc w:val="right"/>
      <w:rPr>
        <w:rFonts w:ascii="Arial" w:hAnsi="Arial" w:cs="Arial"/>
        <w:b/>
      </w:rPr>
    </w:pPr>
    <w:r w:rsidRPr="00F15EED">
      <w:rPr>
        <w:rFonts w:ascii="Arial" w:hAnsi="Arial" w:cs="Arial"/>
        <w:b/>
      </w:rPr>
      <w:t>CE/2025/037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B23C3"/>
    <w:multiLevelType w:val="multilevel"/>
    <w:tmpl w:val="9FEEEDD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D1B"/>
    <w:rsid w:val="00044DD7"/>
    <w:rsid w:val="0004727C"/>
    <w:rsid w:val="00081F70"/>
    <w:rsid w:val="000C1BC7"/>
    <w:rsid w:val="001651FF"/>
    <w:rsid w:val="00206AAB"/>
    <w:rsid w:val="004B692D"/>
    <w:rsid w:val="00521A08"/>
    <w:rsid w:val="00577E2B"/>
    <w:rsid w:val="005D3E01"/>
    <w:rsid w:val="006E49FD"/>
    <w:rsid w:val="008550FB"/>
    <w:rsid w:val="008D38C9"/>
    <w:rsid w:val="0099165B"/>
    <w:rsid w:val="0099320E"/>
    <w:rsid w:val="00C30DF7"/>
    <w:rsid w:val="00CE6787"/>
    <w:rsid w:val="00E25962"/>
    <w:rsid w:val="00E64D1B"/>
    <w:rsid w:val="00ED0F1A"/>
    <w:rsid w:val="00F15EED"/>
    <w:rsid w:val="00F53FEB"/>
    <w:rsid w:val="00FE22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62D62"/>
  <w15:chartTrackingRefBased/>
  <w15:docId w15:val="{2D721932-D2A6-4364-A345-1F00255B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D1B"/>
    <w:pPr>
      <w:spacing w:before="240" w:after="240" w:line="276" w:lineRule="auto"/>
      <w:jc w:val="both"/>
    </w:pPr>
    <w:rPr>
      <w:rFonts w:ascii="Exo" w:hAnsi="Exo"/>
      <w:lang w:val="es-ES"/>
    </w:rPr>
  </w:style>
  <w:style w:type="paragraph" w:styleId="Ttulo1">
    <w:name w:val="heading 1"/>
    <w:basedOn w:val="Normal"/>
    <w:next w:val="Normal"/>
    <w:link w:val="Ttulo1Car"/>
    <w:uiPriority w:val="9"/>
    <w:qFormat/>
    <w:rsid w:val="0004727C"/>
    <w:pPr>
      <w:keepNext/>
      <w:keepLines/>
      <w:numPr>
        <w:numId w:val="1"/>
      </w:numPr>
      <w:spacing w:before="60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081F70"/>
    <w:pPr>
      <w:keepNext/>
      <w:keepLines/>
      <w:numPr>
        <w:ilvl w:val="1"/>
        <w:numId w:val="1"/>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E64D1B"/>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64D1B"/>
    <w:pPr>
      <w:keepNext/>
      <w:keepLines/>
      <w:numPr>
        <w:ilvl w:val="3"/>
        <w:numId w:val="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64D1B"/>
    <w:pPr>
      <w:keepNext/>
      <w:keepLines/>
      <w:numPr>
        <w:ilvl w:val="4"/>
        <w:numId w:val="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64D1B"/>
    <w:pPr>
      <w:keepNext/>
      <w:keepLines/>
      <w:numPr>
        <w:ilvl w:val="5"/>
        <w:numId w:val="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64D1B"/>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64D1B"/>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64D1B"/>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727C"/>
    <w:rPr>
      <w:rFonts w:ascii="Exo" w:eastAsiaTheme="majorEastAsia" w:hAnsi="Exo" w:cstheme="majorBidi"/>
      <w:b/>
      <w:bCs/>
      <w:color w:val="0F4761" w:themeColor="accent1" w:themeShade="BF"/>
      <w:sz w:val="28"/>
      <w:szCs w:val="28"/>
      <w:lang w:val="es-ES"/>
    </w:rPr>
  </w:style>
  <w:style w:type="character" w:customStyle="1" w:styleId="Ttulo2Car">
    <w:name w:val="Título 2 Car"/>
    <w:basedOn w:val="Fuentedeprrafopredeter"/>
    <w:link w:val="Ttulo2"/>
    <w:uiPriority w:val="9"/>
    <w:rsid w:val="00081F70"/>
    <w:rPr>
      <w:rFonts w:ascii="Exo" w:eastAsiaTheme="majorEastAsia" w:hAnsi="Exo" w:cstheme="majorBidi"/>
      <w:b/>
      <w:bCs/>
      <w:color w:val="0F4761" w:themeColor="accent1" w:themeShade="BF"/>
      <w:lang w:val="es-ES"/>
    </w:rPr>
  </w:style>
  <w:style w:type="character" w:customStyle="1" w:styleId="Ttulo3Car">
    <w:name w:val="Título 3 Car"/>
    <w:basedOn w:val="Fuentedeprrafopredeter"/>
    <w:link w:val="Ttulo3"/>
    <w:uiPriority w:val="9"/>
    <w:semiHidden/>
    <w:rsid w:val="00E64D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64D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64D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64D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64D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64D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64D1B"/>
    <w:rPr>
      <w:rFonts w:eastAsiaTheme="majorEastAsia" w:cstheme="majorBidi"/>
      <w:color w:val="272727" w:themeColor="text1" w:themeTint="D8"/>
    </w:rPr>
  </w:style>
  <w:style w:type="paragraph" w:styleId="Ttulo">
    <w:name w:val="Title"/>
    <w:basedOn w:val="Normal"/>
    <w:next w:val="Normal"/>
    <w:link w:val="TtuloCar"/>
    <w:uiPriority w:val="10"/>
    <w:qFormat/>
    <w:rsid w:val="00E64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4D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4D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4D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64D1B"/>
    <w:pPr>
      <w:spacing w:before="160"/>
      <w:jc w:val="center"/>
    </w:pPr>
    <w:rPr>
      <w:i/>
      <w:iCs/>
      <w:color w:val="404040" w:themeColor="text1" w:themeTint="BF"/>
    </w:rPr>
  </w:style>
  <w:style w:type="character" w:customStyle="1" w:styleId="CitaCar">
    <w:name w:val="Cita Car"/>
    <w:basedOn w:val="Fuentedeprrafopredeter"/>
    <w:link w:val="Cita"/>
    <w:uiPriority w:val="29"/>
    <w:rsid w:val="00E64D1B"/>
    <w:rPr>
      <w:i/>
      <w:iCs/>
      <w:color w:val="404040" w:themeColor="text1" w:themeTint="BF"/>
    </w:rPr>
  </w:style>
  <w:style w:type="paragraph" w:styleId="Prrafodelista">
    <w:name w:val="List Paragraph"/>
    <w:basedOn w:val="Normal"/>
    <w:uiPriority w:val="34"/>
    <w:qFormat/>
    <w:rsid w:val="00E64D1B"/>
    <w:pPr>
      <w:ind w:left="720"/>
      <w:contextualSpacing/>
    </w:pPr>
  </w:style>
  <w:style w:type="character" w:styleId="nfasisintenso">
    <w:name w:val="Intense Emphasis"/>
    <w:basedOn w:val="Fuentedeprrafopredeter"/>
    <w:uiPriority w:val="21"/>
    <w:qFormat/>
    <w:rsid w:val="00E64D1B"/>
    <w:rPr>
      <w:i/>
      <w:iCs/>
      <w:color w:val="0F4761" w:themeColor="accent1" w:themeShade="BF"/>
    </w:rPr>
  </w:style>
  <w:style w:type="paragraph" w:styleId="Citadestacada">
    <w:name w:val="Intense Quote"/>
    <w:basedOn w:val="Normal"/>
    <w:next w:val="Normal"/>
    <w:link w:val="CitadestacadaCar"/>
    <w:uiPriority w:val="30"/>
    <w:qFormat/>
    <w:rsid w:val="00E64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64D1B"/>
    <w:rPr>
      <w:i/>
      <w:iCs/>
      <w:color w:val="0F4761" w:themeColor="accent1" w:themeShade="BF"/>
    </w:rPr>
  </w:style>
  <w:style w:type="character" w:styleId="Referenciaintensa">
    <w:name w:val="Intense Reference"/>
    <w:basedOn w:val="Fuentedeprrafopredeter"/>
    <w:uiPriority w:val="32"/>
    <w:qFormat/>
    <w:rsid w:val="00E64D1B"/>
    <w:rPr>
      <w:b/>
      <w:bCs/>
      <w:smallCaps/>
      <w:color w:val="0F4761" w:themeColor="accent1" w:themeShade="BF"/>
      <w:spacing w:val="5"/>
    </w:rPr>
  </w:style>
  <w:style w:type="table" w:styleId="Tablaconcuadrcula">
    <w:name w:val="Table Grid"/>
    <w:basedOn w:val="Tablanormal"/>
    <w:uiPriority w:val="39"/>
    <w:rsid w:val="006E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D38C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D38C9"/>
    <w:rPr>
      <w:rFonts w:ascii="Exo" w:hAnsi="Exo"/>
      <w:lang w:val="es-ES"/>
    </w:rPr>
  </w:style>
  <w:style w:type="paragraph" w:styleId="Piedepgina">
    <w:name w:val="footer"/>
    <w:basedOn w:val="Normal"/>
    <w:link w:val="PiedepginaCar"/>
    <w:uiPriority w:val="99"/>
    <w:unhideWhenUsed/>
    <w:rsid w:val="008D38C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D38C9"/>
    <w:rPr>
      <w:rFonts w:ascii="Exo" w:hAnsi="Exo"/>
      <w:lang w:val="es-ES"/>
    </w:rPr>
  </w:style>
  <w:style w:type="paragraph" w:styleId="Textodeglobo">
    <w:name w:val="Balloon Text"/>
    <w:basedOn w:val="Normal"/>
    <w:link w:val="TextodegloboCar"/>
    <w:uiPriority w:val="99"/>
    <w:semiHidden/>
    <w:unhideWhenUsed/>
    <w:rsid w:val="00FE228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2280"/>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119</TotalTime>
  <Pages>9</Pages>
  <Words>2863</Words>
  <Characters>15750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13</cp:revision>
  <cp:lastPrinted>2025-03-31T17:56:00Z</cp:lastPrinted>
  <dcterms:created xsi:type="dcterms:W3CDTF">2025-03-26T16:41:00Z</dcterms:created>
  <dcterms:modified xsi:type="dcterms:W3CDTF">2025-03-31T18:30:00Z</dcterms:modified>
</cp:coreProperties>
</file>