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0A" w:rsidRPr="00D73477" w:rsidRDefault="008D050A" w:rsidP="00991148">
      <w:pPr>
        <w:spacing w:after="0" w:line="281" w:lineRule="auto"/>
        <w:jc w:val="center"/>
        <w:rPr>
          <w:rFonts w:ascii="Arial" w:hAnsi="Arial" w:cs="Arial"/>
          <w:b/>
          <w:sz w:val="24"/>
          <w:szCs w:val="24"/>
        </w:rPr>
      </w:pPr>
      <w:r w:rsidRPr="00D73477">
        <w:rPr>
          <w:rFonts w:ascii="Arial" w:hAnsi="Arial" w:cs="Arial"/>
          <w:b/>
          <w:sz w:val="24"/>
          <w:szCs w:val="24"/>
        </w:rPr>
        <w:t>SESIÓN ORDINARIA</w:t>
      </w:r>
    </w:p>
    <w:p w:rsidR="008D050A" w:rsidRPr="00D73477" w:rsidRDefault="00BA3B32" w:rsidP="00991148">
      <w:pPr>
        <w:spacing w:after="0" w:line="281" w:lineRule="auto"/>
        <w:jc w:val="center"/>
        <w:rPr>
          <w:rFonts w:ascii="Arial" w:hAnsi="Arial" w:cs="Arial"/>
          <w:b/>
          <w:sz w:val="24"/>
          <w:szCs w:val="24"/>
        </w:rPr>
      </w:pPr>
      <w:r>
        <w:rPr>
          <w:rFonts w:ascii="Arial" w:hAnsi="Arial" w:cs="Arial"/>
          <w:b/>
          <w:sz w:val="24"/>
          <w:szCs w:val="24"/>
        </w:rPr>
        <w:t>JUEVES</w:t>
      </w:r>
      <w:r w:rsidR="008D050A" w:rsidRPr="00D73477">
        <w:rPr>
          <w:rFonts w:ascii="Arial" w:hAnsi="Arial" w:cs="Arial"/>
          <w:b/>
          <w:sz w:val="24"/>
          <w:szCs w:val="24"/>
        </w:rPr>
        <w:t xml:space="preserve">, </w:t>
      </w:r>
      <w:r w:rsidR="00AF57D4" w:rsidRPr="00D73477">
        <w:rPr>
          <w:rFonts w:ascii="Arial" w:hAnsi="Arial" w:cs="Arial"/>
          <w:b/>
          <w:sz w:val="24"/>
          <w:szCs w:val="24"/>
        </w:rPr>
        <w:t>30</w:t>
      </w:r>
      <w:r w:rsidR="00CC3070" w:rsidRPr="00D73477">
        <w:rPr>
          <w:rFonts w:ascii="Arial" w:hAnsi="Arial" w:cs="Arial"/>
          <w:b/>
          <w:sz w:val="24"/>
          <w:szCs w:val="24"/>
        </w:rPr>
        <w:t xml:space="preserve"> DE </w:t>
      </w:r>
      <w:r w:rsidR="00AF57D4" w:rsidRPr="00D73477">
        <w:rPr>
          <w:rFonts w:ascii="Arial" w:hAnsi="Arial" w:cs="Arial"/>
          <w:b/>
          <w:sz w:val="24"/>
          <w:szCs w:val="24"/>
        </w:rPr>
        <w:t>ENERO</w:t>
      </w:r>
      <w:r w:rsidR="008D050A" w:rsidRPr="00D73477">
        <w:rPr>
          <w:rFonts w:ascii="Arial" w:hAnsi="Arial" w:cs="Arial"/>
          <w:b/>
          <w:sz w:val="24"/>
          <w:szCs w:val="24"/>
        </w:rPr>
        <w:t xml:space="preserve"> DE 202</w:t>
      </w:r>
      <w:r w:rsidR="00AF57D4" w:rsidRPr="00D73477">
        <w:rPr>
          <w:rFonts w:ascii="Arial" w:hAnsi="Arial" w:cs="Arial"/>
          <w:b/>
          <w:sz w:val="24"/>
          <w:szCs w:val="24"/>
        </w:rPr>
        <w:t>5</w:t>
      </w:r>
    </w:p>
    <w:p w:rsidR="008D050A" w:rsidRPr="00D73477" w:rsidRDefault="001E1CAE" w:rsidP="00991148">
      <w:pPr>
        <w:spacing w:after="0" w:line="281" w:lineRule="auto"/>
        <w:jc w:val="center"/>
        <w:rPr>
          <w:rFonts w:ascii="Arial" w:hAnsi="Arial" w:cs="Arial"/>
          <w:b/>
          <w:sz w:val="24"/>
          <w:szCs w:val="24"/>
        </w:rPr>
      </w:pPr>
      <w:r>
        <w:rPr>
          <w:rFonts w:ascii="Arial" w:hAnsi="Arial" w:cs="Arial"/>
          <w:b/>
          <w:sz w:val="24"/>
          <w:szCs w:val="24"/>
        </w:rPr>
        <w:t>14</w:t>
      </w:r>
      <w:r w:rsidR="001D0012" w:rsidRPr="00D73477">
        <w:rPr>
          <w:rFonts w:ascii="Arial" w:hAnsi="Arial" w:cs="Arial"/>
          <w:b/>
          <w:sz w:val="24"/>
          <w:szCs w:val="24"/>
        </w:rPr>
        <w:t>:</w:t>
      </w:r>
      <w:r w:rsidR="004B1948" w:rsidRPr="00D73477">
        <w:rPr>
          <w:rFonts w:ascii="Arial" w:hAnsi="Arial" w:cs="Arial"/>
          <w:b/>
          <w:sz w:val="24"/>
          <w:szCs w:val="24"/>
        </w:rPr>
        <w:t>0</w:t>
      </w:r>
      <w:r w:rsidR="008D050A" w:rsidRPr="00D73477">
        <w:rPr>
          <w:rFonts w:ascii="Arial" w:hAnsi="Arial" w:cs="Arial"/>
          <w:b/>
          <w:sz w:val="24"/>
          <w:szCs w:val="24"/>
        </w:rPr>
        <w:t>0 HORAS</w:t>
      </w:r>
    </w:p>
    <w:p w:rsidR="00280B09" w:rsidRPr="00D73477" w:rsidRDefault="00280B09" w:rsidP="00991148">
      <w:pPr>
        <w:spacing w:after="0" w:line="281" w:lineRule="auto"/>
        <w:jc w:val="center"/>
        <w:rPr>
          <w:rFonts w:ascii="Arial" w:hAnsi="Arial" w:cs="Arial"/>
          <w:b/>
          <w:sz w:val="24"/>
          <w:szCs w:val="24"/>
        </w:rPr>
      </w:pPr>
    </w:p>
    <w:p w:rsidR="008D050A" w:rsidRPr="00D73477" w:rsidRDefault="008D050A" w:rsidP="00991148">
      <w:pPr>
        <w:spacing w:after="0" w:line="281" w:lineRule="auto"/>
        <w:jc w:val="center"/>
        <w:rPr>
          <w:rFonts w:ascii="Arial" w:hAnsi="Arial" w:cs="Arial"/>
          <w:b/>
          <w:sz w:val="24"/>
          <w:szCs w:val="24"/>
        </w:rPr>
      </w:pPr>
      <w:r w:rsidRPr="00D73477">
        <w:rPr>
          <w:rFonts w:ascii="Arial" w:hAnsi="Arial" w:cs="Arial"/>
          <w:b/>
          <w:sz w:val="24"/>
          <w:szCs w:val="24"/>
        </w:rPr>
        <w:t>ORDEN DEL DÍA</w:t>
      </w:r>
    </w:p>
    <w:p w:rsidR="00BF1F50" w:rsidRDefault="00BF1F50" w:rsidP="00991148">
      <w:pPr>
        <w:spacing w:after="0" w:line="281" w:lineRule="auto"/>
        <w:jc w:val="center"/>
        <w:rPr>
          <w:rFonts w:ascii="Arial" w:hAnsi="Arial" w:cs="Arial"/>
          <w:b/>
          <w:sz w:val="24"/>
          <w:szCs w:val="24"/>
        </w:rPr>
      </w:pPr>
    </w:p>
    <w:p w:rsidR="008D050A" w:rsidRPr="00D73477" w:rsidRDefault="008D050A" w:rsidP="00C46827">
      <w:pPr>
        <w:pStyle w:val="Prrafodelista"/>
        <w:numPr>
          <w:ilvl w:val="0"/>
          <w:numId w:val="2"/>
        </w:numPr>
        <w:spacing w:before="120" w:after="120" w:line="281" w:lineRule="auto"/>
        <w:ind w:left="567" w:right="426" w:hanging="567"/>
        <w:contextualSpacing w:val="0"/>
        <w:jc w:val="both"/>
        <w:rPr>
          <w:rFonts w:ascii="Arial" w:hAnsi="Arial" w:cs="Arial"/>
        </w:rPr>
      </w:pPr>
      <w:r w:rsidRPr="00BF1F50">
        <w:rPr>
          <w:rFonts w:ascii="Arial" w:hAnsi="Arial" w:cs="Arial"/>
          <w:sz w:val="24"/>
          <w:szCs w:val="24"/>
        </w:rPr>
        <w:t xml:space="preserve">Lista </w:t>
      </w:r>
      <w:r w:rsidRPr="00D73477">
        <w:rPr>
          <w:rFonts w:ascii="Arial" w:hAnsi="Arial" w:cs="Arial"/>
        </w:rPr>
        <w:t>de asistencia;</w:t>
      </w:r>
    </w:p>
    <w:p w:rsidR="008D050A" w:rsidRPr="00D73477" w:rsidRDefault="008D050A" w:rsidP="00C46827">
      <w:pPr>
        <w:pStyle w:val="Prrafodelista"/>
        <w:numPr>
          <w:ilvl w:val="0"/>
          <w:numId w:val="2"/>
        </w:numPr>
        <w:spacing w:before="120" w:after="120" w:line="281" w:lineRule="auto"/>
        <w:ind w:left="567" w:right="426" w:hanging="567"/>
        <w:contextualSpacing w:val="0"/>
        <w:jc w:val="both"/>
        <w:rPr>
          <w:rFonts w:ascii="Arial" w:hAnsi="Arial" w:cs="Arial"/>
        </w:rPr>
      </w:pPr>
      <w:r w:rsidRPr="00D73477">
        <w:rPr>
          <w:rFonts w:ascii="Arial" w:hAnsi="Arial" w:cs="Arial"/>
        </w:rPr>
        <w:t>Declaración de quórum;</w:t>
      </w:r>
    </w:p>
    <w:p w:rsidR="008D050A" w:rsidRPr="00D73477" w:rsidRDefault="008D050A" w:rsidP="00C46827">
      <w:pPr>
        <w:pStyle w:val="Prrafodelista"/>
        <w:numPr>
          <w:ilvl w:val="0"/>
          <w:numId w:val="2"/>
        </w:numPr>
        <w:spacing w:before="120" w:after="120" w:line="281" w:lineRule="auto"/>
        <w:ind w:left="567" w:right="426" w:hanging="567"/>
        <w:contextualSpacing w:val="0"/>
        <w:jc w:val="both"/>
        <w:rPr>
          <w:rFonts w:ascii="Arial" w:hAnsi="Arial" w:cs="Arial"/>
        </w:rPr>
      </w:pPr>
      <w:r w:rsidRPr="00D73477">
        <w:rPr>
          <w:rFonts w:ascii="Arial" w:hAnsi="Arial" w:cs="Arial"/>
        </w:rPr>
        <w:t xml:space="preserve">Presentación y aprobación, en su caso, del orden del día; </w:t>
      </w:r>
    </w:p>
    <w:p w:rsidR="00BF1F50" w:rsidRPr="00D73477" w:rsidRDefault="008D050A" w:rsidP="00C46827">
      <w:pPr>
        <w:pStyle w:val="Prrafodelista"/>
        <w:numPr>
          <w:ilvl w:val="0"/>
          <w:numId w:val="2"/>
        </w:numPr>
        <w:spacing w:before="120" w:after="120" w:line="281" w:lineRule="auto"/>
        <w:ind w:left="567" w:right="426" w:hanging="567"/>
        <w:contextualSpacing w:val="0"/>
        <w:jc w:val="both"/>
        <w:rPr>
          <w:rFonts w:ascii="Arial" w:hAnsi="Arial" w:cs="Arial"/>
        </w:rPr>
      </w:pPr>
      <w:r w:rsidRPr="00D73477">
        <w:rPr>
          <w:rFonts w:ascii="Arial" w:hAnsi="Arial" w:cs="Arial"/>
        </w:rPr>
        <w:t>Presentación y aprobación, en su caso, de</w:t>
      </w:r>
      <w:r w:rsidR="00AF57D4" w:rsidRPr="00D73477">
        <w:rPr>
          <w:rFonts w:ascii="Arial" w:hAnsi="Arial" w:cs="Arial"/>
        </w:rPr>
        <w:t xml:space="preserve"> </w:t>
      </w:r>
      <w:r w:rsidR="003F06A5" w:rsidRPr="00D73477">
        <w:rPr>
          <w:rFonts w:ascii="Arial" w:hAnsi="Arial" w:cs="Arial"/>
        </w:rPr>
        <w:t>l</w:t>
      </w:r>
      <w:r w:rsidR="00AF57D4" w:rsidRPr="00D73477">
        <w:rPr>
          <w:rFonts w:ascii="Arial" w:hAnsi="Arial" w:cs="Arial"/>
        </w:rPr>
        <w:t>os</w:t>
      </w:r>
      <w:r w:rsidRPr="00D73477">
        <w:rPr>
          <w:rFonts w:ascii="Arial" w:hAnsi="Arial" w:cs="Arial"/>
        </w:rPr>
        <w:t xml:space="preserve"> proyecto</w:t>
      </w:r>
      <w:r w:rsidR="00AF57D4" w:rsidRPr="00D73477">
        <w:rPr>
          <w:rFonts w:ascii="Arial" w:hAnsi="Arial" w:cs="Arial"/>
        </w:rPr>
        <w:t>s</w:t>
      </w:r>
      <w:r w:rsidRPr="00D73477">
        <w:rPr>
          <w:rFonts w:ascii="Arial" w:hAnsi="Arial" w:cs="Arial"/>
        </w:rPr>
        <w:t xml:space="preserve"> de acta</w:t>
      </w:r>
      <w:r w:rsidR="00AF57D4" w:rsidRPr="00D73477">
        <w:rPr>
          <w:rFonts w:ascii="Arial" w:hAnsi="Arial" w:cs="Arial"/>
        </w:rPr>
        <w:t>s</w:t>
      </w:r>
      <w:r w:rsidRPr="00D73477">
        <w:rPr>
          <w:rFonts w:ascii="Arial" w:hAnsi="Arial" w:cs="Arial"/>
        </w:rPr>
        <w:t xml:space="preserve"> correspondiente</w:t>
      </w:r>
      <w:r w:rsidR="00280B09" w:rsidRPr="00D73477">
        <w:rPr>
          <w:rFonts w:ascii="Arial" w:hAnsi="Arial" w:cs="Arial"/>
        </w:rPr>
        <w:t>s</w:t>
      </w:r>
      <w:r w:rsidR="003F06A5" w:rsidRPr="00D73477">
        <w:rPr>
          <w:rFonts w:ascii="Arial" w:hAnsi="Arial" w:cs="Arial"/>
        </w:rPr>
        <w:t xml:space="preserve"> a la</w:t>
      </w:r>
      <w:r w:rsidR="00AF57D4" w:rsidRPr="00D73477">
        <w:rPr>
          <w:rFonts w:ascii="Arial" w:hAnsi="Arial" w:cs="Arial"/>
        </w:rPr>
        <w:t>s</w:t>
      </w:r>
      <w:r w:rsidR="003F06A5" w:rsidRPr="00D73477">
        <w:rPr>
          <w:rFonts w:ascii="Arial" w:hAnsi="Arial" w:cs="Arial"/>
        </w:rPr>
        <w:t xml:space="preserve"> </w:t>
      </w:r>
      <w:r w:rsidR="00AF57D4" w:rsidRPr="00D73477">
        <w:rPr>
          <w:rFonts w:ascii="Arial" w:hAnsi="Arial" w:cs="Arial"/>
        </w:rPr>
        <w:t>sesiones: a)</w:t>
      </w:r>
      <w:r w:rsidR="003F06A5" w:rsidRPr="00D73477">
        <w:rPr>
          <w:rFonts w:ascii="Arial" w:hAnsi="Arial" w:cs="Arial"/>
        </w:rPr>
        <w:t xml:space="preserve"> ordinaria del </w:t>
      </w:r>
      <w:r w:rsidR="00AF57D4" w:rsidRPr="00D73477">
        <w:rPr>
          <w:rFonts w:ascii="Arial" w:hAnsi="Arial" w:cs="Arial"/>
        </w:rPr>
        <w:t>11</w:t>
      </w:r>
      <w:r w:rsidR="00B27741" w:rsidRPr="00D73477">
        <w:rPr>
          <w:rFonts w:ascii="Arial" w:hAnsi="Arial" w:cs="Arial"/>
        </w:rPr>
        <w:t xml:space="preserve"> de</w:t>
      </w:r>
      <w:r w:rsidR="00CC3070" w:rsidRPr="00D73477">
        <w:rPr>
          <w:rFonts w:ascii="Arial" w:hAnsi="Arial" w:cs="Arial"/>
        </w:rPr>
        <w:t xml:space="preserve"> </w:t>
      </w:r>
      <w:r w:rsidR="00AF57D4" w:rsidRPr="00D73477">
        <w:rPr>
          <w:rFonts w:ascii="Arial" w:hAnsi="Arial" w:cs="Arial"/>
        </w:rPr>
        <w:t xml:space="preserve">diciembre </w:t>
      </w:r>
      <w:r w:rsidR="003F06A5" w:rsidRPr="00D73477">
        <w:rPr>
          <w:rFonts w:ascii="Arial" w:hAnsi="Arial" w:cs="Arial"/>
        </w:rPr>
        <w:t>del 2024</w:t>
      </w:r>
      <w:r w:rsidR="004B1948" w:rsidRPr="00D73477">
        <w:rPr>
          <w:rFonts w:ascii="Arial" w:hAnsi="Arial" w:cs="Arial"/>
        </w:rPr>
        <w:t>;</w:t>
      </w:r>
      <w:r w:rsidR="00BF1F50" w:rsidRPr="00D73477">
        <w:rPr>
          <w:rFonts w:ascii="Arial" w:hAnsi="Arial" w:cs="Arial"/>
        </w:rPr>
        <w:t xml:space="preserve"> </w:t>
      </w:r>
      <w:r w:rsidR="00AA2F1C">
        <w:rPr>
          <w:rFonts w:ascii="Arial" w:hAnsi="Arial" w:cs="Arial"/>
        </w:rPr>
        <w:t xml:space="preserve">y </w:t>
      </w:r>
      <w:r w:rsidR="00CF7E8A">
        <w:rPr>
          <w:rFonts w:ascii="Arial" w:hAnsi="Arial" w:cs="Arial"/>
        </w:rPr>
        <w:t>b</w:t>
      </w:r>
      <w:bookmarkStart w:id="0" w:name="_GoBack"/>
      <w:bookmarkEnd w:id="0"/>
      <w:r w:rsidR="00AF57D4" w:rsidRPr="00D73477">
        <w:rPr>
          <w:rFonts w:ascii="Arial" w:hAnsi="Arial" w:cs="Arial"/>
        </w:rPr>
        <w:t>) extraordinaria de</w:t>
      </w:r>
      <w:r w:rsidR="00D73477">
        <w:rPr>
          <w:rFonts w:ascii="Arial" w:hAnsi="Arial" w:cs="Arial"/>
        </w:rPr>
        <w:t>l</w:t>
      </w:r>
      <w:r w:rsidR="00AF57D4" w:rsidRPr="00D73477">
        <w:rPr>
          <w:rFonts w:ascii="Arial" w:hAnsi="Arial" w:cs="Arial"/>
        </w:rPr>
        <w:t xml:space="preserve"> 17 de enero de 20</w:t>
      </w:r>
      <w:r w:rsidR="00AA2F1C">
        <w:rPr>
          <w:rFonts w:ascii="Arial" w:hAnsi="Arial" w:cs="Arial"/>
        </w:rPr>
        <w:t>2</w:t>
      </w:r>
      <w:r w:rsidR="00AF57D4" w:rsidRPr="00D73477">
        <w:rPr>
          <w:rFonts w:ascii="Arial" w:hAnsi="Arial" w:cs="Arial"/>
        </w:rPr>
        <w:t>5;</w:t>
      </w:r>
    </w:p>
    <w:p w:rsidR="00D73477" w:rsidRPr="00D73477" w:rsidRDefault="00D73477" w:rsidP="00D73477">
      <w:pPr>
        <w:pStyle w:val="Prrafodelista"/>
        <w:numPr>
          <w:ilvl w:val="0"/>
          <w:numId w:val="2"/>
        </w:numPr>
        <w:spacing w:before="240" w:after="240" w:line="276" w:lineRule="auto"/>
        <w:contextualSpacing w:val="0"/>
        <w:jc w:val="both"/>
        <w:rPr>
          <w:rFonts w:ascii="Arial" w:hAnsi="Arial" w:cs="Arial"/>
          <w:lang w:val="es-ES"/>
        </w:rPr>
      </w:pPr>
      <w:r w:rsidRPr="00D73477">
        <w:rPr>
          <w:rFonts w:ascii="Arial" w:hAnsi="Arial" w:cs="Arial"/>
          <w:lang w:val="es-ES"/>
        </w:rPr>
        <w:t>Presentación y aprobación, en su caso, del proyecto de acuerdo que, a propuesta de la Secretaría Ejecutiva, emite el Consejo Estatal del Instituto Electoral y de Participación Ciudadana de Tabasco, mediante el cual redistribuye el Presupuesto de Egresos para el ejercicio 2025;</w:t>
      </w:r>
    </w:p>
    <w:p w:rsidR="00D73477" w:rsidRPr="00D73477" w:rsidRDefault="00D73477" w:rsidP="00D73477">
      <w:pPr>
        <w:pStyle w:val="Prrafodelista"/>
        <w:numPr>
          <w:ilvl w:val="0"/>
          <w:numId w:val="2"/>
        </w:numPr>
        <w:spacing w:before="240" w:after="240" w:line="276" w:lineRule="auto"/>
        <w:contextualSpacing w:val="0"/>
        <w:jc w:val="both"/>
        <w:rPr>
          <w:rFonts w:ascii="Arial" w:hAnsi="Arial" w:cs="Arial"/>
          <w:lang w:val="es-ES"/>
        </w:rPr>
      </w:pPr>
      <w:r w:rsidRPr="00D73477">
        <w:rPr>
          <w:rFonts w:ascii="Arial" w:hAnsi="Arial" w:cs="Arial"/>
          <w:lang w:val="es-ES"/>
        </w:rPr>
        <w:t>Presentación y aprobación, en su caso, del proyecto de acuerdo que, a propuesta del Órgano Técnico de Fiscalización, emite el Consejo Estatal del Instituto Electoral y de Participación Ciudadana de Tabasco, mediante el cual, en cumplimiento a la resolución INE/CG2375/2024 aprobada por el Consejo General del Instituto Nacional Electoral, se ordena la ejecución de la multa impuesta al Partido Morena, con motivo de las irregularidades encontradas en el dictamen consolidado de la revisión del informe anual de ingresos y gastos correspondientes al ejercicio 2022;</w:t>
      </w:r>
    </w:p>
    <w:p w:rsidR="00D73477" w:rsidRPr="00D73477" w:rsidRDefault="00D73477" w:rsidP="00D73477">
      <w:pPr>
        <w:pStyle w:val="Prrafodelista"/>
        <w:numPr>
          <w:ilvl w:val="0"/>
          <w:numId w:val="2"/>
        </w:numPr>
        <w:spacing w:before="240" w:after="240" w:line="276" w:lineRule="auto"/>
        <w:contextualSpacing w:val="0"/>
        <w:jc w:val="both"/>
        <w:rPr>
          <w:rFonts w:ascii="Arial" w:hAnsi="Arial" w:cs="Arial"/>
          <w:lang w:val="es-ES"/>
        </w:rPr>
      </w:pPr>
      <w:r w:rsidRPr="00D73477">
        <w:rPr>
          <w:rFonts w:ascii="Arial" w:hAnsi="Arial" w:cs="Arial"/>
          <w:lang w:val="es-ES"/>
        </w:rPr>
        <w:t>Presentación y aprobación, en su caso, del proyecto de acuerdo que, emite el Consejo Estatal del Instituto Electoral y de Participación Ciudadana, mediante el cual aprueba el Programa Anual de Trabajo para el ejercicio 2025 propuesto por la Comisión Permanente de Seguimiento al Servicio Profesional Electoral;</w:t>
      </w:r>
    </w:p>
    <w:p w:rsidR="008D050A" w:rsidRPr="00D73477" w:rsidRDefault="00A03DE0" w:rsidP="00C46827">
      <w:pPr>
        <w:pStyle w:val="Prrafodelista"/>
        <w:numPr>
          <w:ilvl w:val="0"/>
          <w:numId w:val="2"/>
        </w:numPr>
        <w:spacing w:before="120" w:after="120" w:line="281" w:lineRule="auto"/>
        <w:ind w:left="567" w:right="426" w:hanging="567"/>
        <w:contextualSpacing w:val="0"/>
        <w:jc w:val="both"/>
        <w:rPr>
          <w:rFonts w:ascii="Arial" w:hAnsi="Arial" w:cs="Arial"/>
        </w:rPr>
      </w:pPr>
      <w:r w:rsidRPr="00D73477">
        <w:rPr>
          <w:rFonts w:ascii="Arial" w:hAnsi="Arial" w:cs="Arial"/>
        </w:rPr>
        <w:t xml:space="preserve">Presentación del Informe que rinde el </w:t>
      </w:r>
      <w:r w:rsidR="008D050A" w:rsidRPr="00D73477">
        <w:rPr>
          <w:rFonts w:ascii="Arial" w:hAnsi="Arial" w:cs="Arial"/>
        </w:rPr>
        <w:t xml:space="preserve">Secretario Ejecutivo, respecto de la recepción y trámite de los medios de impugnación presentados en el mes de </w:t>
      </w:r>
      <w:r w:rsidR="00AF57D4" w:rsidRPr="00D73477">
        <w:rPr>
          <w:rFonts w:ascii="Arial" w:hAnsi="Arial" w:cs="Arial"/>
        </w:rPr>
        <w:t>enero</w:t>
      </w:r>
      <w:r w:rsidR="004B1948" w:rsidRPr="00D73477">
        <w:rPr>
          <w:rFonts w:ascii="Arial" w:hAnsi="Arial" w:cs="Arial"/>
        </w:rPr>
        <w:t xml:space="preserve"> </w:t>
      </w:r>
      <w:r w:rsidR="008D050A" w:rsidRPr="00D73477">
        <w:rPr>
          <w:rFonts w:ascii="Arial" w:hAnsi="Arial" w:cs="Arial"/>
        </w:rPr>
        <w:t>de 202</w:t>
      </w:r>
      <w:r w:rsidR="00AF57D4" w:rsidRPr="00D73477">
        <w:rPr>
          <w:rFonts w:ascii="Arial" w:hAnsi="Arial" w:cs="Arial"/>
        </w:rPr>
        <w:t>5</w:t>
      </w:r>
      <w:r w:rsidR="008D050A" w:rsidRPr="00D73477">
        <w:rPr>
          <w:rFonts w:ascii="Arial" w:hAnsi="Arial" w:cs="Arial"/>
        </w:rPr>
        <w:t xml:space="preserve"> en contra de los actos, omisiones o resoluciones de los órganos centrales del Instituto Electoral y de Participación Ciudadana de Tabasco</w:t>
      </w:r>
      <w:r w:rsidR="00D73477" w:rsidRPr="00D73477">
        <w:rPr>
          <w:rFonts w:ascii="Arial" w:hAnsi="Arial" w:cs="Arial"/>
        </w:rPr>
        <w:t>;</w:t>
      </w:r>
    </w:p>
    <w:p w:rsidR="008D050A" w:rsidRPr="00D73477" w:rsidRDefault="00280B09" w:rsidP="00247460">
      <w:pPr>
        <w:pStyle w:val="Prrafodelista"/>
        <w:numPr>
          <w:ilvl w:val="0"/>
          <w:numId w:val="2"/>
        </w:numPr>
        <w:spacing w:before="120" w:after="120" w:line="281" w:lineRule="auto"/>
        <w:ind w:left="567" w:hanging="567"/>
        <w:contextualSpacing w:val="0"/>
        <w:jc w:val="both"/>
        <w:rPr>
          <w:rFonts w:ascii="Arial" w:hAnsi="Arial" w:cs="Arial"/>
        </w:rPr>
      </w:pPr>
      <w:r w:rsidRPr="00D73477">
        <w:rPr>
          <w:rFonts w:ascii="Arial" w:hAnsi="Arial" w:cs="Arial"/>
        </w:rPr>
        <w:t>Asuntos generales; y</w:t>
      </w:r>
    </w:p>
    <w:p w:rsidR="0079336D" w:rsidRPr="00D73477" w:rsidRDefault="008D050A" w:rsidP="00247460">
      <w:pPr>
        <w:pStyle w:val="Prrafodelista"/>
        <w:numPr>
          <w:ilvl w:val="0"/>
          <w:numId w:val="2"/>
        </w:numPr>
        <w:spacing w:before="120" w:after="120" w:line="281" w:lineRule="auto"/>
        <w:ind w:left="567" w:hanging="567"/>
        <w:contextualSpacing w:val="0"/>
        <w:jc w:val="both"/>
        <w:rPr>
          <w:rFonts w:ascii="Arial" w:hAnsi="Arial" w:cs="Arial"/>
        </w:rPr>
      </w:pPr>
      <w:r w:rsidRPr="00D73477">
        <w:rPr>
          <w:rFonts w:ascii="Arial" w:hAnsi="Arial" w:cs="Arial"/>
        </w:rPr>
        <w:t>Clausura.</w:t>
      </w:r>
    </w:p>
    <w:sectPr w:rsidR="0079336D" w:rsidRPr="00D73477" w:rsidSect="009B70B9">
      <w:headerReference w:type="default" r:id="rId7"/>
      <w:pgSz w:w="12240" w:h="15840" w:code="1"/>
      <w:pgMar w:top="1418" w:right="1041" w:bottom="851"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2B5" w:rsidRDefault="001522B5" w:rsidP="00280B09">
      <w:pPr>
        <w:spacing w:after="0" w:line="240" w:lineRule="auto"/>
      </w:pPr>
      <w:r>
        <w:separator/>
      </w:r>
    </w:p>
  </w:endnote>
  <w:endnote w:type="continuationSeparator" w:id="0">
    <w:p w:rsidR="001522B5" w:rsidRDefault="001522B5" w:rsidP="00280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2B5" w:rsidRDefault="001522B5" w:rsidP="00280B09">
      <w:pPr>
        <w:spacing w:after="0" w:line="240" w:lineRule="auto"/>
      </w:pPr>
      <w:r>
        <w:separator/>
      </w:r>
    </w:p>
  </w:footnote>
  <w:footnote w:type="continuationSeparator" w:id="0">
    <w:p w:rsidR="001522B5" w:rsidRDefault="001522B5" w:rsidP="00280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50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384"/>
      <w:gridCol w:w="1706"/>
    </w:tblGrid>
    <w:tr w:rsidR="00280B09" w:rsidRPr="00280B09" w:rsidTr="00280B09">
      <w:tc>
        <w:tcPr>
          <w:tcW w:w="1418" w:type="dxa"/>
        </w:tcPr>
        <w:p w:rsidR="00280B09" w:rsidRPr="00280B09" w:rsidRDefault="00280B09" w:rsidP="00280B09">
          <w:pPr>
            <w:pStyle w:val="Encabezado"/>
            <w:ind w:left="-170"/>
            <w:rPr>
              <w:rFonts w:ascii="Arial" w:hAnsi="Arial" w:cs="Arial"/>
            </w:rPr>
          </w:pPr>
          <w:r w:rsidRPr="00280B09">
            <w:rPr>
              <w:rFonts w:ascii="Arial" w:hAnsi="Arial" w:cs="Arial"/>
              <w:b/>
              <w:noProof/>
              <w:sz w:val="32"/>
              <w:lang w:eastAsia="es-MX"/>
            </w:rPr>
            <w:drawing>
              <wp:inline distT="0" distB="0" distL="0" distR="0" wp14:anchorId="2DD9BC89" wp14:editId="15229509">
                <wp:extent cx="1014331" cy="1199403"/>
                <wp:effectExtent l="0" t="0" r="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B_Color.png"/>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384" w:type="dxa"/>
        </w:tcPr>
        <w:p w:rsidR="00280B09" w:rsidRPr="00280B09" w:rsidRDefault="00280B09" w:rsidP="00280B09">
          <w:pPr>
            <w:pStyle w:val="Encabezado"/>
            <w:spacing w:before="720"/>
            <w:jc w:val="center"/>
            <w:rPr>
              <w:rFonts w:ascii="Arial" w:hAnsi="Arial" w:cs="Arial"/>
              <w:b/>
              <w:bCs/>
              <w:sz w:val="25"/>
              <w:szCs w:val="25"/>
            </w:rPr>
          </w:pPr>
          <w:r w:rsidRPr="00280B09">
            <w:rPr>
              <w:rFonts w:ascii="Arial" w:hAnsi="Arial" w:cs="Arial"/>
              <w:b/>
              <w:bCs/>
              <w:sz w:val="25"/>
              <w:szCs w:val="25"/>
            </w:rPr>
            <w:t>INSTITUTO ELECTORAL Y DE PARTICIPACIÓN CIUDADANA DE TABASCO</w:t>
          </w:r>
        </w:p>
        <w:p w:rsidR="00280B09" w:rsidRPr="00280B09" w:rsidRDefault="00280B09" w:rsidP="00280B09">
          <w:pPr>
            <w:pStyle w:val="Encabezado"/>
            <w:jc w:val="center"/>
            <w:rPr>
              <w:rFonts w:ascii="Arial" w:hAnsi="Arial" w:cs="Arial"/>
            </w:rPr>
          </w:pPr>
          <w:r w:rsidRPr="00280B09">
            <w:rPr>
              <w:rFonts w:ascii="Arial" w:hAnsi="Arial" w:cs="Arial"/>
              <w:sz w:val="26"/>
              <w:szCs w:val="26"/>
            </w:rPr>
            <w:t>CONSEJO ESTATAL</w:t>
          </w:r>
        </w:p>
      </w:tc>
      <w:tc>
        <w:tcPr>
          <w:tcW w:w="1706" w:type="dxa"/>
        </w:tcPr>
        <w:p w:rsidR="00280B09" w:rsidRPr="00280B09" w:rsidRDefault="00280B09" w:rsidP="00280B09">
          <w:pPr>
            <w:pStyle w:val="Encabezado"/>
            <w:spacing w:before="480"/>
            <w:rPr>
              <w:rFonts w:ascii="Arial" w:hAnsi="Arial" w:cs="Arial"/>
            </w:rPr>
          </w:pPr>
          <w:r>
            <w:rPr>
              <w:rFonts w:ascii="Arial" w:hAnsi="Arial" w:cs="Arial"/>
              <w:noProof/>
              <w:lang w:eastAsia="es-MX"/>
            </w:rPr>
            <w:drawing>
              <wp:inline distT="0" distB="0" distL="0" distR="0">
                <wp:extent cx="946150" cy="776605"/>
                <wp:effectExtent l="0" t="0" r="635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6150" cy="776605"/>
                        </a:xfrm>
                        <a:prstGeom prst="rect">
                          <a:avLst/>
                        </a:prstGeom>
                      </pic:spPr>
                    </pic:pic>
                  </a:graphicData>
                </a:graphic>
              </wp:inline>
            </w:drawing>
          </w:r>
        </w:p>
      </w:tc>
    </w:tr>
  </w:tbl>
  <w:p w:rsidR="00280B09" w:rsidRPr="00280B09" w:rsidRDefault="00280B09">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89F"/>
    <w:multiLevelType w:val="hybridMultilevel"/>
    <w:tmpl w:val="E8CA4BF2"/>
    <w:lvl w:ilvl="0" w:tplc="0776AA7E">
      <w:start w:val="1"/>
      <w:numFmt w:val="decimal"/>
      <w:lvlText w:val="%1."/>
      <w:lvlJc w:val="left"/>
      <w:pPr>
        <w:ind w:left="705" w:hanging="705"/>
      </w:pPr>
      <w:rPr>
        <w:rFonts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92669"/>
    <w:multiLevelType w:val="hybridMultilevel"/>
    <w:tmpl w:val="FC18C78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915B39"/>
    <w:multiLevelType w:val="hybridMultilevel"/>
    <w:tmpl w:val="D0C0F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50A"/>
    <w:rsid w:val="00002C8C"/>
    <w:rsid w:val="00052F03"/>
    <w:rsid w:val="000C611B"/>
    <w:rsid w:val="001522B5"/>
    <w:rsid w:val="001D0012"/>
    <w:rsid w:val="001E1CAE"/>
    <w:rsid w:val="002004FA"/>
    <w:rsid w:val="00247460"/>
    <w:rsid w:val="00262A1F"/>
    <w:rsid w:val="00262F7A"/>
    <w:rsid w:val="00280B09"/>
    <w:rsid w:val="00297939"/>
    <w:rsid w:val="00330492"/>
    <w:rsid w:val="00363A8D"/>
    <w:rsid w:val="00385749"/>
    <w:rsid w:val="0039069E"/>
    <w:rsid w:val="003A2816"/>
    <w:rsid w:val="003F06A5"/>
    <w:rsid w:val="004451C4"/>
    <w:rsid w:val="004B0118"/>
    <w:rsid w:val="004B1948"/>
    <w:rsid w:val="004E7C06"/>
    <w:rsid w:val="005608B9"/>
    <w:rsid w:val="005B0EA0"/>
    <w:rsid w:val="00643398"/>
    <w:rsid w:val="006A7A80"/>
    <w:rsid w:val="0079336D"/>
    <w:rsid w:val="007B3633"/>
    <w:rsid w:val="008725BD"/>
    <w:rsid w:val="008C3638"/>
    <w:rsid w:val="008D050A"/>
    <w:rsid w:val="008D1C6E"/>
    <w:rsid w:val="00942B0D"/>
    <w:rsid w:val="00991148"/>
    <w:rsid w:val="009B6B98"/>
    <w:rsid w:val="009B70B9"/>
    <w:rsid w:val="009D1695"/>
    <w:rsid w:val="009F0BC1"/>
    <w:rsid w:val="009F5000"/>
    <w:rsid w:val="00A03DE0"/>
    <w:rsid w:val="00A80F34"/>
    <w:rsid w:val="00AA2F1C"/>
    <w:rsid w:val="00AC43E3"/>
    <w:rsid w:val="00AF57D4"/>
    <w:rsid w:val="00B05E7D"/>
    <w:rsid w:val="00B27741"/>
    <w:rsid w:val="00B80BAC"/>
    <w:rsid w:val="00BA3B32"/>
    <w:rsid w:val="00BF1F50"/>
    <w:rsid w:val="00C46827"/>
    <w:rsid w:val="00CB150B"/>
    <w:rsid w:val="00CB67D4"/>
    <w:rsid w:val="00CC3070"/>
    <w:rsid w:val="00CC60B2"/>
    <w:rsid w:val="00CC64F0"/>
    <w:rsid w:val="00CF7E8A"/>
    <w:rsid w:val="00D11CF1"/>
    <w:rsid w:val="00D73477"/>
    <w:rsid w:val="00D958DA"/>
    <w:rsid w:val="00E273C6"/>
    <w:rsid w:val="00E50E07"/>
    <w:rsid w:val="00E80433"/>
    <w:rsid w:val="00EE4544"/>
    <w:rsid w:val="00F57B55"/>
    <w:rsid w:val="00F67107"/>
    <w:rsid w:val="00FC24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4C12EF"/>
  <w15:chartTrackingRefBased/>
  <w15:docId w15:val="{ABB12A24-EBF8-4C68-B934-90008143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0B09"/>
    <w:pPr>
      <w:ind w:left="720"/>
      <w:contextualSpacing/>
    </w:pPr>
  </w:style>
  <w:style w:type="paragraph" w:styleId="Encabezado">
    <w:name w:val="header"/>
    <w:basedOn w:val="Normal"/>
    <w:link w:val="EncabezadoCar"/>
    <w:uiPriority w:val="99"/>
    <w:unhideWhenUsed/>
    <w:rsid w:val="00280B0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B09"/>
  </w:style>
  <w:style w:type="paragraph" w:styleId="Piedepgina">
    <w:name w:val="footer"/>
    <w:basedOn w:val="Normal"/>
    <w:link w:val="PiedepginaCar"/>
    <w:uiPriority w:val="99"/>
    <w:unhideWhenUsed/>
    <w:rsid w:val="00280B0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B09"/>
  </w:style>
  <w:style w:type="table" w:styleId="Tablaconcuadrcula">
    <w:name w:val="Table Grid"/>
    <w:basedOn w:val="Tablanormal"/>
    <w:uiPriority w:val="39"/>
    <w:rsid w:val="00280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284</Words>
  <Characters>1565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Silverio Henández Hernández</cp:lastModifiedBy>
  <cp:revision>42</cp:revision>
  <cp:lastPrinted>2024-12-06T16:27:00Z</cp:lastPrinted>
  <dcterms:created xsi:type="dcterms:W3CDTF">2024-09-25T17:16:00Z</dcterms:created>
  <dcterms:modified xsi:type="dcterms:W3CDTF">2025-01-28T16:04:00Z</dcterms:modified>
</cp:coreProperties>
</file>