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C83" w:rsidRPr="00176341" w:rsidRDefault="00176341" w:rsidP="00D83C07">
      <w:pPr>
        <w:rPr>
          <w:rFonts w:ascii="Arial" w:hAnsi="Arial" w:cs="Arial"/>
          <w:b/>
        </w:rPr>
      </w:pPr>
      <w:r w:rsidRPr="00176341">
        <w:rPr>
          <w:rFonts w:ascii="Arial" w:hAnsi="Arial" w:cs="Arial"/>
          <w:b/>
        </w:rPr>
        <w:t>ACUERDO QUE, A PROPUESTA DE LA COMISIÓN DE ORGANIZACIÓN ELECTORAL Y EDUCACIÓN CÍVICA, EMITE EL CONSEJO ESTATAL DEL INSTITUTO ELECTORAL Y DE PARTICIPACIÓN CIUDADANA DE TABASCO MEDIANTE EL CUAL, APRUEBA EL MANUAL PARA LA UBICACIÓN, SELECCIÓN, CONTRATACIÓN, ADECUACIÓN Y EQUIPAMIENTO DE LOS INMUEBLES QUE SERVIRÁN DE SEDES PARA EL FUNCIONAMIENTO DE LOS ÓRGANOS DISTRITALES QUE SE INSTALEN CON MOTIVO DEL PROCESO ELECTORAL LOCAL EXTRAORDINARIO PARA LA ELECCIÓN DE PERSONAS JUZGADORAS DEL PODER JUDICIAL DEL ESTADO DE TABASCO 2024 - 2025</w:t>
      </w:r>
    </w:p>
    <w:p w:rsidR="00D83C07" w:rsidRPr="00176341" w:rsidRDefault="00D83C07" w:rsidP="00D83C07">
      <w:pPr>
        <w:rPr>
          <w:rFonts w:ascii="Arial" w:hAnsi="Arial" w:cs="Arial"/>
        </w:rPr>
      </w:pPr>
      <w:r w:rsidRPr="00176341">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888"/>
        <w:gridCol w:w="4183"/>
      </w:tblGrid>
      <w:tr w:rsidR="00176341" w:rsidRPr="00176341" w:rsidTr="00E9213E">
        <w:trPr>
          <w:trHeight w:val="624"/>
          <w:jc w:val="center"/>
        </w:trPr>
        <w:tc>
          <w:tcPr>
            <w:tcW w:w="2042" w:type="pct"/>
            <w:shd w:val="clear" w:color="auto" w:fill="auto"/>
            <w:vAlign w:val="center"/>
          </w:tcPr>
          <w:p w:rsidR="00B5647B" w:rsidRPr="00176341" w:rsidRDefault="00B5647B" w:rsidP="00E9213E">
            <w:pPr>
              <w:spacing w:before="120" w:after="120"/>
              <w:ind w:left="57"/>
              <w:jc w:val="right"/>
              <w:rPr>
                <w:rFonts w:ascii="Arial" w:hAnsi="Arial" w:cs="Arial"/>
                <w:b/>
                <w:sz w:val="20"/>
                <w:szCs w:val="20"/>
              </w:rPr>
            </w:pPr>
            <w:bookmarkStart w:id="0" w:name="_Hlk186652747"/>
            <w:r w:rsidRPr="00176341">
              <w:rPr>
                <w:rFonts w:ascii="Arial" w:hAnsi="Arial" w:cs="Arial"/>
                <w:b/>
                <w:sz w:val="20"/>
                <w:szCs w:val="20"/>
              </w:rPr>
              <w:t>Consejo Estatal:</w:t>
            </w:r>
          </w:p>
        </w:tc>
        <w:tc>
          <w:tcPr>
            <w:tcW w:w="2958" w:type="pct"/>
            <w:shd w:val="clear" w:color="auto" w:fill="auto"/>
            <w:vAlign w:val="center"/>
          </w:tcPr>
          <w:p w:rsidR="00B5647B" w:rsidRPr="00176341" w:rsidRDefault="00B5647B" w:rsidP="00E9213E">
            <w:pPr>
              <w:spacing w:before="120" w:after="120"/>
              <w:ind w:left="57"/>
              <w:rPr>
                <w:rFonts w:ascii="Arial" w:hAnsi="Arial" w:cs="Arial"/>
                <w:sz w:val="20"/>
                <w:szCs w:val="20"/>
              </w:rPr>
            </w:pPr>
            <w:r w:rsidRPr="00176341">
              <w:rPr>
                <w:rFonts w:ascii="Arial" w:hAnsi="Arial" w:cs="Arial"/>
                <w:sz w:val="20"/>
                <w:szCs w:val="20"/>
              </w:rPr>
              <w:t>Consejo Estatal del Instituto Electoral y de Participación Ciudadana de Tabasco.</w:t>
            </w:r>
          </w:p>
        </w:tc>
      </w:tr>
      <w:tr w:rsidR="00176341" w:rsidRPr="00176341" w:rsidTr="00E9213E">
        <w:trPr>
          <w:trHeight w:val="624"/>
          <w:jc w:val="center"/>
        </w:trPr>
        <w:tc>
          <w:tcPr>
            <w:tcW w:w="2042" w:type="pct"/>
            <w:shd w:val="clear" w:color="auto" w:fill="auto"/>
            <w:vAlign w:val="center"/>
          </w:tcPr>
          <w:p w:rsidR="00B5647B" w:rsidRPr="00176341" w:rsidRDefault="00B5647B" w:rsidP="00E9213E">
            <w:pPr>
              <w:spacing w:before="120" w:after="120"/>
              <w:ind w:left="57"/>
              <w:jc w:val="right"/>
              <w:rPr>
                <w:rFonts w:ascii="Arial" w:hAnsi="Arial" w:cs="Arial"/>
                <w:b/>
                <w:sz w:val="20"/>
                <w:szCs w:val="20"/>
              </w:rPr>
            </w:pPr>
            <w:r w:rsidRPr="00176341">
              <w:rPr>
                <w:rFonts w:ascii="Arial" w:hAnsi="Arial" w:cs="Arial"/>
                <w:b/>
                <w:sz w:val="20"/>
                <w:szCs w:val="20"/>
              </w:rPr>
              <w:t>Constitución Federal:</w:t>
            </w:r>
          </w:p>
        </w:tc>
        <w:tc>
          <w:tcPr>
            <w:tcW w:w="2958" w:type="pct"/>
            <w:shd w:val="clear" w:color="auto" w:fill="auto"/>
            <w:vAlign w:val="center"/>
          </w:tcPr>
          <w:p w:rsidR="00B5647B" w:rsidRPr="00176341" w:rsidRDefault="00B5647B" w:rsidP="00E9213E">
            <w:pPr>
              <w:spacing w:before="120" w:after="120"/>
              <w:ind w:left="57"/>
              <w:rPr>
                <w:rFonts w:ascii="Arial" w:hAnsi="Arial" w:cs="Arial"/>
                <w:sz w:val="20"/>
                <w:szCs w:val="20"/>
              </w:rPr>
            </w:pPr>
            <w:r w:rsidRPr="00176341">
              <w:rPr>
                <w:rFonts w:ascii="Arial" w:hAnsi="Arial" w:cs="Arial"/>
                <w:sz w:val="20"/>
                <w:szCs w:val="20"/>
              </w:rPr>
              <w:t>Constitución Política de los Estados Unidos Mexicanos.</w:t>
            </w:r>
          </w:p>
        </w:tc>
      </w:tr>
      <w:tr w:rsidR="00176341" w:rsidRPr="00176341" w:rsidTr="00E9213E">
        <w:trPr>
          <w:trHeight w:val="624"/>
          <w:jc w:val="center"/>
        </w:trPr>
        <w:tc>
          <w:tcPr>
            <w:tcW w:w="2042" w:type="pct"/>
            <w:shd w:val="clear" w:color="auto" w:fill="auto"/>
            <w:vAlign w:val="center"/>
          </w:tcPr>
          <w:p w:rsidR="00B5647B" w:rsidRPr="00176341" w:rsidRDefault="00B5647B" w:rsidP="00E9213E">
            <w:pPr>
              <w:spacing w:before="120" w:after="120"/>
              <w:ind w:left="57"/>
              <w:jc w:val="right"/>
              <w:rPr>
                <w:rFonts w:ascii="Arial" w:hAnsi="Arial" w:cs="Arial"/>
                <w:b/>
                <w:sz w:val="20"/>
                <w:szCs w:val="20"/>
              </w:rPr>
            </w:pPr>
            <w:r w:rsidRPr="00176341">
              <w:rPr>
                <w:rFonts w:ascii="Arial" w:hAnsi="Arial" w:cs="Arial"/>
                <w:b/>
                <w:sz w:val="20"/>
                <w:szCs w:val="20"/>
              </w:rPr>
              <w:t>Constitución Local:</w:t>
            </w:r>
          </w:p>
        </w:tc>
        <w:tc>
          <w:tcPr>
            <w:tcW w:w="2958" w:type="pct"/>
            <w:shd w:val="clear" w:color="auto" w:fill="auto"/>
            <w:vAlign w:val="center"/>
          </w:tcPr>
          <w:p w:rsidR="00B5647B" w:rsidRPr="00176341" w:rsidRDefault="00B5647B" w:rsidP="00E9213E">
            <w:pPr>
              <w:spacing w:before="120" w:after="120"/>
              <w:ind w:left="57"/>
              <w:rPr>
                <w:rFonts w:ascii="Arial" w:hAnsi="Arial" w:cs="Arial"/>
                <w:sz w:val="20"/>
                <w:szCs w:val="20"/>
              </w:rPr>
            </w:pPr>
            <w:r w:rsidRPr="00176341">
              <w:rPr>
                <w:rFonts w:ascii="Arial" w:hAnsi="Arial" w:cs="Arial"/>
                <w:sz w:val="20"/>
                <w:szCs w:val="20"/>
              </w:rPr>
              <w:t>Constitución Política del Estado Libre y Soberano de Tabasco.</w:t>
            </w:r>
          </w:p>
        </w:tc>
      </w:tr>
      <w:tr w:rsidR="00176341" w:rsidRPr="00176341" w:rsidTr="00E9213E">
        <w:trPr>
          <w:trHeight w:val="624"/>
          <w:jc w:val="center"/>
        </w:trPr>
        <w:tc>
          <w:tcPr>
            <w:tcW w:w="2042" w:type="pct"/>
            <w:shd w:val="clear" w:color="auto" w:fill="auto"/>
            <w:vAlign w:val="center"/>
          </w:tcPr>
          <w:p w:rsidR="00B5647B" w:rsidRPr="00176341" w:rsidRDefault="00B5647B" w:rsidP="00E9213E">
            <w:pPr>
              <w:spacing w:before="120" w:after="120"/>
              <w:ind w:left="57"/>
              <w:jc w:val="right"/>
              <w:rPr>
                <w:rFonts w:ascii="Arial" w:hAnsi="Arial" w:cs="Arial"/>
                <w:b/>
                <w:sz w:val="20"/>
                <w:szCs w:val="20"/>
              </w:rPr>
            </w:pPr>
            <w:r w:rsidRPr="00176341">
              <w:rPr>
                <w:rFonts w:ascii="Arial" w:hAnsi="Arial" w:cs="Arial"/>
                <w:b/>
                <w:sz w:val="20"/>
                <w:szCs w:val="20"/>
              </w:rPr>
              <w:t>Decreto 080:</w:t>
            </w:r>
          </w:p>
        </w:tc>
        <w:tc>
          <w:tcPr>
            <w:tcW w:w="2958" w:type="pct"/>
            <w:shd w:val="clear" w:color="auto" w:fill="auto"/>
            <w:vAlign w:val="center"/>
          </w:tcPr>
          <w:p w:rsidR="00B5647B" w:rsidRPr="00176341" w:rsidRDefault="00B5647B" w:rsidP="00E9213E">
            <w:pPr>
              <w:spacing w:before="120" w:after="120"/>
              <w:ind w:left="57"/>
              <w:rPr>
                <w:rFonts w:ascii="Arial" w:hAnsi="Arial" w:cs="Arial"/>
                <w:sz w:val="20"/>
                <w:szCs w:val="20"/>
              </w:rPr>
            </w:pPr>
            <w:r w:rsidRPr="00176341">
              <w:rPr>
                <w:rFonts w:ascii="Arial" w:hAnsi="Arial" w:cs="Arial"/>
                <w:sz w:val="20"/>
                <w:szCs w:val="20"/>
              </w:rPr>
              <w:t>Decreto 080 publicado en el diario oficial el 16 de diciembre de 2024, mediante el cual se reforman diversos artículos de la Constitución Local.</w:t>
            </w:r>
          </w:p>
        </w:tc>
      </w:tr>
      <w:tr w:rsidR="00176341" w:rsidRPr="00176341" w:rsidTr="00E9213E">
        <w:trPr>
          <w:trHeight w:val="624"/>
          <w:jc w:val="center"/>
        </w:trPr>
        <w:tc>
          <w:tcPr>
            <w:tcW w:w="2042" w:type="pct"/>
            <w:shd w:val="clear" w:color="auto" w:fill="auto"/>
            <w:vAlign w:val="center"/>
          </w:tcPr>
          <w:p w:rsidR="00B5647B" w:rsidRPr="00176341" w:rsidRDefault="00B5647B" w:rsidP="00E9213E">
            <w:pPr>
              <w:spacing w:before="120" w:after="120"/>
              <w:ind w:left="57"/>
              <w:jc w:val="right"/>
              <w:rPr>
                <w:rFonts w:ascii="Arial" w:hAnsi="Arial" w:cs="Arial"/>
                <w:b/>
                <w:sz w:val="20"/>
                <w:szCs w:val="20"/>
              </w:rPr>
            </w:pPr>
            <w:r w:rsidRPr="00176341">
              <w:rPr>
                <w:rFonts w:ascii="Arial" w:hAnsi="Arial" w:cs="Arial"/>
                <w:b/>
                <w:sz w:val="20"/>
                <w:szCs w:val="20"/>
              </w:rPr>
              <w:t>Decreto 083:</w:t>
            </w:r>
          </w:p>
        </w:tc>
        <w:tc>
          <w:tcPr>
            <w:tcW w:w="2958" w:type="pct"/>
            <w:shd w:val="clear" w:color="auto" w:fill="auto"/>
            <w:vAlign w:val="center"/>
          </w:tcPr>
          <w:p w:rsidR="00B5647B" w:rsidRPr="00176341" w:rsidRDefault="00B5647B" w:rsidP="00E9213E">
            <w:pPr>
              <w:spacing w:before="120" w:after="120"/>
              <w:ind w:left="57"/>
              <w:rPr>
                <w:rFonts w:ascii="Arial" w:hAnsi="Arial" w:cs="Arial"/>
                <w:sz w:val="20"/>
                <w:szCs w:val="20"/>
              </w:rPr>
            </w:pPr>
            <w:r w:rsidRPr="00176341">
              <w:rPr>
                <w:rFonts w:ascii="Arial" w:hAnsi="Arial" w:cs="Arial"/>
                <w:sz w:val="20"/>
                <w:szCs w:val="20"/>
              </w:rPr>
              <w:t>Decreto 083, publicado en el diario oficial el 18 de enero de 2025, mediante el cual se reforman diversos artículos de la Ley Electoral y de Partidos Políticos del Estado de Tabasco.</w:t>
            </w:r>
          </w:p>
        </w:tc>
      </w:tr>
      <w:tr w:rsidR="00176341" w:rsidRPr="00176341" w:rsidTr="00E9213E">
        <w:trPr>
          <w:trHeight w:val="624"/>
          <w:jc w:val="center"/>
        </w:trPr>
        <w:tc>
          <w:tcPr>
            <w:tcW w:w="2042" w:type="pct"/>
            <w:shd w:val="clear" w:color="auto" w:fill="auto"/>
            <w:vAlign w:val="center"/>
          </w:tcPr>
          <w:p w:rsidR="00B5647B" w:rsidRPr="00176341" w:rsidRDefault="00B5647B" w:rsidP="00E9213E">
            <w:pPr>
              <w:spacing w:before="120" w:after="120"/>
              <w:ind w:left="57"/>
              <w:jc w:val="right"/>
              <w:rPr>
                <w:rFonts w:ascii="Arial" w:hAnsi="Arial" w:cs="Arial"/>
                <w:b/>
                <w:sz w:val="20"/>
                <w:szCs w:val="20"/>
              </w:rPr>
            </w:pPr>
            <w:r w:rsidRPr="00176341">
              <w:rPr>
                <w:rFonts w:ascii="Arial" w:hAnsi="Arial" w:cs="Arial"/>
                <w:b/>
                <w:sz w:val="20"/>
                <w:szCs w:val="20"/>
              </w:rPr>
              <w:t>INE:</w:t>
            </w:r>
          </w:p>
        </w:tc>
        <w:tc>
          <w:tcPr>
            <w:tcW w:w="2958" w:type="pct"/>
            <w:shd w:val="clear" w:color="auto" w:fill="auto"/>
            <w:vAlign w:val="center"/>
          </w:tcPr>
          <w:p w:rsidR="00B5647B" w:rsidRPr="00176341" w:rsidRDefault="00B5647B" w:rsidP="00E9213E">
            <w:pPr>
              <w:spacing w:before="120" w:after="120"/>
              <w:ind w:left="57"/>
              <w:rPr>
                <w:rFonts w:ascii="Arial" w:hAnsi="Arial" w:cs="Arial"/>
                <w:sz w:val="20"/>
                <w:szCs w:val="20"/>
              </w:rPr>
            </w:pPr>
            <w:r w:rsidRPr="00176341">
              <w:rPr>
                <w:rFonts w:ascii="Arial" w:hAnsi="Arial" w:cs="Arial"/>
                <w:sz w:val="20"/>
                <w:szCs w:val="20"/>
              </w:rPr>
              <w:t>Instituto Nacional Electoral.</w:t>
            </w:r>
          </w:p>
        </w:tc>
      </w:tr>
      <w:tr w:rsidR="00176341" w:rsidRPr="00176341" w:rsidTr="00E9213E">
        <w:trPr>
          <w:trHeight w:val="624"/>
          <w:jc w:val="center"/>
        </w:trPr>
        <w:tc>
          <w:tcPr>
            <w:tcW w:w="2042" w:type="pct"/>
            <w:shd w:val="clear" w:color="auto" w:fill="auto"/>
            <w:vAlign w:val="center"/>
          </w:tcPr>
          <w:p w:rsidR="00B5647B" w:rsidRPr="00176341" w:rsidRDefault="00B5647B" w:rsidP="00E9213E">
            <w:pPr>
              <w:spacing w:before="120" w:after="120"/>
              <w:ind w:left="57"/>
              <w:jc w:val="right"/>
              <w:rPr>
                <w:rFonts w:ascii="Arial" w:hAnsi="Arial" w:cs="Arial"/>
                <w:b/>
                <w:sz w:val="20"/>
                <w:szCs w:val="20"/>
              </w:rPr>
            </w:pPr>
            <w:r w:rsidRPr="00176341">
              <w:rPr>
                <w:rFonts w:ascii="Arial" w:hAnsi="Arial" w:cs="Arial"/>
                <w:b/>
                <w:sz w:val="20"/>
                <w:szCs w:val="20"/>
              </w:rPr>
              <w:t>Instituto:</w:t>
            </w:r>
          </w:p>
        </w:tc>
        <w:tc>
          <w:tcPr>
            <w:tcW w:w="2958" w:type="pct"/>
            <w:shd w:val="clear" w:color="auto" w:fill="auto"/>
          </w:tcPr>
          <w:p w:rsidR="00B5647B" w:rsidRPr="00176341" w:rsidRDefault="00B5647B" w:rsidP="00E9213E">
            <w:pPr>
              <w:spacing w:before="120" w:after="120"/>
              <w:ind w:left="57"/>
              <w:rPr>
                <w:rFonts w:ascii="Arial" w:hAnsi="Arial" w:cs="Arial"/>
                <w:sz w:val="20"/>
                <w:szCs w:val="20"/>
              </w:rPr>
            </w:pPr>
            <w:r w:rsidRPr="00176341">
              <w:rPr>
                <w:rFonts w:ascii="Arial" w:hAnsi="Arial" w:cs="Arial"/>
                <w:sz w:val="20"/>
                <w:szCs w:val="20"/>
              </w:rPr>
              <w:t>Instituto Electoral y de Participación Ciudadana de Tabasco.</w:t>
            </w:r>
          </w:p>
        </w:tc>
      </w:tr>
      <w:tr w:rsidR="00176341" w:rsidRPr="00176341" w:rsidTr="00E9213E">
        <w:trPr>
          <w:trHeight w:val="624"/>
          <w:jc w:val="center"/>
        </w:trPr>
        <w:tc>
          <w:tcPr>
            <w:tcW w:w="2042" w:type="pct"/>
            <w:shd w:val="clear" w:color="auto" w:fill="auto"/>
            <w:vAlign w:val="center"/>
          </w:tcPr>
          <w:p w:rsidR="00B5647B" w:rsidRPr="00176341" w:rsidRDefault="00B5647B" w:rsidP="00E9213E">
            <w:pPr>
              <w:spacing w:before="120" w:after="120"/>
              <w:ind w:left="57"/>
              <w:jc w:val="right"/>
              <w:rPr>
                <w:rFonts w:ascii="Arial" w:hAnsi="Arial" w:cs="Arial"/>
                <w:b/>
                <w:sz w:val="20"/>
                <w:szCs w:val="20"/>
              </w:rPr>
            </w:pPr>
            <w:r w:rsidRPr="00176341">
              <w:rPr>
                <w:rFonts w:ascii="Arial" w:hAnsi="Arial" w:cs="Arial"/>
                <w:b/>
                <w:sz w:val="20"/>
                <w:szCs w:val="20"/>
              </w:rPr>
              <w:t>Ley Electoral:</w:t>
            </w:r>
          </w:p>
        </w:tc>
        <w:tc>
          <w:tcPr>
            <w:tcW w:w="2958" w:type="pct"/>
            <w:shd w:val="clear" w:color="auto" w:fill="auto"/>
            <w:vAlign w:val="center"/>
          </w:tcPr>
          <w:p w:rsidR="00B5647B" w:rsidRPr="00176341" w:rsidRDefault="00B5647B" w:rsidP="00E9213E">
            <w:pPr>
              <w:spacing w:before="120" w:after="120"/>
              <w:ind w:left="57"/>
              <w:rPr>
                <w:rFonts w:ascii="Arial" w:hAnsi="Arial" w:cs="Arial"/>
                <w:sz w:val="20"/>
                <w:szCs w:val="20"/>
              </w:rPr>
            </w:pPr>
            <w:r w:rsidRPr="00176341">
              <w:rPr>
                <w:rFonts w:ascii="Arial" w:hAnsi="Arial" w:cs="Arial"/>
                <w:sz w:val="20"/>
                <w:szCs w:val="20"/>
              </w:rPr>
              <w:t>Ley Electoral y de Partidos Políticos del Estado de Tabasco.</w:t>
            </w:r>
          </w:p>
        </w:tc>
      </w:tr>
      <w:tr w:rsidR="00176341" w:rsidRPr="00176341" w:rsidTr="00E9213E">
        <w:trPr>
          <w:trHeight w:val="624"/>
          <w:jc w:val="center"/>
        </w:trPr>
        <w:tc>
          <w:tcPr>
            <w:tcW w:w="2042" w:type="pct"/>
            <w:shd w:val="clear" w:color="auto" w:fill="auto"/>
            <w:vAlign w:val="center"/>
          </w:tcPr>
          <w:p w:rsidR="00B5647B" w:rsidRPr="00176341" w:rsidRDefault="00B5647B" w:rsidP="00E9213E">
            <w:pPr>
              <w:spacing w:before="120" w:after="120"/>
              <w:ind w:left="57"/>
              <w:jc w:val="right"/>
              <w:rPr>
                <w:rFonts w:ascii="Arial" w:hAnsi="Arial" w:cs="Arial"/>
                <w:b/>
                <w:sz w:val="20"/>
                <w:szCs w:val="20"/>
              </w:rPr>
            </w:pPr>
            <w:r w:rsidRPr="00176341">
              <w:rPr>
                <w:rFonts w:ascii="Arial" w:hAnsi="Arial" w:cs="Arial"/>
                <w:b/>
                <w:sz w:val="20"/>
                <w:szCs w:val="20"/>
              </w:rPr>
              <w:lastRenderedPageBreak/>
              <w:t>Manual:</w:t>
            </w:r>
          </w:p>
        </w:tc>
        <w:tc>
          <w:tcPr>
            <w:tcW w:w="2958" w:type="pct"/>
            <w:shd w:val="clear" w:color="auto" w:fill="auto"/>
            <w:vAlign w:val="center"/>
          </w:tcPr>
          <w:p w:rsidR="00B5647B" w:rsidRPr="00176341" w:rsidRDefault="00B5647B" w:rsidP="00E9213E">
            <w:pPr>
              <w:spacing w:before="120" w:after="120"/>
              <w:ind w:left="57"/>
              <w:rPr>
                <w:rFonts w:ascii="Arial" w:hAnsi="Arial" w:cs="Arial"/>
                <w:sz w:val="20"/>
                <w:szCs w:val="20"/>
              </w:rPr>
            </w:pPr>
            <w:r w:rsidRPr="00176341">
              <w:rPr>
                <w:rFonts w:ascii="Arial" w:hAnsi="Arial" w:cs="Arial"/>
                <w:sz w:val="20"/>
                <w:szCs w:val="20"/>
              </w:rPr>
              <w:t>Manual para la ubicación, selección, contratación, adecuación y equipamiento de los inmuebles que servirán de sedes para el funcionamiento de los órganos distritales que se instalen con motivo del proceso electoral local extraordinario para la elección de magistradas, magistrados, juezas y jueces del estado de Tabasco 2024-2025.</w:t>
            </w:r>
          </w:p>
        </w:tc>
      </w:tr>
      <w:tr w:rsidR="00176341" w:rsidRPr="00176341" w:rsidTr="00E9213E">
        <w:trPr>
          <w:trHeight w:val="624"/>
          <w:jc w:val="center"/>
        </w:trPr>
        <w:tc>
          <w:tcPr>
            <w:tcW w:w="2042" w:type="pct"/>
            <w:shd w:val="clear" w:color="auto" w:fill="auto"/>
            <w:vAlign w:val="center"/>
          </w:tcPr>
          <w:p w:rsidR="00B5647B" w:rsidRPr="00176341" w:rsidRDefault="00B5647B" w:rsidP="00E9213E">
            <w:pPr>
              <w:spacing w:before="120" w:after="120"/>
              <w:ind w:left="57"/>
              <w:jc w:val="right"/>
              <w:rPr>
                <w:rFonts w:ascii="Arial" w:hAnsi="Arial" w:cs="Arial"/>
                <w:b/>
                <w:sz w:val="20"/>
                <w:szCs w:val="20"/>
              </w:rPr>
            </w:pPr>
            <w:r w:rsidRPr="00176341">
              <w:rPr>
                <w:rFonts w:ascii="Arial" w:hAnsi="Arial" w:cs="Arial"/>
                <w:b/>
                <w:sz w:val="20"/>
                <w:szCs w:val="20"/>
              </w:rPr>
              <w:t>Organismo electoral:</w:t>
            </w:r>
          </w:p>
        </w:tc>
        <w:tc>
          <w:tcPr>
            <w:tcW w:w="2958" w:type="pct"/>
            <w:shd w:val="clear" w:color="auto" w:fill="auto"/>
            <w:vAlign w:val="center"/>
          </w:tcPr>
          <w:p w:rsidR="00B5647B" w:rsidRPr="00176341" w:rsidRDefault="00B5647B" w:rsidP="00E9213E">
            <w:pPr>
              <w:spacing w:before="120" w:after="120"/>
              <w:ind w:left="57"/>
              <w:rPr>
                <w:rFonts w:ascii="Arial" w:hAnsi="Arial" w:cs="Arial"/>
                <w:sz w:val="20"/>
                <w:szCs w:val="20"/>
              </w:rPr>
            </w:pPr>
            <w:r w:rsidRPr="00176341">
              <w:rPr>
                <w:rFonts w:ascii="Arial" w:hAnsi="Arial" w:cs="Arial"/>
                <w:sz w:val="20"/>
                <w:szCs w:val="20"/>
              </w:rPr>
              <w:t xml:space="preserve">Organismo(s) público(s) local(es) electoral(es). </w:t>
            </w:r>
          </w:p>
        </w:tc>
      </w:tr>
      <w:tr w:rsidR="00176341" w:rsidRPr="00176341" w:rsidTr="00E9213E">
        <w:trPr>
          <w:trHeight w:val="624"/>
          <w:jc w:val="center"/>
        </w:trPr>
        <w:tc>
          <w:tcPr>
            <w:tcW w:w="2042" w:type="pct"/>
            <w:shd w:val="clear" w:color="auto" w:fill="auto"/>
            <w:vAlign w:val="center"/>
          </w:tcPr>
          <w:p w:rsidR="00B5647B" w:rsidRPr="00176341" w:rsidRDefault="00B5647B" w:rsidP="00E9213E">
            <w:pPr>
              <w:spacing w:before="120" w:after="120"/>
              <w:ind w:left="57"/>
              <w:jc w:val="right"/>
              <w:rPr>
                <w:rFonts w:ascii="Arial" w:hAnsi="Arial" w:cs="Arial"/>
                <w:b/>
                <w:sz w:val="20"/>
                <w:szCs w:val="20"/>
              </w:rPr>
            </w:pPr>
            <w:r w:rsidRPr="00176341">
              <w:rPr>
                <w:rFonts w:ascii="Arial" w:hAnsi="Arial" w:cs="Arial"/>
                <w:b/>
                <w:sz w:val="20"/>
                <w:szCs w:val="20"/>
              </w:rPr>
              <w:t>Personas juzgadoras:</w:t>
            </w:r>
          </w:p>
        </w:tc>
        <w:tc>
          <w:tcPr>
            <w:tcW w:w="2958" w:type="pct"/>
            <w:shd w:val="clear" w:color="auto" w:fill="auto"/>
            <w:vAlign w:val="center"/>
          </w:tcPr>
          <w:p w:rsidR="00B5647B" w:rsidRPr="00176341" w:rsidRDefault="00B5647B" w:rsidP="00E9213E">
            <w:pPr>
              <w:spacing w:before="120" w:after="120"/>
              <w:ind w:left="57"/>
              <w:rPr>
                <w:rFonts w:ascii="Arial" w:hAnsi="Arial" w:cs="Arial"/>
                <w:sz w:val="20"/>
                <w:szCs w:val="20"/>
              </w:rPr>
            </w:pPr>
            <w:r w:rsidRPr="00176341">
              <w:rPr>
                <w:rFonts w:ascii="Arial" w:hAnsi="Arial" w:cs="Arial"/>
                <w:sz w:val="20"/>
                <w:szCs w:val="20"/>
              </w:rPr>
              <w:t>Personas candidatas a un cargo de elección en el Poder Judicial del Estado.</w:t>
            </w:r>
          </w:p>
        </w:tc>
      </w:tr>
      <w:tr w:rsidR="00176341" w:rsidRPr="00176341" w:rsidTr="00E9213E">
        <w:trPr>
          <w:trHeight w:val="624"/>
          <w:jc w:val="center"/>
        </w:trPr>
        <w:tc>
          <w:tcPr>
            <w:tcW w:w="2042" w:type="pct"/>
            <w:shd w:val="clear" w:color="auto" w:fill="auto"/>
            <w:vAlign w:val="center"/>
          </w:tcPr>
          <w:p w:rsidR="00B5647B" w:rsidRPr="00176341" w:rsidRDefault="00B5647B" w:rsidP="00E9213E">
            <w:pPr>
              <w:spacing w:before="120" w:after="120"/>
              <w:ind w:left="57"/>
              <w:jc w:val="right"/>
              <w:rPr>
                <w:rFonts w:ascii="Arial" w:hAnsi="Arial" w:cs="Arial"/>
                <w:b/>
                <w:sz w:val="20"/>
                <w:szCs w:val="20"/>
              </w:rPr>
            </w:pPr>
            <w:r w:rsidRPr="00176341">
              <w:rPr>
                <w:rFonts w:ascii="Arial" w:hAnsi="Arial" w:cs="Arial"/>
                <w:b/>
                <w:sz w:val="20"/>
                <w:szCs w:val="20"/>
              </w:rPr>
              <w:t>Proceso Electoral Extraordinario:</w:t>
            </w:r>
          </w:p>
        </w:tc>
        <w:tc>
          <w:tcPr>
            <w:tcW w:w="2958" w:type="pct"/>
            <w:shd w:val="clear" w:color="auto" w:fill="auto"/>
            <w:vAlign w:val="center"/>
          </w:tcPr>
          <w:p w:rsidR="00B5647B" w:rsidRPr="00176341" w:rsidRDefault="00B5647B" w:rsidP="00E9213E">
            <w:pPr>
              <w:spacing w:before="120" w:after="120"/>
              <w:ind w:left="57"/>
              <w:rPr>
                <w:rFonts w:ascii="Arial" w:hAnsi="Arial" w:cs="Arial"/>
                <w:sz w:val="20"/>
                <w:szCs w:val="20"/>
              </w:rPr>
            </w:pPr>
            <w:r w:rsidRPr="00176341">
              <w:rPr>
                <w:rFonts w:ascii="Arial" w:hAnsi="Arial" w:cs="Arial"/>
                <w:sz w:val="20"/>
                <w:szCs w:val="20"/>
              </w:rPr>
              <w:t>Proceso Electoral Local Ordinario 2024 -2025 para personas juzgadoras del Poder Judicial del Estado.</w:t>
            </w:r>
          </w:p>
        </w:tc>
      </w:tr>
      <w:tr w:rsidR="00176341" w:rsidRPr="00176341" w:rsidTr="00E9213E">
        <w:trPr>
          <w:trHeight w:val="624"/>
          <w:jc w:val="center"/>
        </w:trPr>
        <w:tc>
          <w:tcPr>
            <w:tcW w:w="2042" w:type="pct"/>
            <w:shd w:val="clear" w:color="auto" w:fill="auto"/>
            <w:vAlign w:val="center"/>
          </w:tcPr>
          <w:p w:rsidR="00B5647B" w:rsidRPr="00176341" w:rsidRDefault="00B5647B" w:rsidP="00E9213E">
            <w:pPr>
              <w:spacing w:before="120" w:after="120"/>
              <w:ind w:left="57"/>
              <w:jc w:val="right"/>
              <w:rPr>
                <w:rFonts w:ascii="Arial" w:hAnsi="Arial" w:cs="Arial"/>
                <w:b/>
                <w:sz w:val="20"/>
                <w:szCs w:val="20"/>
              </w:rPr>
            </w:pPr>
            <w:r w:rsidRPr="00176341">
              <w:rPr>
                <w:rFonts w:ascii="Arial" w:hAnsi="Arial" w:cs="Arial"/>
                <w:b/>
                <w:sz w:val="20"/>
                <w:szCs w:val="20"/>
              </w:rPr>
              <w:t>Reglamento de Elecciones:</w:t>
            </w:r>
          </w:p>
        </w:tc>
        <w:tc>
          <w:tcPr>
            <w:tcW w:w="2958" w:type="pct"/>
            <w:shd w:val="clear" w:color="auto" w:fill="auto"/>
            <w:vAlign w:val="center"/>
          </w:tcPr>
          <w:p w:rsidR="00B5647B" w:rsidRPr="00176341" w:rsidRDefault="00B5647B" w:rsidP="00E9213E">
            <w:pPr>
              <w:spacing w:before="120" w:after="120"/>
              <w:ind w:left="57"/>
              <w:rPr>
                <w:rFonts w:ascii="Arial" w:hAnsi="Arial" w:cs="Arial"/>
                <w:sz w:val="20"/>
                <w:szCs w:val="20"/>
              </w:rPr>
            </w:pPr>
            <w:r w:rsidRPr="00176341">
              <w:rPr>
                <w:rFonts w:ascii="Arial" w:hAnsi="Arial" w:cs="Arial"/>
                <w:sz w:val="20"/>
                <w:szCs w:val="20"/>
              </w:rPr>
              <w:t>Reglamento de Elecciones del Instituto Nacional Electoral.</w:t>
            </w:r>
          </w:p>
        </w:tc>
      </w:tr>
      <w:tr w:rsidR="00176341" w:rsidRPr="00176341" w:rsidTr="00E9213E">
        <w:trPr>
          <w:trHeight w:val="624"/>
          <w:jc w:val="center"/>
        </w:trPr>
        <w:tc>
          <w:tcPr>
            <w:tcW w:w="2042" w:type="pct"/>
            <w:shd w:val="clear" w:color="auto" w:fill="auto"/>
            <w:vAlign w:val="center"/>
          </w:tcPr>
          <w:p w:rsidR="00B5647B" w:rsidRPr="00176341" w:rsidRDefault="00B5647B" w:rsidP="00E9213E">
            <w:pPr>
              <w:spacing w:before="120" w:after="120"/>
              <w:ind w:left="57"/>
              <w:jc w:val="right"/>
              <w:rPr>
                <w:rFonts w:ascii="Arial" w:hAnsi="Arial" w:cs="Arial"/>
                <w:b/>
                <w:sz w:val="20"/>
                <w:szCs w:val="20"/>
              </w:rPr>
            </w:pPr>
            <w:r w:rsidRPr="00176341">
              <w:rPr>
                <w:rFonts w:ascii="Arial" w:hAnsi="Arial" w:cs="Arial"/>
                <w:b/>
                <w:sz w:val="20"/>
                <w:szCs w:val="20"/>
              </w:rPr>
              <w:t>Secretaría Ejecutiva:</w:t>
            </w:r>
          </w:p>
        </w:tc>
        <w:tc>
          <w:tcPr>
            <w:tcW w:w="2958" w:type="pct"/>
            <w:shd w:val="clear" w:color="auto" w:fill="auto"/>
            <w:vAlign w:val="center"/>
          </w:tcPr>
          <w:p w:rsidR="00B5647B" w:rsidRPr="00176341" w:rsidRDefault="00B5647B" w:rsidP="00E9213E">
            <w:pPr>
              <w:spacing w:before="120" w:after="120"/>
              <w:ind w:left="57"/>
              <w:rPr>
                <w:rFonts w:ascii="Arial" w:hAnsi="Arial" w:cs="Arial"/>
                <w:sz w:val="20"/>
                <w:szCs w:val="20"/>
              </w:rPr>
            </w:pPr>
            <w:r w:rsidRPr="00176341">
              <w:rPr>
                <w:rFonts w:ascii="Arial" w:hAnsi="Arial" w:cs="Arial"/>
                <w:sz w:val="20"/>
                <w:szCs w:val="20"/>
              </w:rPr>
              <w:t>Secretaría Ejecutiva del Instituto Electoral y de Participación Ciudadana de Tabasco.</w:t>
            </w:r>
          </w:p>
        </w:tc>
      </w:tr>
    </w:tbl>
    <w:bookmarkEnd w:id="0"/>
    <w:p w:rsidR="00D83C07" w:rsidRPr="00176341" w:rsidRDefault="00D83C07" w:rsidP="00176341">
      <w:pPr>
        <w:pStyle w:val="Ttulo1"/>
      </w:pPr>
      <w:r w:rsidRPr="00176341">
        <w:t>Antecedentes</w:t>
      </w:r>
    </w:p>
    <w:p w:rsidR="009F6607" w:rsidRPr="00176341" w:rsidRDefault="009F6607" w:rsidP="009F6607">
      <w:pPr>
        <w:pStyle w:val="Ttulo2"/>
        <w:rPr>
          <w:rFonts w:ascii="Arial" w:hAnsi="Arial" w:cs="Arial"/>
          <w:color w:val="auto"/>
          <w:sz w:val="22"/>
          <w:szCs w:val="22"/>
        </w:rPr>
      </w:pPr>
      <w:r w:rsidRPr="00176341">
        <w:rPr>
          <w:rFonts w:ascii="Arial" w:hAnsi="Arial" w:cs="Arial"/>
          <w:color w:val="auto"/>
          <w:sz w:val="22"/>
          <w:szCs w:val="22"/>
        </w:rPr>
        <w:t>Fines del Instituto</w:t>
      </w:r>
    </w:p>
    <w:p w:rsidR="009F6607" w:rsidRPr="00176341" w:rsidRDefault="009F6607" w:rsidP="009F6607">
      <w:pPr>
        <w:rPr>
          <w:rFonts w:ascii="Arial" w:hAnsi="Arial" w:cs="Arial"/>
        </w:rPr>
      </w:pPr>
      <w:r w:rsidRPr="00176341">
        <w:rPr>
          <w:rFonts w:ascii="Arial" w:hAnsi="Arial" w:cs="Arial"/>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D83C07" w:rsidRPr="00176341" w:rsidRDefault="00D83C07" w:rsidP="00D83C07">
      <w:pPr>
        <w:rPr>
          <w:rFonts w:ascii="Arial" w:hAnsi="Arial" w:cs="Arial"/>
        </w:rPr>
      </w:pPr>
      <w:r w:rsidRPr="00176341">
        <w:rPr>
          <w:rFonts w:ascii="Arial" w:hAnsi="Arial" w:cs="Arial"/>
        </w:rPr>
        <w:t xml:space="preserve">Además, es responsable de la organización de las elecciones estatal, distritales y municipales, entre ellas la relativa a las personas titulares de las magistraturas del </w:t>
      </w:r>
      <w:r w:rsidRPr="00176341">
        <w:rPr>
          <w:rFonts w:ascii="Arial" w:hAnsi="Arial" w:cs="Arial"/>
        </w:rPr>
        <w:lastRenderedPageBreak/>
        <w:t xml:space="preserve">Tribunal de Disciplina Judicial y del Tribunal Superior de Justicia, así como de las Juezas y Jueces. </w:t>
      </w:r>
    </w:p>
    <w:p w:rsidR="00C0359B" w:rsidRPr="00176341" w:rsidRDefault="00C0359B" w:rsidP="00C0359B">
      <w:pPr>
        <w:rPr>
          <w:rFonts w:ascii="Arial" w:hAnsi="Arial" w:cs="Arial"/>
        </w:rPr>
      </w:pPr>
      <w:r w:rsidRPr="00176341">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rsidR="00D83C07" w:rsidRPr="00176341" w:rsidRDefault="00D83C07" w:rsidP="00D83C07">
      <w:pPr>
        <w:pStyle w:val="Ttulo2"/>
        <w:rPr>
          <w:rFonts w:ascii="Arial" w:hAnsi="Arial" w:cs="Arial"/>
          <w:color w:val="auto"/>
          <w:sz w:val="22"/>
          <w:szCs w:val="22"/>
        </w:rPr>
      </w:pPr>
      <w:r w:rsidRPr="00176341">
        <w:rPr>
          <w:rFonts w:ascii="Arial" w:hAnsi="Arial" w:cs="Arial"/>
          <w:color w:val="auto"/>
          <w:sz w:val="22"/>
          <w:szCs w:val="22"/>
        </w:rPr>
        <w:t>Integración del órgano superior de dirección</w:t>
      </w:r>
    </w:p>
    <w:p w:rsidR="00D83C07" w:rsidRPr="00176341" w:rsidRDefault="00D83C07" w:rsidP="00D83C07">
      <w:pPr>
        <w:rPr>
          <w:rFonts w:ascii="Arial" w:hAnsi="Arial" w:cs="Arial"/>
        </w:rPr>
      </w:pPr>
      <w:r w:rsidRPr="00176341">
        <w:rPr>
          <w:rFonts w:ascii="Arial" w:hAnsi="Arial" w:cs="Arial"/>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rsidR="00D83C07" w:rsidRPr="00176341" w:rsidRDefault="00D83C07" w:rsidP="00D83C07">
      <w:pPr>
        <w:rPr>
          <w:rFonts w:ascii="Arial" w:hAnsi="Arial" w:cs="Arial"/>
        </w:rPr>
      </w:pPr>
      <w:r w:rsidRPr="00176341">
        <w:rPr>
          <w:rFonts w:ascii="Arial" w:hAnsi="Arial" w:cs="Arial"/>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D83C07" w:rsidRPr="00176341" w:rsidRDefault="00D83C07" w:rsidP="00D83C07">
      <w:pPr>
        <w:rPr>
          <w:rFonts w:ascii="Arial" w:hAnsi="Arial" w:cs="Arial"/>
        </w:rPr>
      </w:pPr>
      <w:r w:rsidRPr="00176341">
        <w:rPr>
          <w:rFonts w:ascii="Arial" w:hAnsi="Arial" w:cs="Arial"/>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rsidR="00D83C07" w:rsidRPr="00176341" w:rsidRDefault="00D83C07" w:rsidP="00D83C07">
      <w:pPr>
        <w:pStyle w:val="Ttulo2"/>
        <w:rPr>
          <w:rFonts w:ascii="Arial" w:hAnsi="Arial" w:cs="Arial"/>
          <w:color w:val="auto"/>
          <w:sz w:val="22"/>
          <w:szCs w:val="22"/>
        </w:rPr>
      </w:pPr>
      <w:r w:rsidRPr="00176341">
        <w:rPr>
          <w:rFonts w:ascii="Arial" w:hAnsi="Arial" w:cs="Arial"/>
          <w:color w:val="auto"/>
          <w:sz w:val="22"/>
          <w:szCs w:val="22"/>
        </w:rPr>
        <w:t>Integración de la Comisión</w:t>
      </w:r>
    </w:p>
    <w:p w:rsidR="00D83C07" w:rsidRPr="00176341" w:rsidRDefault="00D83C07" w:rsidP="00D83C07">
      <w:pPr>
        <w:rPr>
          <w:rFonts w:ascii="Arial" w:hAnsi="Arial" w:cs="Arial"/>
        </w:rPr>
      </w:pPr>
      <w:r w:rsidRPr="00176341">
        <w:rPr>
          <w:rFonts w:ascii="Arial" w:hAnsi="Arial" w:cs="Arial"/>
        </w:rPr>
        <w:t xml:space="preserve">El 4 de octubre de 2024, mediante acuerdo CE/2024/090, el Consejo Estatal modificó la conformación de las Comisiones Permanentes, entre ellas, la relativa a la de </w:t>
      </w:r>
      <w:r w:rsidRPr="00176341">
        <w:rPr>
          <w:rFonts w:ascii="Arial" w:hAnsi="Arial" w:cs="Arial"/>
        </w:rPr>
        <w:lastRenderedPageBreak/>
        <w:t>Organización Electoral y Educación Cívica, quedando integrada por el Consejero Electoral Mtro. Hernán González Sala y las Consejeras Electorales, Licda. Ángela Guadalupe Araujo Segura y Licda. María Elvia Magaña Sandoval, ésta última, Presidenta de la Comisión</w:t>
      </w:r>
      <w:r w:rsidR="00E90559" w:rsidRPr="00176341">
        <w:rPr>
          <w:rFonts w:ascii="Arial" w:hAnsi="Arial" w:cs="Arial"/>
        </w:rPr>
        <w:t>; y en su calidad de secretario técnico, el Lic. Rigoberto de la O Gallegos, Director de Organización Electoral y Educación Cívica.</w:t>
      </w:r>
    </w:p>
    <w:p w:rsidR="00440497" w:rsidRPr="00176341" w:rsidRDefault="00440497" w:rsidP="00440497">
      <w:pPr>
        <w:pStyle w:val="Ttulo2"/>
        <w:rPr>
          <w:rFonts w:ascii="Arial" w:hAnsi="Arial" w:cs="Arial"/>
          <w:color w:val="auto"/>
          <w:sz w:val="22"/>
          <w:szCs w:val="22"/>
        </w:rPr>
      </w:pPr>
      <w:r w:rsidRPr="00176341">
        <w:rPr>
          <w:rFonts w:ascii="Arial" w:hAnsi="Arial" w:cs="Arial"/>
          <w:color w:val="auto"/>
          <w:sz w:val="22"/>
          <w:szCs w:val="22"/>
        </w:rPr>
        <w:t xml:space="preserve">Reforma Constitucional </w:t>
      </w:r>
    </w:p>
    <w:p w:rsidR="00440497" w:rsidRPr="00176341" w:rsidRDefault="00440497" w:rsidP="00440497">
      <w:pPr>
        <w:rPr>
          <w:rFonts w:ascii="Arial" w:hAnsi="Arial" w:cs="Arial"/>
        </w:rPr>
      </w:pPr>
      <w:r w:rsidRPr="00176341">
        <w:rPr>
          <w:rFonts w:ascii="Arial" w:hAnsi="Arial" w:cs="Arial"/>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rsidR="00440497" w:rsidRPr="00176341" w:rsidRDefault="00440497" w:rsidP="00440497">
      <w:pPr>
        <w:rPr>
          <w:rFonts w:ascii="Arial" w:hAnsi="Arial" w:cs="Arial"/>
        </w:rPr>
      </w:pPr>
      <w:r w:rsidRPr="00176341">
        <w:rPr>
          <w:rFonts w:ascii="Arial" w:hAnsi="Arial" w:cs="Arial"/>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rsidR="00D83C07" w:rsidRPr="00176341" w:rsidRDefault="00D83C07" w:rsidP="00D83C07">
      <w:pPr>
        <w:pStyle w:val="Ttulo2"/>
        <w:rPr>
          <w:rFonts w:ascii="Arial" w:hAnsi="Arial" w:cs="Arial"/>
          <w:color w:val="auto"/>
          <w:sz w:val="22"/>
          <w:szCs w:val="22"/>
        </w:rPr>
      </w:pPr>
      <w:r w:rsidRPr="00176341">
        <w:rPr>
          <w:rFonts w:ascii="Arial" w:hAnsi="Arial" w:cs="Arial"/>
          <w:color w:val="auto"/>
          <w:sz w:val="22"/>
          <w:szCs w:val="22"/>
        </w:rPr>
        <w:t>Inicio del Proceso Electoral Extraordinario</w:t>
      </w:r>
    </w:p>
    <w:p w:rsidR="00D83C07" w:rsidRPr="00176341" w:rsidRDefault="00D83C07" w:rsidP="00D83C07">
      <w:pPr>
        <w:rPr>
          <w:rFonts w:ascii="Arial" w:hAnsi="Arial" w:cs="Arial"/>
        </w:rPr>
      </w:pPr>
      <w:r w:rsidRPr="00176341">
        <w:rPr>
          <w:rFonts w:ascii="Arial" w:hAnsi="Arial" w:cs="Arial"/>
        </w:rPr>
        <w:t>El 20 de diciembre de 2024, en cumplimiento al artículo segundo transitorio del decreto 080, el Consejo Estatal declaró el inicio del Proceso Electoral Extraordinario 2024 – 2025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rsidR="00440497" w:rsidRPr="00176341" w:rsidRDefault="00440497" w:rsidP="00440497">
      <w:pPr>
        <w:pStyle w:val="Ttulo2"/>
        <w:rPr>
          <w:rFonts w:ascii="Arial" w:hAnsi="Arial" w:cs="Arial"/>
          <w:color w:val="auto"/>
          <w:sz w:val="22"/>
          <w:szCs w:val="22"/>
        </w:rPr>
      </w:pPr>
      <w:r w:rsidRPr="00176341">
        <w:rPr>
          <w:rFonts w:ascii="Arial" w:hAnsi="Arial" w:cs="Arial"/>
          <w:color w:val="auto"/>
          <w:sz w:val="22"/>
          <w:szCs w:val="22"/>
        </w:rPr>
        <w:t>Reforma a la Ley Electoral</w:t>
      </w:r>
    </w:p>
    <w:p w:rsidR="00BC7761" w:rsidRPr="00176341" w:rsidRDefault="00BC7761" w:rsidP="00BC7761">
      <w:pPr>
        <w:rPr>
          <w:rFonts w:ascii="Arial" w:hAnsi="Arial" w:cs="Arial"/>
        </w:rPr>
      </w:pPr>
      <w:r w:rsidRPr="00176341">
        <w:rPr>
          <w:rFonts w:ascii="Arial" w:hAnsi="Arial" w:cs="Arial"/>
        </w:rPr>
        <w:t xml:space="preserve">El 18 de enero de 2025, se publicó en el Periódico Oficial del Estado de Tabasco, el decreto 083 mediante el cual, el H. Congreso del Estado, reformó los artículos 1 fracción IV, 101 fracción IV, 115 numeral 1 fracciones XXXVIII y XXXIX, 116 fracción III, 127 </w:t>
      </w:r>
      <w:r w:rsidRPr="00176341">
        <w:rPr>
          <w:rFonts w:ascii="Arial" w:hAnsi="Arial" w:cs="Arial"/>
        </w:rPr>
        <w:lastRenderedPageBreak/>
        <w:t>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rsidR="00D83C07" w:rsidRPr="00176341" w:rsidRDefault="00D83C07" w:rsidP="00D83C07">
      <w:pPr>
        <w:pStyle w:val="Ttulo2"/>
        <w:rPr>
          <w:rFonts w:ascii="Arial" w:hAnsi="Arial" w:cs="Arial"/>
          <w:color w:val="auto"/>
          <w:sz w:val="22"/>
          <w:szCs w:val="22"/>
        </w:rPr>
      </w:pPr>
      <w:r w:rsidRPr="00176341">
        <w:rPr>
          <w:rFonts w:ascii="Arial" w:hAnsi="Arial" w:cs="Arial"/>
          <w:color w:val="auto"/>
          <w:sz w:val="22"/>
          <w:szCs w:val="22"/>
        </w:rPr>
        <w:t>Jornada electoral</w:t>
      </w:r>
    </w:p>
    <w:p w:rsidR="00D83C07" w:rsidRPr="00176341" w:rsidRDefault="00D83C07" w:rsidP="00D83C07">
      <w:pPr>
        <w:rPr>
          <w:rFonts w:ascii="Arial" w:hAnsi="Arial" w:cs="Arial"/>
        </w:rPr>
      </w:pPr>
      <w:r w:rsidRPr="00176341">
        <w:rPr>
          <w:rFonts w:ascii="Arial" w:hAnsi="Arial" w:cs="Arial"/>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rsidR="00323542" w:rsidRPr="00176341" w:rsidRDefault="00323542" w:rsidP="00E074B8">
      <w:pPr>
        <w:pStyle w:val="Ttulo2"/>
        <w:rPr>
          <w:rFonts w:ascii="Arial" w:hAnsi="Arial" w:cs="Arial"/>
          <w:color w:val="auto"/>
          <w:sz w:val="22"/>
          <w:szCs w:val="22"/>
        </w:rPr>
      </w:pPr>
      <w:r w:rsidRPr="00176341">
        <w:rPr>
          <w:rFonts w:ascii="Arial" w:hAnsi="Arial" w:cs="Arial"/>
          <w:color w:val="auto"/>
          <w:sz w:val="22"/>
          <w:szCs w:val="22"/>
        </w:rPr>
        <w:t>Presentación de la propuesta</w:t>
      </w:r>
    </w:p>
    <w:p w:rsidR="00E074B8" w:rsidRPr="00176341" w:rsidRDefault="00E074B8" w:rsidP="00BA7D2C">
      <w:pPr>
        <w:rPr>
          <w:rFonts w:ascii="Arial" w:hAnsi="Arial" w:cs="Arial"/>
        </w:rPr>
      </w:pPr>
      <w:r w:rsidRPr="00176341">
        <w:rPr>
          <w:rFonts w:ascii="Arial" w:hAnsi="Arial" w:cs="Arial"/>
        </w:rPr>
        <w:t xml:space="preserve">El </w:t>
      </w:r>
      <w:r w:rsidR="000A6138" w:rsidRPr="00176341">
        <w:rPr>
          <w:rFonts w:ascii="Arial" w:hAnsi="Arial" w:cs="Arial"/>
        </w:rPr>
        <w:t>2</w:t>
      </w:r>
      <w:r w:rsidRPr="00176341">
        <w:rPr>
          <w:rFonts w:ascii="Arial" w:hAnsi="Arial" w:cs="Arial"/>
        </w:rPr>
        <w:t>4 de enero de 2024, el secretario técnico de la Comisión, mediante oficio COEYEC/ST/ROG/0</w:t>
      </w:r>
      <w:r w:rsidR="000A6138" w:rsidRPr="00176341">
        <w:rPr>
          <w:rFonts w:ascii="Arial" w:hAnsi="Arial" w:cs="Arial"/>
        </w:rPr>
        <w:t>19</w:t>
      </w:r>
      <w:r w:rsidRPr="00176341">
        <w:rPr>
          <w:rFonts w:ascii="Arial" w:hAnsi="Arial" w:cs="Arial"/>
        </w:rPr>
        <w:t xml:space="preserve">/2025, remitió a la Presidencia del Consejo, </w:t>
      </w:r>
      <w:r w:rsidR="002C7F44" w:rsidRPr="00176341">
        <w:rPr>
          <w:rFonts w:ascii="Arial" w:hAnsi="Arial" w:cs="Arial"/>
        </w:rPr>
        <w:t xml:space="preserve">la propuesta relativa al </w:t>
      </w:r>
      <w:r w:rsidR="00BA7D2C" w:rsidRPr="00176341">
        <w:rPr>
          <w:rFonts w:ascii="Arial" w:hAnsi="Arial" w:cs="Arial"/>
        </w:rPr>
        <w:t xml:space="preserve">Manual formulado por </w:t>
      </w:r>
      <w:r w:rsidRPr="00176341">
        <w:rPr>
          <w:rFonts w:ascii="Arial" w:hAnsi="Arial" w:cs="Arial"/>
        </w:rPr>
        <w:t>dicha Comisión; lo anterior, para efectos de someterlo a la deliberación de este Consejo Estatal.</w:t>
      </w:r>
    </w:p>
    <w:p w:rsidR="00D83C07" w:rsidRPr="00176341" w:rsidRDefault="00D83C07" w:rsidP="00176341">
      <w:pPr>
        <w:pStyle w:val="Ttulo1"/>
      </w:pPr>
      <w:r w:rsidRPr="00176341">
        <w:t>Considerando</w:t>
      </w:r>
    </w:p>
    <w:p w:rsidR="00D83C07" w:rsidRPr="00176341" w:rsidRDefault="00D83C07" w:rsidP="00D83C07">
      <w:pPr>
        <w:pStyle w:val="Ttulo2"/>
        <w:rPr>
          <w:rFonts w:ascii="Arial" w:hAnsi="Arial" w:cs="Arial"/>
          <w:color w:val="auto"/>
          <w:sz w:val="22"/>
          <w:szCs w:val="22"/>
        </w:rPr>
      </w:pPr>
      <w:r w:rsidRPr="00176341">
        <w:rPr>
          <w:rFonts w:ascii="Arial" w:hAnsi="Arial" w:cs="Arial"/>
          <w:color w:val="auto"/>
          <w:sz w:val="22"/>
          <w:szCs w:val="22"/>
        </w:rPr>
        <w:t>Competencia del Consejo Estatal</w:t>
      </w:r>
    </w:p>
    <w:p w:rsidR="00D83C07" w:rsidRPr="00176341" w:rsidRDefault="00D83C07" w:rsidP="00D83C07">
      <w:pPr>
        <w:rPr>
          <w:rFonts w:ascii="Arial" w:hAnsi="Arial" w:cs="Arial"/>
        </w:rPr>
      </w:pPr>
      <w:r w:rsidRPr="00176341">
        <w:rPr>
          <w:rFonts w:ascii="Arial" w:hAnsi="Arial" w:cs="Arial"/>
        </w:rPr>
        <w:t>Que, de conformidad con los artículos 115 numeral 1, fracción XL, 393 numeral 1, fracción II y 400 numeral 3 de la Ley Electoral, el Consejo Estatal es competente para organizar el proceso electivo de las personas juzgadoras, su jornada electoral y los cómputos de los resultados electorales, en los términos que determine la Ley General y la Ley Electoral; aprobar los lineamientos o acuerdos necesarios para llevar a cabo la organización, desarrollo y cómputo de la elección de personas juzgadoras, así como el Plan de Coordinación en materia de Organización Electoral relativo al Proceso Electoral de personas juzgadoras.</w:t>
      </w:r>
    </w:p>
    <w:p w:rsidR="004B7E1C" w:rsidRPr="00176341" w:rsidRDefault="004B7E1C" w:rsidP="004B7E1C">
      <w:pPr>
        <w:rPr>
          <w:rFonts w:ascii="Arial" w:hAnsi="Arial" w:cs="Arial"/>
        </w:rPr>
      </w:pPr>
      <w:bookmarkStart w:id="1" w:name="_Hlk187845109"/>
      <w:r w:rsidRPr="00176341">
        <w:rPr>
          <w:rFonts w:ascii="Arial" w:hAnsi="Arial" w:cs="Arial"/>
        </w:rPr>
        <w:t xml:space="preserve">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w:t>
      </w:r>
      <w:r w:rsidRPr="00176341">
        <w:rPr>
          <w:rFonts w:ascii="Arial" w:hAnsi="Arial" w:cs="Arial"/>
        </w:rPr>
        <w:lastRenderedPageBreak/>
        <w:t xml:space="preserve">disposiciones constitucionales y legales aplicables para los procesos electorales estatales, observando los principios de certeza, legalidad, independencia, imparcialidad, máxima publicidad, objetividad y paridad de género. </w:t>
      </w:r>
    </w:p>
    <w:p w:rsidR="00D83C07" w:rsidRPr="00176341" w:rsidRDefault="00D83C07" w:rsidP="00D83C07">
      <w:pPr>
        <w:pStyle w:val="Ttulo2"/>
        <w:rPr>
          <w:rFonts w:ascii="Arial" w:hAnsi="Arial" w:cs="Arial"/>
          <w:color w:val="auto"/>
          <w:sz w:val="22"/>
          <w:szCs w:val="22"/>
        </w:rPr>
      </w:pPr>
      <w:r w:rsidRPr="00176341">
        <w:rPr>
          <w:rFonts w:ascii="Arial" w:hAnsi="Arial" w:cs="Arial"/>
          <w:color w:val="auto"/>
          <w:sz w:val="22"/>
          <w:szCs w:val="22"/>
        </w:rPr>
        <w:t>Órganos distritales del Instituto</w:t>
      </w:r>
    </w:p>
    <w:p w:rsidR="0030672E" w:rsidRPr="00176341" w:rsidRDefault="0030672E" w:rsidP="0030672E">
      <w:pPr>
        <w:rPr>
          <w:rFonts w:ascii="Arial" w:hAnsi="Arial" w:cs="Arial"/>
        </w:rPr>
      </w:pPr>
      <w:r w:rsidRPr="00176341">
        <w:rPr>
          <w:rFonts w:ascii="Arial" w:hAnsi="Arial" w:cs="Arial"/>
        </w:rPr>
        <w:t>Que, el artículo 123 numeral 1 de la Ley Electoral dispone que, en cada una de las cabeceras distritales del Estado, el Instituto contará con un órgano electoral integrado de la manera siguiente:</w:t>
      </w:r>
    </w:p>
    <w:p w:rsidR="0030672E" w:rsidRPr="00176341" w:rsidRDefault="0030672E" w:rsidP="0030672E">
      <w:pPr>
        <w:pStyle w:val="Prrafodelista"/>
        <w:numPr>
          <w:ilvl w:val="0"/>
          <w:numId w:val="3"/>
        </w:numPr>
        <w:rPr>
          <w:rFonts w:ascii="Arial" w:hAnsi="Arial" w:cs="Arial"/>
        </w:rPr>
      </w:pPr>
      <w:r w:rsidRPr="00176341">
        <w:rPr>
          <w:rFonts w:ascii="Arial" w:hAnsi="Arial" w:cs="Arial"/>
        </w:rPr>
        <w:t>La Junta Electoral Distrital;</w:t>
      </w:r>
    </w:p>
    <w:p w:rsidR="0030672E" w:rsidRPr="00176341" w:rsidRDefault="0030672E" w:rsidP="0030672E">
      <w:pPr>
        <w:pStyle w:val="Prrafodelista"/>
        <w:numPr>
          <w:ilvl w:val="0"/>
          <w:numId w:val="3"/>
        </w:numPr>
        <w:rPr>
          <w:rFonts w:ascii="Arial" w:hAnsi="Arial" w:cs="Arial"/>
        </w:rPr>
      </w:pPr>
      <w:r w:rsidRPr="00176341">
        <w:rPr>
          <w:rFonts w:ascii="Arial" w:hAnsi="Arial" w:cs="Arial"/>
        </w:rPr>
        <w:t>La Vocalía Ejecutiva Distrital, y</w:t>
      </w:r>
    </w:p>
    <w:p w:rsidR="0030672E" w:rsidRPr="00176341" w:rsidRDefault="0030672E" w:rsidP="0030672E">
      <w:pPr>
        <w:pStyle w:val="Prrafodelista"/>
        <w:numPr>
          <w:ilvl w:val="0"/>
          <w:numId w:val="3"/>
        </w:numPr>
        <w:rPr>
          <w:rFonts w:ascii="Arial" w:hAnsi="Arial" w:cs="Arial"/>
        </w:rPr>
      </w:pPr>
      <w:r w:rsidRPr="00176341">
        <w:rPr>
          <w:rFonts w:ascii="Arial" w:hAnsi="Arial" w:cs="Arial"/>
        </w:rPr>
        <w:t>El Consejo Electoral Distrital.</w:t>
      </w:r>
    </w:p>
    <w:p w:rsidR="0030672E" w:rsidRPr="00176341" w:rsidRDefault="0030672E" w:rsidP="0030672E">
      <w:pPr>
        <w:pStyle w:val="Ttulo2"/>
        <w:rPr>
          <w:rFonts w:ascii="Arial" w:hAnsi="Arial" w:cs="Arial"/>
          <w:color w:val="auto"/>
          <w:sz w:val="22"/>
          <w:szCs w:val="22"/>
        </w:rPr>
      </w:pPr>
      <w:r w:rsidRPr="00176341">
        <w:rPr>
          <w:rFonts w:ascii="Arial" w:hAnsi="Arial" w:cs="Arial"/>
          <w:color w:val="auto"/>
          <w:sz w:val="22"/>
          <w:szCs w:val="22"/>
        </w:rPr>
        <w:t>Integración de los órganos distritales</w:t>
      </w:r>
    </w:p>
    <w:p w:rsidR="00D83C07" w:rsidRPr="00176341" w:rsidRDefault="00D83C07" w:rsidP="00D83C07">
      <w:pPr>
        <w:rPr>
          <w:rFonts w:ascii="Arial" w:hAnsi="Arial" w:cs="Arial"/>
        </w:rPr>
      </w:pPr>
      <w:r w:rsidRPr="00176341">
        <w:rPr>
          <w:rFonts w:ascii="Arial" w:hAnsi="Arial" w:cs="Arial"/>
        </w:rPr>
        <w:t>Que, conforme a los artículos 124 numeral 1 y 127 numeral 1 de la Ley Electoral, las juntas y los consejos electorales distritales son órganos operativos temporales que se integran para cada proceso electoral. Los primeros de los órganos mencionados se integran con una o un Vocal Ejecutivo, una o un Vocal Secretario y una o un Vocal de Organización Electoral y Educación Cívica; mientras que los segundos se integran con una Consejera o Consejero Presidente, que fungirá a la vez como Vocal Ejecutivo, seis Consejeras y Consejeros Electorales y Consejeras y Consejeros Representantes de los partidos políticos. Las o los Vocales Secretario, y de Organización Electoral y Educación Cívica concurrirán a sus sesiones con voz, pero sin voto.</w:t>
      </w:r>
    </w:p>
    <w:p w:rsidR="00D83C07" w:rsidRPr="00176341" w:rsidRDefault="00D83C07" w:rsidP="00D83C07">
      <w:pPr>
        <w:pStyle w:val="Ttulo2"/>
        <w:rPr>
          <w:rFonts w:ascii="Arial" w:hAnsi="Arial" w:cs="Arial"/>
          <w:color w:val="auto"/>
          <w:sz w:val="22"/>
          <w:szCs w:val="22"/>
        </w:rPr>
      </w:pPr>
      <w:r w:rsidRPr="00176341">
        <w:rPr>
          <w:rFonts w:ascii="Arial" w:hAnsi="Arial" w:cs="Arial"/>
          <w:color w:val="auto"/>
          <w:sz w:val="22"/>
          <w:szCs w:val="22"/>
        </w:rPr>
        <w:t>Elección por distritos judiciales</w:t>
      </w:r>
    </w:p>
    <w:p w:rsidR="00D83C07" w:rsidRPr="00176341" w:rsidRDefault="00D83C07" w:rsidP="00D83C07">
      <w:pPr>
        <w:rPr>
          <w:rFonts w:ascii="Arial" w:hAnsi="Arial" w:cs="Arial"/>
        </w:rPr>
      </w:pPr>
      <w:r w:rsidRPr="00176341">
        <w:rPr>
          <w:rFonts w:ascii="Arial" w:hAnsi="Arial" w:cs="Arial"/>
        </w:rPr>
        <w:t>Que, el artículo 400 numeral 1 de la Ley Electoral dispone que, en el mes de diciembre del año previo al de la elección, el Órgano de Administración Judicial remitirá al Instituto la división del territorio estatal por distrito judicial, indicando el número y materia del Tribunal o Juzgados que tengan residencia en cada distrito judicial, y la sede de los juzgados regionales. En caso de que el Órgano de Administración Judicial no remita dicha información, el Instituto determinará lo conducente con la información pública que disponga.</w:t>
      </w:r>
    </w:p>
    <w:p w:rsidR="00D83C07" w:rsidRPr="00176341" w:rsidRDefault="00D83C07" w:rsidP="00D83C07">
      <w:pPr>
        <w:rPr>
          <w:rFonts w:ascii="Arial" w:hAnsi="Arial" w:cs="Arial"/>
        </w:rPr>
      </w:pPr>
      <w:r w:rsidRPr="00176341">
        <w:rPr>
          <w:rFonts w:ascii="Arial" w:hAnsi="Arial" w:cs="Arial"/>
        </w:rPr>
        <w:t xml:space="preserve">No obstante, debido a que el Órgano de Administración Judicial iniciará sus funciones hasta en la fecha en que tomen protesta las Magistradas y Magistrados del Tribunal de </w:t>
      </w:r>
      <w:r w:rsidRPr="00176341">
        <w:rPr>
          <w:rFonts w:ascii="Arial" w:hAnsi="Arial" w:cs="Arial"/>
        </w:rPr>
        <w:lastRenderedPageBreak/>
        <w:t>Disciplina Judicial que emanen del Proceso Electoral Extraordinario, la información a que se refiere el artículo mencionado fue proporcionada por el Consejo de la Judicatura, de conformidad con el artículo quinto transitorio del decreto 080.</w:t>
      </w:r>
    </w:p>
    <w:p w:rsidR="00D83C07" w:rsidRPr="00176341" w:rsidRDefault="00D83C07" w:rsidP="00D83C07">
      <w:pPr>
        <w:pStyle w:val="Ttulo2"/>
        <w:rPr>
          <w:rFonts w:ascii="Arial" w:hAnsi="Arial" w:cs="Arial"/>
          <w:color w:val="auto"/>
          <w:sz w:val="22"/>
          <w:szCs w:val="22"/>
        </w:rPr>
      </w:pPr>
      <w:r w:rsidRPr="00176341">
        <w:rPr>
          <w:rFonts w:ascii="Arial" w:hAnsi="Arial" w:cs="Arial"/>
          <w:color w:val="auto"/>
          <w:sz w:val="22"/>
          <w:szCs w:val="22"/>
        </w:rPr>
        <w:t>Distritos judiciales</w:t>
      </w:r>
    </w:p>
    <w:p w:rsidR="00D83C07" w:rsidRPr="00176341" w:rsidRDefault="00D83C07" w:rsidP="00D83C07">
      <w:pPr>
        <w:rPr>
          <w:rFonts w:ascii="Arial" w:hAnsi="Arial" w:cs="Arial"/>
        </w:rPr>
      </w:pPr>
      <w:r w:rsidRPr="00176341">
        <w:rPr>
          <w:rFonts w:ascii="Arial" w:hAnsi="Arial" w:cs="Arial"/>
        </w:rPr>
        <w:t>Que, de conformidad con el artículo 5 de la Ley Orgánica del Poder Judicial del Estado de Tabasco, para los efectos de la Administración de Justicia, el Estado de Tabasco, se divide en distritos judiciales, mismos que en su conformación variarán como sean necesarios; su jurisdicción territorial comprenderá la que le designe el Consejo de la Judicatura, residiendo en ellos los juzgados que el mismo Consejo autorice, fijándoles la sede y competencia por materia de cada uno de ellos. Los actuales distritos judiciales son:</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Primer distrito. -</w:t>
      </w:r>
      <w:r w:rsidRPr="00176341">
        <w:rPr>
          <w:rFonts w:ascii="Arial" w:hAnsi="Arial" w:cs="Arial"/>
        </w:rPr>
        <w:t xml:space="preserve"> Municipio del Centro con sede en la ciudad de Villahermosa;</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Segundo distrito. -</w:t>
      </w:r>
      <w:r w:rsidRPr="00176341">
        <w:rPr>
          <w:rFonts w:ascii="Arial" w:hAnsi="Arial" w:cs="Arial"/>
        </w:rPr>
        <w:t xml:space="preserve"> Municipio de Centla, con sede en la ciudad de Frontera;</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Tercer distrito. -</w:t>
      </w:r>
      <w:r w:rsidRPr="00176341">
        <w:rPr>
          <w:rFonts w:ascii="Arial" w:hAnsi="Arial" w:cs="Arial"/>
        </w:rPr>
        <w:t xml:space="preserve"> Municipio de Jalpa de Méndez, con sede en la ciudad de Jalpa de Méndez;</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Cuarto distrito. -</w:t>
      </w:r>
      <w:r w:rsidRPr="00176341">
        <w:rPr>
          <w:rFonts w:ascii="Arial" w:hAnsi="Arial" w:cs="Arial"/>
        </w:rPr>
        <w:t xml:space="preserve"> Municipio de Cunduacán, con sede en la ciudad de Cunduacán;</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Quinto distrito. -</w:t>
      </w:r>
      <w:r w:rsidRPr="00176341">
        <w:rPr>
          <w:rFonts w:ascii="Arial" w:hAnsi="Arial" w:cs="Arial"/>
        </w:rPr>
        <w:t xml:space="preserve"> Municipio de Comalcalco, con sede en la ciudad de Comalcalco;</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Sexto distrito. -</w:t>
      </w:r>
      <w:r w:rsidRPr="00176341">
        <w:rPr>
          <w:rFonts w:ascii="Arial" w:hAnsi="Arial" w:cs="Arial"/>
        </w:rPr>
        <w:t xml:space="preserve"> Municipio de Cárdenas, con sede en la ciudad de Cárdenas, con excepción de los poblados y comunidades que corresponden al Décimo Octavo Distrito;</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Séptimo distrito. -</w:t>
      </w:r>
      <w:r w:rsidRPr="00176341">
        <w:rPr>
          <w:rFonts w:ascii="Arial" w:hAnsi="Arial" w:cs="Arial"/>
        </w:rPr>
        <w:t xml:space="preserve"> Municipio de Huimanguillo, con sede en la ciudad de Huimanguillo, con excepción de los poblados y comunidades que corresponden al Décimo Octavo Distrito;</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Octavo distrito. -</w:t>
      </w:r>
      <w:r w:rsidRPr="00176341">
        <w:rPr>
          <w:rFonts w:ascii="Arial" w:hAnsi="Arial" w:cs="Arial"/>
        </w:rPr>
        <w:t xml:space="preserve"> Municipio de Teapa con sede en la ciudad de Teapa;</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Noveno distrito. -</w:t>
      </w:r>
      <w:r w:rsidRPr="00176341">
        <w:rPr>
          <w:rFonts w:ascii="Arial" w:hAnsi="Arial" w:cs="Arial"/>
        </w:rPr>
        <w:t xml:space="preserve"> Municipio de Macuspana con sede en la ciudad de Macuspana;</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Décimo distrito. -</w:t>
      </w:r>
      <w:r w:rsidRPr="00176341">
        <w:rPr>
          <w:rFonts w:ascii="Arial" w:hAnsi="Arial" w:cs="Arial"/>
        </w:rPr>
        <w:t xml:space="preserve"> Municipio de Emiliano Zapata con sede en la ciudad de Emiliano Zapata;</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lastRenderedPageBreak/>
        <w:t>Décimo primer distrito. -</w:t>
      </w:r>
      <w:r w:rsidRPr="00176341">
        <w:rPr>
          <w:rFonts w:ascii="Arial" w:hAnsi="Arial" w:cs="Arial"/>
        </w:rPr>
        <w:t xml:space="preserve"> Municipio de Tenosique, con sede en la ciudad de Tenosique;</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Décimo segundo distrito. -</w:t>
      </w:r>
      <w:r w:rsidRPr="00176341">
        <w:rPr>
          <w:rFonts w:ascii="Arial" w:hAnsi="Arial" w:cs="Arial"/>
        </w:rPr>
        <w:t xml:space="preserve"> Municipio de Paraíso, con sede en la ciudad de Paraíso;</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Décimo tercer distrito. -</w:t>
      </w:r>
      <w:r w:rsidRPr="00176341">
        <w:rPr>
          <w:rFonts w:ascii="Arial" w:hAnsi="Arial" w:cs="Arial"/>
        </w:rPr>
        <w:t xml:space="preserve"> Municipio de Jonuta, con sede en la ciudad de Jonuta;</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Décimo cuarto distrito. -</w:t>
      </w:r>
      <w:r w:rsidRPr="00176341">
        <w:rPr>
          <w:rFonts w:ascii="Arial" w:hAnsi="Arial" w:cs="Arial"/>
        </w:rPr>
        <w:t xml:space="preserve"> Municipio de Balancán, con sede en la ciudad de Balancán;</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Décimo quinto distrito. -</w:t>
      </w:r>
      <w:r w:rsidRPr="00176341">
        <w:rPr>
          <w:rFonts w:ascii="Arial" w:hAnsi="Arial" w:cs="Arial"/>
        </w:rPr>
        <w:t xml:space="preserve"> Municipio de Jalapa, con sede en la ciudad de Jalapa;</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Décimo sexto distrito. -</w:t>
      </w:r>
      <w:r w:rsidRPr="00176341">
        <w:rPr>
          <w:rFonts w:ascii="Arial" w:hAnsi="Arial" w:cs="Arial"/>
        </w:rPr>
        <w:t xml:space="preserve"> Municipio de Nacajuca, con sede en la ciudad de Nacajuca;</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Décimo séptimo distrito. -</w:t>
      </w:r>
      <w:r w:rsidRPr="00176341">
        <w:rPr>
          <w:rFonts w:ascii="Arial" w:hAnsi="Arial" w:cs="Arial"/>
        </w:rPr>
        <w:t xml:space="preserve"> Municipio de Tacotalpa, con sede en la ciudad de Tacotalpa;</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Décimo octavo distrito. -</w:t>
      </w:r>
      <w:r w:rsidRPr="00176341">
        <w:rPr>
          <w:rFonts w:ascii="Arial" w:hAnsi="Arial" w:cs="Arial"/>
        </w:rPr>
        <w:t xml:space="preserve"> Villa la Venta y los Ejidos el Chapo, Francisco Trujillo Gurría, Tres Bocas Segunda Sección, (El Zapotal), Luis Cabrera, La Ceiba Primera y Segunda Sección, Paraíso, Francisco I. Madero, La Cangrejera, Cuauhtémoc, Aquiles Serdán, (La Florida) Primera y Tercera Sección, (Ampliación), </w:t>
      </w:r>
      <w:proofErr w:type="spellStart"/>
      <w:r w:rsidRPr="00176341">
        <w:rPr>
          <w:rFonts w:ascii="Arial" w:hAnsi="Arial" w:cs="Arial"/>
        </w:rPr>
        <w:t>Cuauhtemoczin</w:t>
      </w:r>
      <w:proofErr w:type="spellEnd"/>
      <w:r w:rsidRPr="00176341">
        <w:rPr>
          <w:rFonts w:ascii="Arial" w:hAnsi="Arial" w:cs="Arial"/>
        </w:rPr>
        <w:t xml:space="preserve">, El Barí Primera y Segunda Sección, 5 Presidentes, </w:t>
      </w:r>
      <w:proofErr w:type="spellStart"/>
      <w:r w:rsidRPr="00176341">
        <w:rPr>
          <w:rFonts w:ascii="Arial" w:hAnsi="Arial" w:cs="Arial"/>
        </w:rPr>
        <w:t>Blasillo</w:t>
      </w:r>
      <w:proofErr w:type="spellEnd"/>
      <w:r w:rsidRPr="00176341">
        <w:rPr>
          <w:rFonts w:ascii="Arial" w:hAnsi="Arial" w:cs="Arial"/>
        </w:rPr>
        <w:t xml:space="preserve"> Primera Sección, (Nicolás Bravo), Segunda y Cuarta Sección y José María Morelos, del Municipio de Huimanguillo, Tabasco; y la Villa y Puerto de Sánchez Magallanes, Villa Benito Juárez, Los Ejidos Sinaloa, San Rafael, Alacrán, Ley Federal de Reforma Agraria, Ejido </w:t>
      </w:r>
      <w:proofErr w:type="spellStart"/>
      <w:r w:rsidRPr="00176341">
        <w:rPr>
          <w:rFonts w:ascii="Arial" w:hAnsi="Arial" w:cs="Arial"/>
        </w:rPr>
        <w:t>Ojoxal</w:t>
      </w:r>
      <w:proofErr w:type="spellEnd"/>
      <w:r w:rsidRPr="00176341">
        <w:rPr>
          <w:rFonts w:ascii="Arial" w:hAnsi="Arial" w:cs="Arial"/>
        </w:rPr>
        <w:t xml:space="preserve">, Chicozapote, Buena Vista Primera y Segunda Sección, Ranchería </w:t>
      </w:r>
      <w:proofErr w:type="spellStart"/>
      <w:r w:rsidRPr="00176341">
        <w:rPr>
          <w:rFonts w:ascii="Arial" w:hAnsi="Arial" w:cs="Arial"/>
        </w:rPr>
        <w:t>Manatinero</w:t>
      </w:r>
      <w:proofErr w:type="spellEnd"/>
      <w:r w:rsidRPr="00176341">
        <w:rPr>
          <w:rFonts w:ascii="Arial" w:hAnsi="Arial" w:cs="Arial"/>
        </w:rPr>
        <w:t>, San Ramón, Colonias Pailebot, el Retiro y Congregación el Yucateco, de Cárdenas, Tabasco, con sede en Villa la Venta, Huimanguillo, Tabasco.</w:t>
      </w:r>
    </w:p>
    <w:p w:rsidR="00D83C07" w:rsidRPr="00176341" w:rsidRDefault="00D83C07" w:rsidP="00D83C07">
      <w:pPr>
        <w:pStyle w:val="Prrafodelista"/>
        <w:numPr>
          <w:ilvl w:val="0"/>
          <w:numId w:val="1"/>
        </w:numPr>
        <w:ind w:left="510" w:hanging="510"/>
        <w:contextualSpacing w:val="0"/>
        <w:rPr>
          <w:rFonts w:ascii="Arial" w:hAnsi="Arial" w:cs="Arial"/>
        </w:rPr>
      </w:pPr>
      <w:r w:rsidRPr="00176341">
        <w:rPr>
          <w:rFonts w:ascii="Arial" w:hAnsi="Arial" w:cs="Arial"/>
          <w:b/>
        </w:rPr>
        <w:t>Décimo noveno distrito. -</w:t>
      </w:r>
      <w:r w:rsidRPr="00176341">
        <w:rPr>
          <w:rFonts w:ascii="Arial" w:hAnsi="Arial" w:cs="Arial"/>
        </w:rPr>
        <w:t xml:space="preserve"> Las comunidades siguientes: Los </w:t>
      </w:r>
      <w:proofErr w:type="spellStart"/>
      <w:r w:rsidRPr="00176341">
        <w:rPr>
          <w:rFonts w:ascii="Arial" w:hAnsi="Arial" w:cs="Arial"/>
        </w:rPr>
        <w:t>Bitzales</w:t>
      </w:r>
      <w:proofErr w:type="spellEnd"/>
      <w:r w:rsidRPr="00176341">
        <w:rPr>
          <w:rFonts w:ascii="Arial" w:hAnsi="Arial" w:cs="Arial"/>
        </w:rPr>
        <w:t xml:space="preserve">, Los Naranjos, La Pitahaya, José Galeana, Santos Degollado, Miguel Hidalgo, Cuarta Sección, Limón, Veinte de Noviembre, Galeana, </w:t>
      </w:r>
      <w:proofErr w:type="spellStart"/>
      <w:r w:rsidRPr="00176341">
        <w:rPr>
          <w:rFonts w:ascii="Arial" w:hAnsi="Arial" w:cs="Arial"/>
        </w:rPr>
        <w:t>Cacahuatillo</w:t>
      </w:r>
      <w:proofErr w:type="spellEnd"/>
      <w:r w:rsidRPr="00176341">
        <w:rPr>
          <w:rFonts w:ascii="Arial" w:hAnsi="Arial" w:cs="Arial"/>
        </w:rPr>
        <w:t xml:space="preserve">, José López Portillo, Monte Largo, Villa Benito Juárez, Los Vernet, El Congo, Aquiles Serdán, Villa </w:t>
      </w:r>
      <w:proofErr w:type="spellStart"/>
      <w:r w:rsidRPr="00176341">
        <w:rPr>
          <w:rFonts w:ascii="Arial" w:hAnsi="Arial" w:cs="Arial"/>
        </w:rPr>
        <w:t>Tepetitán</w:t>
      </w:r>
      <w:proofErr w:type="spellEnd"/>
      <w:r w:rsidRPr="00176341">
        <w:rPr>
          <w:rFonts w:ascii="Arial" w:hAnsi="Arial" w:cs="Arial"/>
        </w:rPr>
        <w:t xml:space="preserve">, El Triunfo, El </w:t>
      </w:r>
      <w:proofErr w:type="spellStart"/>
      <w:r w:rsidRPr="00176341">
        <w:rPr>
          <w:rFonts w:ascii="Arial" w:hAnsi="Arial" w:cs="Arial"/>
        </w:rPr>
        <w:t>Chiquihuite</w:t>
      </w:r>
      <w:proofErr w:type="spellEnd"/>
      <w:r w:rsidRPr="00176341">
        <w:rPr>
          <w:rFonts w:ascii="Arial" w:hAnsi="Arial" w:cs="Arial"/>
        </w:rPr>
        <w:t xml:space="preserve">, El Maluco, </w:t>
      </w:r>
      <w:proofErr w:type="spellStart"/>
      <w:r w:rsidRPr="00176341">
        <w:rPr>
          <w:rFonts w:ascii="Arial" w:hAnsi="Arial" w:cs="Arial"/>
        </w:rPr>
        <w:t>Limbano</w:t>
      </w:r>
      <w:proofErr w:type="spellEnd"/>
      <w:r w:rsidRPr="00176341">
        <w:rPr>
          <w:rFonts w:ascii="Arial" w:hAnsi="Arial" w:cs="Arial"/>
        </w:rPr>
        <w:t xml:space="preserve"> </w:t>
      </w:r>
      <w:proofErr w:type="spellStart"/>
      <w:r w:rsidRPr="00176341">
        <w:rPr>
          <w:rFonts w:ascii="Arial" w:hAnsi="Arial" w:cs="Arial"/>
        </w:rPr>
        <w:t>Bladín</w:t>
      </w:r>
      <w:proofErr w:type="spellEnd"/>
      <w:r w:rsidRPr="00176341">
        <w:rPr>
          <w:rFonts w:ascii="Arial" w:hAnsi="Arial" w:cs="Arial"/>
        </w:rPr>
        <w:t>, San Antonio y Ciudad Pemex; todos del municipio de Macuspana, Tabasco.</w:t>
      </w:r>
    </w:p>
    <w:bookmarkEnd w:id="1"/>
    <w:p w:rsidR="0030672E" w:rsidRPr="00176341" w:rsidRDefault="0030672E" w:rsidP="0030672E">
      <w:pPr>
        <w:pStyle w:val="Ttulo2"/>
        <w:rPr>
          <w:rFonts w:ascii="Arial" w:hAnsi="Arial" w:cs="Arial"/>
          <w:color w:val="auto"/>
          <w:sz w:val="22"/>
          <w:szCs w:val="22"/>
        </w:rPr>
      </w:pPr>
      <w:r w:rsidRPr="00176341">
        <w:rPr>
          <w:rFonts w:ascii="Arial" w:hAnsi="Arial" w:cs="Arial"/>
          <w:color w:val="auto"/>
          <w:sz w:val="22"/>
          <w:szCs w:val="22"/>
        </w:rPr>
        <w:lastRenderedPageBreak/>
        <w:t>Sedes distritales</w:t>
      </w:r>
    </w:p>
    <w:p w:rsidR="0030672E" w:rsidRPr="00176341" w:rsidRDefault="0030672E" w:rsidP="0030672E">
      <w:pPr>
        <w:rPr>
          <w:rFonts w:ascii="Arial" w:hAnsi="Arial" w:cs="Arial"/>
        </w:rPr>
      </w:pPr>
      <w:r w:rsidRPr="00176341">
        <w:rPr>
          <w:rFonts w:ascii="Arial" w:hAnsi="Arial" w:cs="Arial"/>
        </w:rPr>
        <w:t xml:space="preserve">Que, de acuerdo con las consideraciones señaladas, los órganos distritales deben instalarse en las cabeceras de los distritos que conforman la entidad. No obstante, para el desarrollo del Proceso Electoral Extraordinario en curso, el legislador previó la instalación </w:t>
      </w:r>
      <w:r w:rsidR="00514183" w:rsidRPr="00176341">
        <w:rPr>
          <w:rFonts w:ascii="Arial" w:hAnsi="Arial" w:cs="Arial"/>
        </w:rPr>
        <w:t>de los Consejos Distritales estrictamente indispensables para la realización de la elección, de conformidad con el artículo 400 numeral 3 de la Ley Electoral.</w:t>
      </w:r>
    </w:p>
    <w:p w:rsidR="0030672E" w:rsidRPr="00176341" w:rsidRDefault="00514183" w:rsidP="0030672E">
      <w:pPr>
        <w:rPr>
          <w:rFonts w:ascii="Arial" w:hAnsi="Arial" w:cs="Arial"/>
        </w:rPr>
      </w:pPr>
      <w:r w:rsidRPr="00176341">
        <w:rPr>
          <w:rFonts w:ascii="Arial" w:hAnsi="Arial" w:cs="Arial"/>
        </w:rPr>
        <w:t xml:space="preserve">Para tal efecto, resulta </w:t>
      </w:r>
      <w:r w:rsidR="009B1A95" w:rsidRPr="00176341">
        <w:rPr>
          <w:rFonts w:ascii="Arial" w:hAnsi="Arial" w:cs="Arial"/>
        </w:rPr>
        <w:t>oportuno</w:t>
      </w:r>
      <w:r w:rsidRPr="00176341">
        <w:rPr>
          <w:rFonts w:ascii="Arial" w:hAnsi="Arial" w:cs="Arial"/>
        </w:rPr>
        <w:t xml:space="preserve"> establecer los criterios y directrices para la ubicación, selección, contratación, adecuación y equipamiento de los inmuebles que servirán de sedes para el funcionamiento de los órganos distritales, los cuales deberán atender los diversos requerimientos que señala el Reglamento de Elecciones, particularmente los relativos a la instalación de las bodegas electorales, pues, considerando que, para el Proceso Electoral Extraordinario no será necesaria la instalación del Programa de Resultados Electorales Preliminares.</w:t>
      </w:r>
    </w:p>
    <w:p w:rsidR="00514183" w:rsidRPr="00176341" w:rsidRDefault="00514183" w:rsidP="0030672E">
      <w:pPr>
        <w:rPr>
          <w:rFonts w:ascii="Arial" w:hAnsi="Arial" w:cs="Arial"/>
        </w:rPr>
      </w:pPr>
      <w:r w:rsidRPr="00176341">
        <w:rPr>
          <w:rFonts w:ascii="Arial" w:hAnsi="Arial" w:cs="Arial"/>
        </w:rPr>
        <w:t>En ese sentido, el apartado 1 del anexo 5 del Reglamento de Elecciones establece que se debe garantizar que los espacios que se destinen como bodegas electorales cuenten con las condiciones necesarias para salvaguardar la seguridad de los documentos electorales, especialmente de las boletas, previendo en su caso, que dicho espacio tenga cabida para el resguardo de los materiales electorales, aunque no necesariamente deba ser el mismo lugar físico.</w:t>
      </w:r>
    </w:p>
    <w:p w:rsidR="00514183" w:rsidRPr="00176341" w:rsidRDefault="00514183" w:rsidP="0030672E">
      <w:pPr>
        <w:rPr>
          <w:rFonts w:ascii="Arial" w:hAnsi="Arial" w:cs="Arial"/>
        </w:rPr>
      </w:pPr>
      <w:r w:rsidRPr="00176341">
        <w:rPr>
          <w:rFonts w:ascii="Arial" w:hAnsi="Arial" w:cs="Arial"/>
        </w:rPr>
        <w:t>Además, se debe considerar como acondicionamiento de las bodegas electorales, los trabajos que se realizan de manera preventiva y/o correctiva para mantener los inmuebles en condiciones óptimas, para almacenar con seguridad las boletas electorales, el resto de la documentación y los materiales electorales.</w:t>
      </w:r>
    </w:p>
    <w:p w:rsidR="00514183" w:rsidRPr="00176341" w:rsidRDefault="00514183" w:rsidP="00514183">
      <w:pPr>
        <w:rPr>
          <w:rFonts w:ascii="Arial" w:hAnsi="Arial" w:cs="Arial"/>
        </w:rPr>
      </w:pPr>
      <w:r w:rsidRPr="00176341">
        <w:rPr>
          <w:rFonts w:ascii="Arial" w:hAnsi="Arial" w:cs="Arial"/>
        </w:rPr>
        <w:t xml:space="preserve">Para la instalación de las bodegas electorales, se deberá considerar primero una ubicación apropiada, observando los siguientes aspectos:  </w:t>
      </w:r>
    </w:p>
    <w:p w:rsidR="00514183" w:rsidRPr="00176341" w:rsidRDefault="00514183" w:rsidP="00514183">
      <w:pPr>
        <w:pStyle w:val="Prrafodelista"/>
        <w:numPr>
          <w:ilvl w:val="0"/>
          <w:numId w:val="5"/>
        </w:numPr>
        <w:ind w:left="510" w:hanging="510"/>
        <w:contextualSpacing w:val="0"/>
        <w:rPr>
          <w:rFonts w:ascii="Arial" w:hAnsi="Arial" w:cs="Arial"/>
        </w:rPr>
      </w:pPr>
      <w:r w:rsidRPr="00176341">
        <w:rPr>
          <w:rFonts w:ascii="Arial" w:hAnsi="Arial" w:cs="Arial"/>
        </w:rPr>
        <w:t xml:space="preserve">Estar alejada y evitar colindancias con fuentes potenciales de incendios o explosiones, como gasolineras, gaseras, gasoductos, fábricas o bodegas de veladoras, cartón, papel, colchones, productos químicos inflamables, etc. </w:t>
      </w:r>
    </w:p>
    <w:p w:rsidR="00514183" w:rsidRPr="00176341" w:rsidRDefault="00514183" w:rsidP="00514183">
      <w:pPr>
        <w:pStyle w:val="Prrafodelista"/>
        <w:numPr>
          <w:ilvl w:val="0"/>
          <w:numId w:val="5"/>
        </w:numPr>
        <w:ind w:left="510" w:hanging="510"/>
        <w:contextualSpacing w:val="0"/>
        <w:rPr>
          <w:rFonts w:ascii="Arial" w:hAnsi="Arial" w:cs="Arial"/>
        </w:rPr>
      </w:pPr>
      <w:r w:rsidRPr="00176341">
        <w:rPr>
          <w:rFonts w:ascii="Arial" w:hAnsi="Arial" w:cs="Arial"/>
        </w:rPr>
        <w:t xml:space="preserve">Estar retirada de cuerpos de agua que pudieran tener una creciente por exceso de lluvias, como son los ríos, presas y lagunas. </w:t>
      </w:r>
    </w:p>
    <w:p w:rsidR="00514183" w:rsidRPr="00176341" w:rsidRDefault="00514183" w:rsidP="00514183">
      <w:pPr>
        <w:pStyle w:val="Prrafodelista"/>
        <w:numPr>
          <w:ilvl w:val="0"/>
          <w:numId w:val="5"/>
        </w:numPr>
        <w:ind w:left="510" w:hanging="510"/>
        <w:contextualSpacing w:val="0"/>
        <w:rPr>
          <w:rFonts w:ascii="Arial" w:hAnsi="Arial" w:cs="Arial"/>
        </w:rPr>
      </w:pPr>
      <w:r w:rsidRPr="00176341">
        <w:rPr>
          <w:rFonts w:ascii="Arial" w:hAnsi="Arial" w:cs="Arial"/>
        </w:rPr>
        <w:t xml:space="preserve">Estar provista de un buen sistema de drenaje, dentro del inmueble y en la vía pública. </w:t>
      </w:r>
    </w:p>
    <w:p w:rsidR="00514183" w:rsidRPr="00176341" w:rsidRDefault="00514183" w:rsidP="00514183">
      <w:pPr>
        <w:pStyle w:val="Prrafodelista"/>
        <w:numPr>
          <w:ilvl w:val="0"/>
          <w:numId w:val="5"/>
        </w:numPr>
        <w:ind w:left="510" w:hanging="510"/>
        <w:contextualSpacing w:val="0"/>
        <w:rPr>
          <w:rFonts w:ascii="Arial" w:hAnsi="Arial" w:cs="Arial"/>
        </w:rPr>
      </w:pPr>
      <w:r w:rsidRPr="00176341">
        <w:rPr>
          <w:rFonts w:ascii="Arial" w:hAnsi="Arial" w:cs="Arial"/>
        </w:rPr>
        <w:lastRenderedPageBreak/>
        <w:t xml:space="preserve">Contar con un nivel de piso por arriba del nivel del piso exterior, lo que reducirá riesgos en caso de inundación. </w:t>
      </w:r>
    </w:p>
    <w:p w:rsidR="00514183" w:rsidRPr="00176341" w:rsidRDefault="00514183" w:rsidP="00514183">
      <w:pPr>
        <w:rPr>
          <w:rFonts w:ascii="Arial" w:hAnsi="Arial" w:cs="Arial"/>
        </w:rPr>
      </w:pPr>
      <w:r w:rsidRPr="00176341">
        <w:rPr>
          <w:rFonts w:ascii="Arial" w:hAnsi="Arial" w:cs="Arial"/>
        </w:rPr>
        <w:t>De forma complementaria se establece la obligación de verificar, previo a su uso, las condiciones en que se encuentran las instalaciones, para detectar humedad, filtraciones de agua, cortos circuitos, afectaciones estructurales evidentes, o cualquier otro aspecto que ponga en riesgo la documentación y/o el material electoral, elaborando un diagnóstico de las necesidades de acondicionamiento de la bodega con base en la revisión física de los siguientes aspectos: a) instalaciones eléctricas, b) techos, c) drenaje pluvial, d) instalaciones sanitarias, e) ventanas, f) muros, g) cerraduras, y h) pisos.</w:t>
      </w:r>
    </w:p>
    <w:p w:rsidR="00514183" w:rsidRPr="00176341" w:rsidRDefault="00514183" w:rsidP="00514183">
      <w:pPr>
        <w:rPr>
          <w:rFonts w:ascii="Arial" w:hAnsi="Arial" w:cs="Arial"/>
        </w:rPr>
      </w:pPr>
      <w:r w:rsidRPr="00176341">
        <w:rPr>
          <w:rFonts w:ascii="Arial" w:hAnsi="Arial" w:cs="Arial"/>
        </w:rPr>
        <w:t>Por su parte, el artículo 389 numeral 3 del Reglamento de Elecciones dispone que, como parte del proceso de planeación, se deberá considerar la habilitación de los espacios disponibles al interior o anexos al inmueble distrital para la realización de los recuentos, así como para garantizar el traslado oportuno y seguro de los paquetes electorales.</w:t>
      </w:r>
    </w:p>
    <w:p w:rsidR="00514183" w:rsidRPr="00176341" w:rsidRDefault="00514183" w:rsidP="00514183">
      <w:pPr>
        <w:rPr>
          <w:rFonts w:ascii="Arial" w:hAnsi="Arial" w:cs="Arial"/>
        </w:rPr>
      </w:pPr>
      <w:r w:rsidRPr="00176341">
        <w:rPr>
          <w:rFonts w:ascii="Arial" w:hAnsi="Arial" w:cs="Arial"/>
        </w:rPr>
        <w:t>Conforme a las disposiciones señaladas, los inmuebles en los que se instalen los órganos desconcentrados, además de los requerimientos propios para el personal, deben incluir los espacios físicos necesarios para el desarrollo y operación de las bodegas electorales, y en su caso, para el recuento y traslado de los paquetes electorales.</w:t>
      </w:r>
    </w:p>
    <w:p w:rsidR="00514183" w:rsidRPr="00176341" w:rsidRDefault="00514183" w:rsidP="00514183">
      <w:pPr>
        <w:pStyle w:val="Ttulo2"/>
        <w:rPr>
          <w:rFonts w:ascii="Arial" w:hAnsi="Arial" w:cs="Arial"/>
          <w:color w:val="auto"/>
          <w:sz w:val="22"/>
          <w:szCs w:val="22"/>
        </w:rPr>
      </w:pPr>
      <w:r w:rsidRPr="00176341">
        <w:rPr>
          <w:rFonts w:ascii="Arial" w:hAnsi="Arial" w:cs="Arial"/>
          <w:color w:val="auto"/>
          <w:sz w:val="22"/>
          <w:szCs w:val="22"/>
        </w:rPr>
        <w:t>Propuesta de Manual</w:t>
      </w:r>
    </w:p>
    <w:p w:rsidR="00514183" w:rsidRPr="00176341" w:rsidRDefault="00514183" w:rsidP="00514183">
      <w:pPr>
        <w:rPr>
          <w:rFonts w:ascii="Arial" w:hAnsi="Arial" w:cs="Arial"/>
        </w:rPr>
      </w:pPr>
      <w:r w:rsidRPr="00176341">
        <w:rPr>
          <w:rFonts w:ascii="Arial" w:hAnsi="Arial" w:cs="Arial"/>
        </w:rPr>
        <w:t xml:space="preserve">Que, en cumplimiento a las disposiciones señaladas, la Comisión formuló un Manual, en el que se establecen los criterios y directrices para la ubicación, selección, contratación, adecuación y equipamiento de los inmuebles que servirán de sedes para el funcionamiento de las Juntas y Consejos Electorales Distritales que se instalen con motivo del Proceso Electoral </w:t>
      </w:r>
      <w:r w:rsidR="00660222" w:rsidRPr="00176341">
        <w:rPr>
          <w:rFonts w:ascii="Arial" w:hAnsi="Arial" w:cs="Arial"/>
        </w:rPr>
        <w:t xml:space="preserve">Extraordinario </w:t>
      </w:r>
      <w:r w:rsidRPr="00176341">
        <w:rPr>
          <w:rFonts w:ascii="Arial" w:hAnsi="Arial" w:cs="Arial"/>
        </w:rPr>
        <w:t>202</w:t>
      </w:r>
      <w:r w:rsidR="00660222" w:rsidRPr="00176341">
        <w:rPr>
          <w:rFonts w:ascii="Arial" w:hAnsi="Arial" w:cs="Arial"/>
        </w:rPr>
        <w:t>4</w:t>
      </w:r>
      <w:r w:rsidRPr="00176341">
        <w:rPr>
          <w:rFonts w:ascii="Arial" w:hAnsi="Arial" w:cs="Arial"/>
        </w:rPr>
        <w:t xml:space="preserve"> – 202</w:t>
      </w:r>
      <w:r w:rsidR="00660222" w:rsidRPr="00176341">
        <w:rPr>
          <w:rFonts w:ascii="Arial" w:hAnsi="Arial" w:cs="Arial"/>
        </w:rPr>
        <w:t>5.</w:t>
      </w:r>
    </w:p>
    <w:p w:rsidR="00660222" w:rsidRPr="00176341" w:rsidRDefault="00660222" w:rsidP="00660222">
      <w:pPr>
        <w:rPr>
          <w:rFonts w:ascii="Arial" w:hAnsi="Arial" w:cs="Arial"/>
        </w:rPr>
      </w:pPr>
      <w:r w:rsidRPr="00176341">
        <w:rPr>
          <w:rFonts w:ascii="Arial" w:hAnsi="Arial" w:cs="Arial"/>
        </w:rPr>
        <w:t>En el Manual se prevé el procedimiento que deberán observar las distintas áreas vinculadas a su ejecución, además de establecer las características que deben tener los inmuebles destinados para la instalación de los órganos distritales, entre ellas, las necesarias para que éstos desarrollen las sesiones y los cómputos correspondientes, la operatividad de las y los funcionarios que los integran, así como lo relativo a la disposición del material y la documentación electoral derivada de la contienda electoral.</w:t>
      </w:r>
    </w:p>
    <w:p w:rsidR="00660222" w:rsidRPr="00176341" w:rsidRDefault="00660222" w:rsidP="00660222">
      <w:pPr>
        <w:rPr>
          <w:rFonts w:ascii="Arial" w:hAnsi="Arial" w:cs="Arial"/>
        </w:rPr>
      </w:pPr>
      <w:r w:rsidRPr="00176341">
        <w:rPr>
          <w:rFonts w:ascii="Arial" w:hAnsi="Arial" w:cs="Arial"/>
        </w:rPr>
        <w:lastRenderedPageBreak/>
        <w:t>Adicionalmente, se señalan los requerimientos técnicos y operativos que deben reunir los inmuebles, tales como: Red de electrificación, instalación hidráulica, instalación sanitaria, instalación de internet o viabilidad para su instalación, entrada y salida para evacuaciones de emergencia, acceso para carga y descarga de camiones, acceso para personas con discapacidad, piso, paredes y techo de concreto, sin grietas y barda perimetral, preferentemente de concreto.</w:t>
      </w:r>
    </w:p>
    <w:p w:rsidR="00514183" w:rsidRPr="00176341" w:rsidRDefault="00514183" w:rsidP="00660222">
      <w:pPr>
        <w:rPr>
          <w:rFonts w:ascii="Arial" w:hAnsi="Arial" w:cs="Arial"/>
        </w:rPr>
      </w:pPr>
      <w:r w:rsidRPr="00176341">
        <w:rPr>
          <w:rFonts w:ascii="Arial" w:hAnsi="Arial" w:cs="Arial"/>
        </w:rPr>
        <w:t xml:space="preserve">En el caso de las bodegas electorales, </w:t>
      </w:r>
      <w:r w:rsidR="00660222" w:rsidRPr="00176341">
        <w:rPr>
          <w:rFonts w:ascii="Arial" w:hAnsi="Arial" w:cs="Arial"/>
        </w:rPr>
        <w:t xml:space="preserve">el Manual se ajusta a las exigencias señaladas en </w:t>
      </w:r>
      <w:r w:rsidRPr="00176341">
        <w:rPr>
          <w:rFonts w:ascii="Arial" w:hAnsi="Arial" w:cs="Arial"/>
        </w:rPr>
        <w:t>el anexo 5 del Reglamento de Elecciones, los cuales se implementarán de acuerdo con la capacidad presupuestal del Instituto</w:t>
      </w:r>
      <w:r w:rsidR="00660222" w:rsidRPr="00176341">
        <w:rPr>
          <w:rFonts w:ascii="Arial" w:hAnsi="Arial" w:cs="Arial"/>
        </w:rPr>
        <w:t xml:space="preserve">; todo ello, con el objetivo de preservar y garantizar </w:t>
      </w:r>
      <w:r w:rsidRPr="00176341">
        <w:rPr>
          <w:rFonts w:ascii="Arial" w:hAnsi="Arial" w:cs="Arial"/>
        </w:rPr>
        <w:t>la integridad y seguridad de la documentación y el material electoral.</w:t>
      </w:r>
    </w:p>
    <w:p w:rsidR="00660222" w:rsidRPr="00176341" w:rsidRDefault="00514183" w:rsidP="00660222">
      <w:pPr>
        <w:rPr>
          <w:rFonts w:ascii="Arial" w:hAnsi="Arial" w:cs="Arial"/>
        </w:rPr>
      </w:pPr>
      <w:r w:rsidRPr="00176341">
        <w:rPr>
          <w:rFonts w:ascii="Arial" w:hAnsi="Arial" w:cs="Arial"/>
        </w:rPr>
        <w:t xml:space="preserve">Es por lo que, el Manual propuesto </w:t>
      </w:r>
      <w:r w:rsidR="00660222" w:rsidRPr="00176341">
        <w:rPr>
          <w:rFonts w:ascii="Arial" w:hAnsi="Arial" w:cs="Arial"/>
        </w:rPr>
        <w:t>constituye una herramienta de apoyo y guía, con el objetivo primordial de brindar a las personas funcionarias del Instituto, los elementos y directrices necesarias de carácter técnico, operativo y administrativo, que faciliten de manera eficaz y eficiente las actividades correspondientes a la localización, verificación de viabilidad y funcionalidad, contratación, adecuación y equipamiento de los inmuebles susceptibles de ser utilizados como sedes de los órganos distritales, que se instalen de manera temporal con motivo del Proceso Electoral Extraordinario</w:t>
      </w:r>
      <w:r w:rsidR="006665B9" w:rsidRPr="00176341">
        <w:rPr>
          <w:rFonts w:ascii="Arial" w:hAnsi="Arial" w:cs="Arial"/>
        </w:rPr>
        <w:t xml:space="preserve"> o en los subsecuentes.</w:t>
      </w:r>
    </w:p>
    <w:p w:rsidR="00660222" w:rsidRPr="00176341" w:rsidRDefault="00660222" w:rsidP="00660222">
      <w:pPr>
        <w:rPr>
          <w:rFonts w:ascii="Arial" w:hAnsi="Arial" w:cs="Arial"/>
        </w:rPr>
      </w:pPr>
      <w:r w:rsidRPr="00176341">
        <w:rPr>
          <w:rFonts w:ascii="Arial" w:hAnsi="Arial" w:cs="Arial"/>
        </w:rPr>
        <w:t>Sobre la base de las consideraciones señaladas, este Consejo Estatal emite el siguiente:</w:t>
      </w:r>
    </w:p>
    <w:p w:rsidR="00660222" w:rsidRDefault="00660222" w:rsidP="00176341">
      <w:pPr>
        <w:pStyle w:val="Ttulo1"/>
      </w:pPr>
      <w:r w:rsidRPr="00176341">
        <w:t>Acuerdo</w:t>
      </w:r>
    </w:p>
    <w:p w:rsidR="00201849" w:rsidRPr="00176341" w:rsidRDefault="00660222" w:rsidP="00660222">
      <w:pPr>
        <w:rPr>
          <w:rFonts w:ascii="Arial" w:hAnsi="Arial" w:cs="Arial"/>
        </w:rPr>
      </w:pPr>
      <w:r w:rsidRPr="00176341">
        <w:rPr>
          <w:rFonts w:ascii="Arial" w:hAnsi="Arial" w:cs="Arial"/>
          <w:b/>
        </w:rPr>
        <w:t>Primero.</w:t>
      </w:r>
      <w:r w:rsidRPr="00176341">
        <w:rPr>
          <w:rFonts w:ascii="Arial" w:hAnsi="Arial" w:cs="Arial"/>
        </w:rPr>
        <w:t xml:space="preserve"> </w:t>
      </w:r>
      <w:r w:rsidR="00201849" w:rsidRPr="00176341">
        <w:rPr>
          <w:rFonts w:ascii="Arial" w:hAnsi="Arial" w:cs="Arial"/>
        </w:rPr>
        <w:t xml:space="preserve">A propuesta de la Comisión de Organización Electoral y Educación Cívica, </w:t>
      </w:r>
      <w:r w:rsidRPr="00176341">
        <w:rPr>
          <w:rFonts w:ascii="Arial" w:hAnsi="Arial" w:cs="Arial"/>
        </w:rPr>
        <w:t xml:space="preserve">Se aprueba el </w:t>
      </w:r>
      <w:r w:rsidR="00201849" w:rsidRPr="00176341">
        <w:rPr>
          <w:rFonts w:ascii="Arial" w:hAnsi="Arial" w:cs="Arial"/>
        </w:rPr>
        <w:t xml:space="preserve">Manual para la ubicación, selección, contratación, adecuación y equipamiento de los inmuebles </w:t>
      </w:r>
      <w:r w:rsidR="008A51D9" w:rsidRPr="00176341">
        <w:rPr>
          <w:rFonts w:ascii="Arial" w:hAnsi="Arial" w:cs="Arial"/>
        </w:rPr>
        <w:t>que servirán de sedes para el funcionamiento de los órganos distritales que se instalen con motivo del Proceso Electoral Local Extraordinario para la elección de personas juzgadoras del Poder Judicial del Estado de Tabasco 2024 - 2025</w:t>
      </w:r>
      <w:r w:rsidR="00201849" w:rsidRPr="00176341">
        <w:rPr>
          <w:rFonts w:ascii="Arial" w:hAnsi="Arial" w:cs="Arial"/>
        </w:rPr>
        <w:t xml:space="preserve"> anexo al presente acuerdo.</w:t>
      </w:r>
      <w:r w:rsidR="008A51D9" w:rsidRPr="00176341">
        <w:rPr>
          <w:rFonts w:ascii="Arial" w:hAnsi="Arial" w:cs="Arial"/>
        </w:rPr>
        <w:t xml:space="preserve"> </w:t>
      </w:r>
    </w:p>
    <w:p w:rsidR="00075B65" w:rsidRPr="00176341" w:rsidRDefault="00075B65" w:rsidP="00075B65">
      <w:pPr>
        <w:rPr>
          <w:rFonts w:ascii="Arial" w:hAnsi="Arial" w:cs="Arial"/>
        </w:rPr>
      </w:pPr>
      <w:r w:rsidRPr="00176341">
        <w:rPr>
          <w:rFonts w:ascii="Arial" w:hAnsi="Arial" w:cs="Arial"/>
          <w:b/>
        </w:rPr>
        <w:t>Segundo.</w:t>
      </w:r>
      <w:r w:rsidRPr="00176341">
        <w:rPr>
          <w:rFonts w:ascii="Arial" w:hAnsi="Arial" w:cs="Arial"/>
        </w:rPr>
        <w:t xml:space="preserve"> Se instruye a la Secretaría Ejecutiva que haga del conocimiento de las áreas que integran el Instituto, el contenido del presente acuerdo y del Manual aprobado. Asimismo, para que, provea a las áreas involucradas en la ubicación, selección, contratación, adecuación y equipamiento de los inmuebles, lo necesario para su cumplimiento y ejecución.</w:t>
      </w:r>
    </w:p>
    <w:p w:rsidR="00075B65" w:rsidRPr="00176341" w:rsidRDefault="00075B65" w:rsidP="00075B65">
      <w:pPr>
        <w:rPr>
          <w:rFonts w:ascii="Arial" w:hAnsi="Arial" w:cs="Arial"/>
        </w:rPr>
      </w:pPr>
      <w:r w:rsidRPr="00176341">
        <w:rPr>
          <w:rFonts w:ascii="Arial" w:hAnsi="Arial" w:cs="Arial"/>
          <w:b/>
        </w:rPr>
        <w:lastRenderedPageBreak/>
        <w:t>Tercero.</w:t>
      </w:r>
      <w:r w:rsidRPr="00176341">
        <w:rPr>
          <w:rFonts w:ascii="Arial" w:hAnsi="Arial" w:cs="Arial"/>
        </w:rPr>
        <w:t xml:space="preserve"> Asimismo,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075B65" w:rsidRPr="00176341" w:rsidRDefault="00075B65" w:rsidP="00075B65">
      <w:pPr>
        <w:rPr>
          <w:rFonts w:ascii="Arial" w:hAnsi="Arial" w:cs="Arial"/>
        </w:rPr>
      </w:pPr>
      <w:r w:rsidRPr="00176341">
        <w:rPr>
          <w:rFonts w:ascii="Arial" w:hAnsi="Arial" w:cs="Arial"/>
          <w:b/>
        </w:rPr>
        <w:t>Cuarto.</w:t>
      </w:r>
      <w:r w:rsidRPr="00176341">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rsidR="00176341" w:rsidRDefault="00176341" w:rsidP="00075B65">
      <w:pPr>
        <w:rPr>
          <w:rFonts w:ascii="Arial" w:hAnsi="Arial" w:cs="Arial"/>
        </w:rPr>
      </w:pPr>
      <w:r>
        <w:rPr>
          <w:rFonts w:ascii="Arial" w:hAnsi="Arial" w:cs="Arial"/>
        </w:rPr>
        <w:t xml:space="preserve">El presente acuerdo fue aprobado en sesión  extraordinaria efectuada el día treinta de enero del año dos mil veinticinco, por votación unánime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Pr>
          <w:rFonts w:ascii="Arial" w:hAnsi="Arial" w:cs="Arial"/>
        </w:rPr>
        <w:t>Beaurregard</w:t>
      </w:r>
      <w:proofErr w:type="spellEnd"/>
      <w:r>
        <w:rPr>
          <w:rFonts w:ascii="Arial" w:hAnsi="Arial" w:cs="Arial"/>
        </w:rPr>
        <w:t xml:space="preserve">, Mtra. Ruth </w:t>
      </w:r>
      <w:proofErr w:type="spellStart"/>
      <w:r>
        <w:rPr>
          <w:rFonts w:ascii="Arial" w:hAnsi="Arial" w:cs="Arial"/>
        </w:rPr>
        <w:t>Lizette</w:t>
      </w:r>
      <w:proofErr w:type="spellEnd"/>
      <w:r>
        <w:rPr>
          <w:rFonts w:ascii="Arial" w:hAnsi="Arial" w:cs="Arial"/>
        </w:rPr>
        <w:t xml:space="preserve"> Toledo Peral y la Consejera Presidenta, Mtra. Elizabeth Nava Gutiérrez</w:t>
      </w:r>
    </w:p>
    <w:p w:rsidR="00075B65" w:rsidRPr="00176341" w:rsidRDefault="00075B65" w:rsidP="00075B65">
      <w:pPr>
        <w:rPr>
          <w:rFonts w:ascii="Arial" w:hAnsi="Arial" w:cs="Arial"/>
        </w:rPr>
      </w:pPr>
    </w:p>
    <w:p w:rsidR="00A9798C" w:rsidRPr="00176341" w:rsidRDefault="00A9798C" w:rsidP="00075B65">
      <w:pPr>
        <w:rPr>
          <w:rFonts w:ascii="Arial" w:hAnsi="Arial" w:cs="Arial"/>
        </w:rPr>
      </w:pPr>
    </w:p>
    <w:tbl>
      <w:tblPr>
        <w:tblStyle w:val="Tablaconcuadrcula"/>
        <w:tblW w:w="9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257"/>
        <w:gridCol w:w="4580"/>
      </w:tblGrid>
      <w:tr w:rsidR="00176341" w:rsidRPr="00176341" w:rsidTr="00176341">
        <w:trPr>
          <w:trHeight w:val="1139"/>
        </w:trPr>
        <w:tc>
          <w:tcPr>
            <w:tcW w:w="4785" w:type="dxa"/>
          </w:tcPr>
          <w:p w:rsidR="00075B65" w:rsidRPr="00176341" w:rsidRDefault="00075B65" w:rsidP="008F07DE">
            <w:pPr>
              <w:spacing w:after="0" w:line="288" w:lineRule="auto"/>
              <w:jc w:val="center"/>
              <w:rPr>
                <w:rFonts w:ascii="Arial" w:hAnsi="Arial" w:cs="Arial"/>
                <w:b/>
                <w:bCs/>
                <w:sz w:val="22"/>
                <w:szCs w:val="22"/>
              </w:rPr>
            </w:pPr>
            <w:r w:rsidRPr="00176341">
              <w:rPr>
                <w:rFonts w:ascii="Arial" w:hAnsi="Arial" w:cs="Arial"/>
                <w:b/>
                <w:bCs/>
                <w:sz w:val="22"/>
                <w:szCs w:val="22"/>
              </w:rPr>
              <w:t>MTRA. ELIZABETH NAVA GUTIÉRREZ</w:t>
            </w:r>
          </w:p>
          <w:p w:rsidR="00075B65" w:rsidRPr="00176341" w:rsidRDefault="00075B65" w:rsidP="00E9213E">
            <w:pPr>
              <w:spacing w:before="0" w:after="0" w:line="288" w:lineRule="auto"/>
              <w:jc w:val="center"/>
              <w:rPr>
                <w:rFonts w:ascii="Arial" w:hAnsi="Arial" w:cs="Arial"/>
                <w:b/>
                <w:bCs/>
                <w:sz w:val="22"/>
                <w:szCs w:val="22"/>
              </w:rPr>
            </w:pPr>
            <w:r w:rsidRPr="00176341">
              <w:rPr>
                <w:rFonts w:ascii="Arial" w:hAnsi="Arial" w:cs="Arial"/>
                <w:b/>
                <w:bCs/>
                <w:sz w:val="22"/>
                <w:szCs w:val="22"/>
              </w:rPr>
              <w:t>CONSEJERA PRESIDENTA</w:t>
            </w:r>
          </w:p>
        </w:tc>
        <w:tc>
          <w:tcPr>
            <w:tcW w:w="257" w:type="dxa"/>
          </w:tcPr>
          <w:p w:rsidR="00075B65" w:rsidRPr="00176341" w:rsidRDefault="00075B65" w:rsidP="00E9213E">
            <w:pPr>
              <w:spacing w:before="0" w:after="0" w:line="288" w:lineRule="auto"/>
              <w:rPr>
                <w:rFonts w:ascii="Arial" w:hAnsi="Arial" w:cs="Arial"/>
                <w:b/>
                <w:bCs/>
                <w:sz w:val="22"/>
                <w:szCs w:val="22"/>
              </w:rPr>
            </w:pPr>
          </w:p>
        </w:tc>
        <w:tc>
          <w:tcPr>
            <w:tcW w:w="4580" w:type="dxa"/>
          </w:tcPr>
          <w:p w:rsidR="00075B65" w:rsidRPr="00176341" w:rsidRDefault="00075B65" w:rsidP="008F07DE">
            <w:pPr>
              <w:spacing w:after="0" w:line="288" w:lineRule="auto"/>
              <w:jc w:val="center"/>
              <w:rPr>
                <w:rFonts w:ascii="Arial" w:hAnsi="Arial" w:cs="Arial"/>
                <w:b/>
                <w:bCs/>
                <w:sz w:val="22"/>
                <w:szCs w:val="22"/>
              </w:rPr>
            </w:pPr>
            <w:r w:rsidRPr="00176341">
              <w:rPr>
                <w:rFonts w:ascii="Arial" w:hAnsi="Arial" w:cs="Arial"/>
                <w:b/>
                <w:bCs/>
                <w:sz w:val="22"/>
                <w:szCs w:val="22"/>
              </w:rPr>
              <w:t>LIC. JORGE ALBERTO ZAVALA FRÍAS</w:t>
            </w:r>
          </w:p>
          <w:p w:rsidR="00075B65" w:rsidRPr="00176341" w:rsidRDefault="00075B65" w:rsidP="00E9213E">
            <w:pPr>
              <w:spacing w:before="0" w:after="0" w:line="288" w:lineRule="auto"/>
              <w:jc w:val="center"/>
              <w:rPr>
                <w:rFonts w:ascii="Arial" w:hAnsi="Arial" w:cs="Arial"/>
                <w:b/>
                <w:bCs/>
                <w:sz w:val="22"/>
                <w:szCs w:val="22"/>
              </w:rPr>
            </w:pPr>
            <w:r w:rsidRPr="00176341">
              <w:rPr>
                <w:rFonts w:ascii="Arial" w:hAnsi="Arial" w:cs="Arial"/>
                <w:b/>
                <w:bCs/>
                <w:sz w:val="22"/>
                <w:szCs w:val="22"/>
              </w:rPr>
              <w:t>SECRETARIO DEL CONSEJO</w:t>
            </w:r>
          </w:p>
        </w:tc>
      </w:tr>
    </w:tbl>
    <w:p w:rsidR="00075B65" w:rsidRPr="00176341" w:rsidRDefault="00075B65" w:rsidP="00075B65">
      <w:pPr>
        <w:rPr>
          <w:rFonts w:ascii="Arial" w:hAnsi="Arial" w:cs="Arial"/>
        </w:rPr>
      </w:pPr>
      <w:bookmarkStart w:id="2" w:name="_GoBack"/>
      <w:bookmarkEnd w:id="2"/>
    </w:p>
    <w:sectPr w:rsidR="00075B65" w:rsidRPr="00176341" w:rsidSect="00176341">
      <w:headerReference w:type="default" r:id="rId7"/>
      <w:footerReference w:type="default" r:id="rId8"/>
      <w:pgSz w:w="12240" w:h="15840" w:code="1"/>
      <w:pgMar w:top="2977" w:right="2034"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46F" w:rsidRDefault="009E746F" w:rsidP="00262B3D">
      <w:pPr>
        <w:spacing w:before="0" w:after="0" w:line="240" w:lineRule="auto"/>
      </w:pPr>
      <w:r>
        <w:separator/>
      </w:r>
    </w:p>
  </w:endnote>
  <w:endnote w:type="continuationSeparator" w:id="0">
    <w:p w:rsidR="009E746F" w:rsidRDefault="009E746F" w:rsidP="00262B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DCDD9E8-18B2-4B60-81A6-C2A00BFE79B9}"/>
    <w:embedBold r:id="rId2" w:fontKey="{CDF9435E-BCB1-4300-95C3-BA060430920B}"/>
  </w:font>
  <w:font w:name="Exo">
    <w:charset w:val="00"/>
    <w:family w:val="auto"/>
    <w:pitch w:val="variable"/>
    <w:sig w:usb0="A00000EF" w:usb1="4000204B" w:usb2="00000000" w:usb3="00000000" w:csb0="00000193" w:csb1="00000000"/>
    <w:embedRegular r:id="rId3" w:fontKey="{E3BBAE2E-6FA4-4A2D-86B7-B09B33E7FFA2}"/>
    <w:embedBold r:id="rId4" w:fontKey="{6170CBDE-9D99-4104-9918-FE31FE8FDE6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0020B669-7905-4E54-A2E5-FA32C577626E}"/>
    <w:embedItalic r:id="rId6" w:fontKey="{6D9E7925-BEB5-41E5-81A2-48287054A8C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4"/>
        <w:szCs w:val="24"/>
      </w:rPr>
      <w:id w:val="1537084507"/>
      <w:docPartObj>
        <w:docPartGallery w:val="Page Numbers (Top of Page)"/>
        <w:docPartUnique/>
      </w:docPartObj>
    </w:sdtPr>
    <w:sdtEndPr/>
    <w:sdtContent>
      <w:p w:rsidR="00262B3D" w:rsidRPr="00176341" w:rsidRDefault="00262B3D" w:rsidP="00262B3D">
        <w:pPr>
          <w:pStyle w:val="Piedepgina"/>
          <w:jc w:val="right"/>
          <w:rPr>
            <w:rFonts w:ascii="Arial" w:hAnsi="Arial" w:cs="Arial"/>
            <w:color w:val="993366"/>
            <w:sz w:val="24"/>
            <w:szCs w:val="24"/>
          </w:rPr>
        </w:pPr>
        <w:r w:rsidRPr="00176341">
          <w:rPr>
            <w:rFonts w:ascii="Arial" w:hAnsi="Arial" w:cs="Arial"/>
            <w:b/>
            <w:bCs/>
            <w:color w:val="993366"/>
            <w:sz w:val="24"/>
            <w:szCs w:val="24"/>
          </w:rPr>
          <w:t xml:space="preserve">Página </w:t>
        </w:r>
        <w:r w:rsidRPr="00176341">
          <w:rPr>
            <w:rFonts w:ascii="Arial" w:hAnsi="Arial" w:cs="Arial"/>
            <w:b/>
            <w:bCs/>
            <w:color w:val="993366"/>
            <w:sz w:val="24"/>
            <w:szCs w:val="24"/>
          </w:rPr>
          <w:fldChar w:fldCharType="begin"/>
        </w:r>
        <w:r w:rsidRPr="00176341">
          <w:rPr>
            <w:rFonts w:ascii="Arial" w:hAnsi="Arial" w:cs="Arial"/>
            <w:b/>
            <w:bCs/>
            <w:color w:val="993366"/>
            <w:sz w:val="24"/>
            <w:szCs w:val="24"/>
          </w:rPr>
          <w:instrText>PAGE</w:instrText>
        </w:r>
        <w:r w:rsidRPr="00176341">
          <w:rPr>
            <w:rFonts w:ascii="Arial" w:hAnsi="Arial" w:cs="Arial"/>
            <w:b/>
            <w:bCs/>
            <w:color w:val="993366"/>
            <w:sz w:val="24"/>
            <w:szCs w:val="24"/>
          </w:rPr>
          <w:fldChar w:fldCharType="separate"/>
        </w:r>
        <w:r w:rsidR="00216DC9">
          <w:rPr>
            <w:rFonts w:ascii="Arial" w:hAnsi="Arial" w:cs="Arial"/>
            <w:b/>
            <w:bCs/>
            <w:noProof/>
            <w:color w:val="993366"/>
            <w:sz w:val="24"/>
            <w:szCs w:val="24"/>
          </w:rPr>
          <w:t>12</w:t>
        </w:r>
        <w:r w:rsidRPr="00176341">
          <w:rPr>
            <w:rFonts w:ascii="Arial" w:hAnsi="Arial" w:cs="Arial"/>
            <w:b/>
            <w:bCs/>
            <w:color w:val="993366"/>
            <w:sz w:val="24"/>
            <w:szCs w:val="24"/>
          </w:rPr>
          <w:fldChar w:fldCharType="end"/>
        </w:r>
        <w:r w:rsidRPr="00176341">
          <w:rPr>
            <w:rFonts w:ascii="Arial" w:hAnsi="Arial" w:cs="Arial"/>
            <w:b/>
            <w:bCs/>
            <w:color w:val="993366"/>
            <w:sz w:val="24"/>
            <w:szCs w:val="24"/>
          </w:rPr>
          <w:t xml:space="preserve"> | </w:t>
        </w:r>
        <w:r w:rsidRPr="00176341">
          <w:rPr>
            <w:rFonts w:ascii="Arial" w:hAnsi="Arial" w:cs="Arial"/>
            <w:b/>
            <w:bCs/>
            <w:color w:val="993366"/>
            <w:sz w:val="24"/>
            <w:szCs w:val="24"/>
          </w:rPr>
          <w:fldChar w:fldCharType="begin"/>
        </w:r>
        <w:r w:rsidRPr="00176341">
          <w:rPr>
            <w:rFonts w:ascii="Arial" w:hAnsi="Arial" w:cs="Arial"/>
            <w:b/>
            <w:bCs/>
            <w:color w:val="993366"/>
            <w:sz w:val="24"/>
            <w:szCs w:val="24"/>
          </w:rPr>
          <w:instrText>NUMPAGES</w:instrText>
        </w:r>
        <w:r w:rsidRPr="00176341">
          <w:rPr>
            <w:rFonts w:ascii="Arial" w:hAnsi="Arial" w:cs="Arial"/>
            <w:b/>
            <w:bCs/>
            <w:color w:val="993366"/>
            <w:sz w:val="24"/>
            <w:szCs w:val="24"/>
          </w:rPr>
          <w:fldChar w:fldCharType="separate"/>
        </w:r>
        <w:r w:rsidR="00216DC9">
          <w:rPr>
            <w:rFonts w:ascii="Arial" w:hAnsi="Arial" w:cs="Arial"/>
            <w:b/>
            <w:bCs/>
            <w:noProof/>
            <w:color w:val="993366"/>
            <w:sz w:val="24"/>
            <w:szCs w:val="24"/>
          </w:rPr>
          <w:t>12</w:t>
        </w:r>
        <w:r w:rsidRPr="00176341">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46F" w:rsidRDefault="009E746F" w:rsidP="00262B3D">
      <w:pPr>
        <w:spacing w:before="0" w:after="0" w:line="240" w:lineRule="auto"/>
      </w:pPr>
      <w:r>
        <w:separator/>
      </w:r>
    </w:p>
  </w:footnote>
  <w:footnote w:type="continuationSeparator" w:id="0">
    <w:p w:rsidR="009E746F" w:rsidRDefault="009E746F" w:rsidP="00262B3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262B3D" w:rsidTr="00D530F4">
      <w:tc>
        <w:tcPr>
          <w:tcW w:w="1813" w:type="dxa"/>
        </w:tcPr>
        <w:p w:rsidR="00262B3D" w:rsidRDefault="00262B3D" w:rsidP="00262B3D">
          <w:pPr>
            <w:pStyle w:val="Encabezado"/>
          </w:pPr>
          <w:r>
            <w:rPr>
              <w:b/>
              <w:noProof/>
              <w:sz w:val="32"/>
              <w:lang w:eastAsia="es-MX"/>
            </w:rPr>
            <w:drawing>
              <wp:inline distT="0" distB="0" distL="0" distR="0" wp14:anchorId="3B8250E4" wp14:editId="11660B61">
                <wp:extent cx="1014331" cy="1199403"/>
                <wp:effectExtent l="0" t="0" r="0" b="1270"/>
                <wp:docPr id="3" name="Imagen 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rsidR="00262B3D" w:rsidRPr="00176341" w:rsidRDefault="00262B3D" w:rsidP="00262B3D">
          <w:pPr>
            <w:pStyle w:val="Encabezado"/>
            <w:spacing w:before="720"/>
            <w:jc w:val="center"/>
            <w:rPr>
              <w:rFonts w:ascii="Arial" w:hAnsi="Arial" w:cs="Arial"/>
              <w:b/>
              <w:bCs/>
              <w:spacing w:val="-10"/>
              <w:sz w:val="26"/>
              <w:szCs w:val="26"/>
            </w:rPr>
          </w:pPr>
          <w:r w:rsidRPr="00176341">
            <w:rPr>
              <w:rFonts w:ascii="Arial" w:hAnsi="Arial" w:cs="Arial"/>
              <w:b/>
              <w:bCs/>
              <w:spacing w:val="-10"/>
              <w:sz w:val="26"/>
              <w:szCs w:val="26"/>
            </w:rPr>
            <w:t>INSTITUTO ELECTORAL Y DE PARTICIPACIÓN CIUDADANA DE TABASCO</w:t>
          </w:r>
        </w:p>
        <w:p w:rsidR="00262B3D" w:rsidRDefault="00262B3D" w:rsidP="00262B3D">
          <w:pPr>
            <w:pStyle w:val="Encabezado"/>
            <w:spacing w:before="60"/>
            <w:jc w:val="center"/>
          </w:pPr>
          <w:r w:rsidRPr="00176341">
            <w:rPr>
              <w:rFonts w:ascii="Arial" w:hAnsi="Arial" w:cs="Arial"/>
              <w:b/>
              <w:bCs/>
              <w:sz w:val="28"/>
              <w:szCs w:val="28"/>
            </w:rPr>
            <w:t>CONSEJO ESTATAL</w:t>
          </w:r>
        </w:p>
      </w:tc>
      <w:tc>
        <w:tcPr>
          <w:tcW w:w="1560" w:type="dxa"/>
        </w:tcPr>
        <w:p w:rsidR="00262B3D" w:rsidRDefault="00262B3D" w:rsidP="00262B3D">
          <w:pPr>
            <w:pStyle w:val="Encabezado"/>
            <w:spacing w:before="480"/>
            <w:jc w:val="right"/>
          </w:pPr>
          <w:r>
            <w:rPr>
              <w:noProof/>
              <w:lang w:eastAsia="es-MX"/>
            </w:rPr>
            <w:drawing>
              <wp:inline distT="0" distB="0" distL="0" distR="0" wp14:anchorId="12CF45D5" wp14:editId="34B6BBB2">
                <wp:extent cx="921600" cy="756000"/>
                <wp:effectExtent l="0" t="0" r="0" b="6350"/>
                <wp:docPr id="4"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rsidR="00262B3D" w:rsidRPr="007223FB" w:rsidRDefault="00176341" w:rsidP="00176341">
    <w:pPr>
      <w:pStyle w:val="Encabezado"/>
      <w:jc w:val="right"/>
      <w:rPr>
        <w:rFonts w:ascii="Arial" w:hAnsi="Arial" w:cs="Arial"/>
        <w:b/>
        <w:sz w:val="24"/>
        <w:szCs w:val="24"/>
      </w:rPr>
    </w:pPr>
    <w:r w:rsidRPr="007223FB">
      <w:rPr>
        <w:rFonts w:ascii="Arial" w:hAnsi="Arial" w:cs="Arial"/>
        <w:b/>
        <w:sz w:val="24"/>
        <w:szCs w:val="24"/>
      </w:rPr>
      <w:t>CE/2025/008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4612"/>
    <w:multiLevelType w:val="hybridMultilevel"/>
    <w:tmpl w:val="B0CC0C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E44123"/>
    <w:multiLevelType w:val="hybridMultilevel"/>
    <w:tmpl w:val="187A5E22"/>
    <w:lvl w:ilvl="0" w:tplc="B7D299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6412641"/>
    <w:multiLevelType w:val="hybridMultilevel"/>
    <w:tmpl w:val="41FE32B0"/>
    <w:lvl w:ilvl="0" w:tplc="B7D299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9767167"/>
    <w:multiLevelType w:val="hybridMultilevel"/>
    <w:tmpl w:val="A7E0E0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40C2879"/>
    <w:multiLevelType w:val="hybridMultilevel"/>
    <w:tmpl w:val="ABB4B8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D11FE6"/>
    <w:multiLevelType w:val="multilevel"/>
    <w:tmpl w:val="D7C2BD1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C07"/>
    <w:rsid w:val="00031698"/>
    <w:rsid w:val="0007232F"/>
    <w:rsid w:val="00075B65"/>
    <w:rsid w:val="000A6138"/>
    <w:rsid w:val="000A7B72"/>
    <w:rsid w:val="000F7C7E"/>
    <w:rsid w:val="00165B72"/>
    <w:rsid w:val="00176341"/>
    <w:rsid w:val="00201849"/>
    <w:rsid w:val="00216DC9"/>
    <w:rsid w:val="0022774E"/>
    <w:rsid w:val="00262B3D"/>
    <w:rsid w:val="002A782D"/>
    <w:rsid w:val="002C7F44"/>
    <w:rsid w:val="002E0C6E"/>
    <w:rsid w:val="0030672E"/>
    <w:rsid w:val="00311C83"/>
    <w:rsid w:val="00323542"/>
    <w:rsid w:val="00342EF6"/>
    <w:rsid w:val="0039123B"/>
    <w:rsid w:val="00440497"/>
    <w:rsid w:val="00483F0F"/>
    <w:rsid w:val="004925DB"/>
    <w:rsid w:val="004B7E1C"/>
    <w:rsid w:val="00514183"/>
    <w:rsid w:val="00544555"/>
    <w:rsid w:val="005A7058"/>
    <w:rsid w:val="005E5A2C"/>
    <w:rsid w:val="005F3FFD"/>
    <w:rsid w:val="006143BB"/>
    <w:rsid w:val="006536F0"/>
    <w:rsid w:val="00660222"/>
    <w:rsid w:val="006665B9"/>
    <w:rsid w:val="006A433D"/>
    <w:rsid w:val="006C56F3"/>
    <w:rsid w:val="007223FB"/>
    <w:rsid w:val="0084605F"/>
    <w:rsid w:val="00877E3A"/>
    <w:rsid w:val="008A51D9"/>
    <w:rsid w:val="008C1D02"/>
    <w:rsid w:val="008F07DE"/>
    <w:rsid w:val="008F2746"/>
    <w:rsid w:val="00942E3F"/>
    <w:rsid w:val="00954D59"/>
    <w:rsid w:val="009B1A95"/>
    <w:rsid w:val="009D1EA4"/>
    <w:rsid w:val="009D36F1"/>
    <w:rsid w:val="009E746F"/>
    <w:rsid w:val="009F6607"/>
    <w:rsid w:val="00A9798C"/>
    <w:rsid w:val="00AA5DDC"/>
    <w:rsid w:val="00AF630D"/>
    <w:rsid w:val="00B10BD3"/>
    <w:rsid w:val="00B5647B"/>
    <w:rsid w:val="00B67F19"/>
    <w:rsid w:val="00B727E2"/>
    <w:rsid w:val="00BA7D2C"/>
    <w:rsid w:val="00BC7761"/>
    <w:rsid w:val="00C0359B"/>
    <w:rsid w:val="00C83915"/>
    <w:rsid w:val="00CD4EE7"/>
    <w:rsid w:val="00CF5345"/>
    <w:rsid w:val="00D4267A"/>
    <w:rsid w:val="00D83C07"/>
    <w:rsid w:val="00E074B8"/>
    <w:rsid w:val="00E24890"/>
    <w:rsid w:val="00E869E5"/>
    <w:rsid w:val="00E86AF0"/>
    <w:rsid w:val="00E90559"/>
    <w:rsid w:val="00F41F01"/>
    <w:rsid w:val="00FD52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ECA98"/>
  <w15:chartTrackingRefBased/>
  <w15:docId w15:val="{F794E334-1BCA-4788-A8F7-AF10D829A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C07"/>
    <w:pPr>
      <w:spacing w:before="240" w:after="240" w:line="276" w:lineRule="auto"/>
      <w:jc w:val="both"/>
    </w:pPr>
    <w:rPr>
      <w:rFonts w:ascii="Exo" w:hAnsi="Exo"/>
    </w:rPr>
  </w:style>
  <w:style w:type="paragraph" w:styleId="Ttulo1">
    <w:name w:val="heading 1"/>
    <w:basedOn w:val="Normal"/>
    <w:next w:val="Normal"/>
    <w:link w:val="Ttulo1Car"/>
    <w:autoRedefine/>
    <w:uiPriority w:val="9"/>
    <w:qFormat/>
    <w:rsid w:val="00176341"/>
    <w:pPr>
      <w:keepNext/>
      <w:keepLines/>
      <w:numPr>
        <w:numId w:val="6"/>
      </w:numPr>
      <w:spacing w:before="600"/>
      <w:jc w:val="center"/>
      <w:outlineLvl w:val="0"/>
    </w:pPr>
    <w:rPr>
      <w:rFonts w:ascii="Arial" w:eastAsiaTheme="majorEastAsia" w:hAnsi="Arial" w:cs="Arial"/>
      <w:b/>
      <w:sz w:val="24"/>
      <w:szCs w:val="24"/>
    </w:rPr>
  </w:style>
  <w:style w:type="paragraph" w:styleId="Ttulo2">
    <w:name w:val="heading 2"/>
    <w:basedOn w:val="Normal"/>
    <w:next w:val="Normal"/>
    <w:link w:val="Ttulo2Car"/>
    <w:autoRedefine/>
    <w:uiPriority w:val="9"/>
    <w:unhideWhenUsed/>
    <w:qFormat/>
    <w:rsid w:val="009D36F1"/>
    <w:pPr>
      <w:keepNext/>
      <w:keepLines/>
      <w:numPr>
        <w:ilvl w:val="1"/>
        <w:numId w:val="6"/>
      </w:numPr>
      <w:spacing w:before="480"/>
      <w:outlineLvl w:val="1"/>
    </w:pPr>
    <w:rPr>
      <w:rFonts w:eastAsiaTheme="majorEastAsia" w:cstheme="majorBidi"/>
      <w:b/>
      <w:color w:val="2F5496" w:themeColor="accent1" w:themeShade="BF"/>
      <w:sz w:val="24"/>
      <w:szCs w:val="26"/>
    </w:rPr>
  </w:style>
  <w:style w:type="paragraph" w:styleId="Ttulo3">
    <w:name w:val="heading 3"/>
    <w:basedOn w:val="Normal"/>
    <w:next w:val="Normal"/>
    <w:link w:val="Ttulo3Car"/>
    <w:uiPriority w:val="9"/>
    <w:semiHidden/>
    <w:unhideWhenUsed/>
    <w:qFormat/>
    <w:rsid w:val="00AA5DDC"/>
    <w:pPr>
      <w:keepNext/>
      <w:keepLines/>
      <w:numPr>
        <w:ilvl w:val="2"/>
        <w:numId w:val="6"/>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AA5DDC"/>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AA5DDC"/>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AA5DDC"/>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AA5DDC"/>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AA5DDC"/>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A5DDC"/>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6341"/>
    <w:rPr>
      <w:rFonts w:ascii="Arial" w:eastAsiaTheme="majorEastAsia" w:hAnsi="Arial" w:cs="Arial"/>
      <w:b/>
      <w:sz w:val="24"/>
      <w:szCs w:val="24"/>
    </w:rPr>
  </w:style>
  <w:style w:type="character" w:customStyle="1" w:styleId="Ttulo2Car">
    <w:name w:val="Título 2 Car"/>
    <w:basedOn w:val="Fuentedeprrafopredeter"/>
    <w:link w:val="Ttulo2"/>
    <w:uiPriority w:val="9"/>
    <w:rsid w:val="009D36F1"/>
    <w:rPr>
      <w:rFonts w:ascii="Exo" w:eastAsiaTheme="majorEastAsia" w:hAnsi="Exo" w:cstheme="majorBidi"/>
      <w:b/>
      <w:color w:val="2F5496" w:themeColor="accent1" w:themeShade="BF"/>
      <w:sz w:val="24"/>
      <w:szCs w:val="26"/>
    </w:rPr>
  </w:style>
  <w:style w:type="paragraph" w:styleId="Encabezado">
    <w:name w:val="header"/>
    <w:basedOn w:val="Normal"/>
    <w:link w:val="EncabezadoCar"/>
    <w:uiPriority w:val="99"/>
    <w:unhideWhenUsed/>
    <w:rsid w:val="00262B3D"/>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262B3D"/>
    <w:rPr>
      <w:rFonts w:ascii="Exo" w:hAnsi="Exo"/>
    </w:rPr>
  </w:style>
  <w:style w:type="paragraph" w:styleId="Piedepgina">
    <w:name w:val="footer"/>
    <w:basedOn w:val="Normal"/>
    <w:link w:val="PiedepginaCar"/>
    <w:uiPriority w:val="99"/>
    <w:unhideWhenUsed/>
    <w:rsid w:val="00262B3D"/>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262B3D"/>
    <w:rPr>
      <w:rFonts w:ascii="Exo" w:hAnsi="Exo"/>
    </w:rPr>
  </w:style>
  <w:style w:type="table" w:styleId="Tablaconcuadrcula">
    <w:name w:val="Table Grid"/>
    <w:basedOn w:val="Tablanormal"/>
    <w:uiPriority w:val="39"/>
    <w:rsid w:val="00262B3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83C07"/>
    <w:pPr>
      <w:ind w:left="720"/>
      <w:contextualSpacing/>
    </w:pPr>
    <w:rPr>
      <w:lang w:val="es-ES"/>
    </w:rPr>
  </w:style>
  <w:style w:type="character" w:customStyle="1" w:styleId="Ttulo3Car">
    <w:name w:val="Título 3 Car"/>
    <w:basedOn w:val="Fuentedeprrafopredeter"/>
    <w:link w:val="Ttulo3"/>
    <w:uiPriority w:val="9"/>
    <w:semiHidden/>
    <w:rsid w:val="00AA5DDC"/>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AA5DDC"/>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AA5DDC"/>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AA5DDC"/>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AA5DDC"/>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AA5DD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A5DD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c%20Mayo\Documents\Plantillas%20personalizadas%20de%20Office\Acuerdo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Acuerdos</Template>
  <TotalTime>78</TotalTime>
  <Pages>12</Pages>
  <Words>3688</Words>
  <Characters>20285</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52</cp:revision>
  <dcterms:created xsi:type="dcterms:W3CDTF">2025-01-15T18:51:00Z</dcterms:created>
  <dcterms:modified xsi:type="dcterms:W3CDTF">2025-01-30T19:02:00Z</dcterms:modified>
</cp:coreProperties>
</file>