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6B9BD" w14:textId="4DFA905B" w:rsidR="00B94C83" w:rsidRPr="00ED071E" w:rsidRDefault="00ED071E" w:rsidP="00ED071E">
      <w:pPr>
        <w:spacing w:before="0" w:after="360"/>
        <w:rPr>
          <w:rFonts w:ascii="Arial" w:hAnsi="Arial" w:cs="Arial"/>
          <w:b/>
          <w:bCs/>
        </w:rPr>
      </w:pPr>
      <w:r w:rsidRPr="00ED071E">
        <w:rPr>
          <w:rFonts w:ascii="Arial" w:hAnsi="Arial" w:cs="Arial"/>
          <w:b/>
          <w:bCs/>
        </w:rPr>
        <w:t>ACUERDO QUE, A PROPUESTA DE LA COMISIÓN PERMANENTE DE SEGUIMIENTO AL SERVICIO PROFESIONAL ELECTORAL NACIONAL, EMITE EL CONSEJO ESTATAL DEL INSTITUTO ELECTORAL Y DE PARTICIPACIÓN CIUDADANA DE TABASCO, POR EL QUE APRUEBA LA ACTUALIZACIÓN AL PROGRAMA DE INCENTIVOS A PARTIR DEL AÑO 2027 PARA EL EJERCICIO VALORADO 2026 Y LOS SUBSECUENTES, QUE SE OTORGARÁ AL PERSONAL DEL SERVICIO PROFESIONAL ELECTORAL NACIONAL DEL PROPIO INSTITUTO</w:t>
      </w:r>
    </w:p>
    <w:p w14:paraId="798F13EB" w14:textId="77777777" w:rsidR="00B94C83" w:rsidRPr="00ED071E" w:rsidRDefault="00B94C83" w:rsidP="00ED071E">
      <w:pPr>
        <w:rPr>
          <w:rFonts w:ascii="Arial" w:hAnsi="Arial" w:cs="Arial"/>
          <w:sz w:val="22"/>
        </w:rPr>
      </w:pPr>
      <w:r w:rsidRPr="00ED071E">
        <w:rPr>
          <w:rFonts w:ascii="Arial" w:hAnsi="Arial" w:cs="Arial"/>
          <w:sz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5A7162" w:rsidRPr="00ED071E" w14:paraId="4DC5C843" w14:textId="77777777" w:rsidTr="00ED071E">
        <w:trPr>
          <w:trHeight w:val="964"/>
          <w:jc w:val="center"/>
        </w:trPr>
        <w:tc>
          <w:tcPr>
            <w:tcW w:w="2042" w:type="pct"/>
            <w:shd w:val="clear" w:color="auto" w:fill="auto"/>
            <w:vAlign w:val="center"/>
          </w:tcPr>
          <w:p w14:paraId="00FC1583"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Comisión:</w:t>
            </w:r>
          </w:p>
        </w:tc>
        <w:tc>
          <w:tcPr>
            <w:tcW w:w="2958" w:type="pct"/>
            <w:shd w:val="clear" w:color="auto" w:fill="auto"/>
            <w:vAlign w:val="center"/>
          </w:tcPr>
          <w:p w14:paraId="61D1EEDF"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Comisión Permanente de Seguimiento al Servicio Profesional Electoral Nacional del Instituto Electoral y de Participación Ciudadana de Tabasco.</w:t>
            </w:r>
          </w:p>
        </w:tc>
      </w:tr>
      <w:tr w:rsidR="005A7162" w:rsidRPr="00ED071E" w14:paraId="45238F6D" w14:textId="77777777" w:rsidTr="00ED071E">
        <w:trPr>
          <w:trHeight w:val="567"/>
          <w:jc w:val="center"/>
        </w:trPr>
        <w:tc>
          <w:tcPr>
            <w:tcW w:w="2042" w:type="pct"/>
            <w:shd w:val="clear" w:color="auto" w:fill="auto"/>
            <w:vAlign w:val="center"/>
          </w:tcPr>
          <w:p w14:paraId="37A0A32F"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Consejo Estatal:</w:t>
            </w:r>
          </w:p>
        </w:tc>
        <w:tc>
          <w:tcPr>
            <w:tcW w:w="2958" w:type="pct"/>
            <w:shd w:val="clear" w:color="auto" w:fill="auto"/>
            <w:vAlign w:val="center"/>
          </w:tcPr>
          <w:p w14:paraId="28A10AAE"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Consejo Estatal del Instituto Electoral y de Participación Ciudadana de Tabasco.</w:t>
            </w:r>
          </w:p>
        </w:tc>
      </w:tr>
      <w:tr w:rsidR="005A7162" w:rsidRPr="00ED071E" w14:paraId="0BD5BFDF" w14:textId="77777777" w:rsidTr="00ED071E">
        <w:trPr>
          <w:trHeight w:val="567"/>
          <w:jc w:val="center"/>
        </w:trPr>
        <w:tc>
          <w:tcPr>
            <w:tcW w:w="2042" w:type="pct"/>
            <w:shd w:val="clear" w:color="auto" w:fill="auto"/>
            <w:vAlign w:val="center"/>
          </w:tcPr>
          <w:p w14:paraId="004216C1"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Constitución Federal:</w:t>
            </w:r>
          </w:p>
        </w:tc>
        <w:tc>
          <w:tcPr>
            <w:tcW w:w="2958" w:type="pct"/>
            <w:shd w:val="clear" w:color="auto" w:fill="auto"/>
            <w:vAlign w:val="center"/>
          </w:tcPr>
          <w:p w14:paraId="026F888A"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Constitución Política de los Estados Unidos Mexicanos.</w:t>
            </w:r>
          </w:p>
        </w:tc>
      </w:tr>
      <w:tr w:rsidR="005A7162" w:rsidRPr="00ED071E" w14:paraId="0943D2C0" w14:textId="77777777" w:rsidTr="00ED071E">
        <w:trPr>
          <w:trHeight w:val="567"/>
          <w:jc w:val="center"/>
        </w:trPr>
        <w:tc>
          <w:tcPr>
            <w:tcW w:w="2042" w:type="pct"/>
            <w:shd w:val="clear" w:color="auto" w:fill="auto"/>
            <w:vAlign w:val="center"/>
          </w:tcPr>
          <w:p w14:paraId="222E9688"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Constitución Local:</w:t>
            </w:r>
          </w:p>
        </w:tc>
        <w:tc>
          <w:tcPr>
            <w:tcW w:w="2958" w:type="pct"/>
            <w:shd w:val="clear" w:color="auto" w:fill="auto"/>
            <w:vAlign w:val="center"/>
          </w:tcPr>
          <w:p w14:paraId="7051B2C3"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Constitución Política del Estado Libre y Soberano de Tabasco.</w:t>
            </w:r>
          </w:p>
        </w:tc>
      </w:tr>
      <w:tr w:rsidR="005A7162" w:rsidRPr="00ED071E" w14:paraId="5DBF53A8" w14:textId="77777777" w:rsidTr="00ED071E">
        <w:trPr>
          <w:trHeight w:val="794"/>
          <w:jc w:val="center"/>
        </w:trPr>
        <w:tc>
          <w:tcPr>
            <w:tcW w:w="2042" w:type="pct"/>
            <w:shd w:val="clear" w:color="auto" w:fill="auto"/>
            <w:vAlign w:val="center"/>
          </w:tcPr>
          <w:p w14:paraId="09F8BAD6" w14:textId="77777777" w:rsidR="00B94C83" w:rsidRPr="00ED071E" w:rsidRDefault="00B94C83" w:rsidP="00ED071E">
            <w:pPr>
              <w:spacing w:before="0" w:after="0" w:line="240" w:lineRule="auto"/>
              <w:jc w:val="right"/>
              <w:rPr>
                <w:rFonts w:ascii="Arial" w:hAnsi="Arial" w:cs="Arial"/>
                <w:b/>
                <w:bCs/>
                <w:sz w:val="20"/>
                <w:szCs w:val="22"/>
              </w:rPr>
            </w:pPr>
            <w:proofErr w:type="spellStart"/>
            <w:r w:rsidRPr="00ED071E">
              <w:rPr>
                <w:rFonts w:ascii="Arial" w:hAnsi="Arial" w:cs="Arial"/>
                <w:b/>
                <w:bCs/>
                <w:sz w:val="20"/>
                <w:szCs w:val="22"/>
              </w:rPr>
              <w:t>DESPEN</w:t>
            </w:r>
            <w:proofErr w:type="spellEnd"/>
            <w:r w:rsidRPr="00ED071E">
              <w:rPr>
                <w:rFonts w:ascii="Arial" w:hAnsi="Arial" w:cs="Arial"/>
                <w:b/>
                <w:bCs/>
                <w:sz w:val="20"/>
                <w:szCs w:val="22"/>
              </w:rPr>
              <w:t>:</w:t>
            </w:r>
          </w:p>
        </w:tc>
        <w:tc>
          <w:tcPr>
            <w:tcW w:w="2958" w:type="pct"/>
            <w:shd w:val="clear" w:color="auto" w:fill="auto"/>
            <w:vAlign w:val="center"/>
          </w:tcPr>
          <w:p w14:paraId="2624683B"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Dirección Ejecutiva del Servicio Profesional Electoral Nacional del Instituto Nacional Electoral.</w:t>
            </w:r>
          </w:p>
        </w:tc>
      </w:tr>
      <w:tr w:rsidR="005A7162" w:rsidRPr="00ED071E" w14:paraId="06B6042F" w14:textId="77777777" w:rsidTr="00ED071E">
        <w:trPr>
          <w:trHeight w:val="794"/>
          <w:jc w:val="center"/>
        </w:trPr>
        <w:tc>
          <w:tcPr>
            <w:tcW w:w="2042" w:type="pct"/>
            <w:shd w:val="clear" w:color="auto" w:fill="auto"/>
            <w:vAlign w:val="center"/>
          </w:tcPr>
          <w:p w14:paraId="0FF94507"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Estatuto:</w:t>
            </w:r>
          </w:p>
        </w:tc>
        <w:tc>
          <w:tcPr>
            <w:tcW w:w="2958" w:type="pct"/>
            <w:shd w:val="clear" w:color="auto" w:fill="auto"/>
            <w:vAlign w:val="center"/>
          </w:tcPr>
          <w:p w14:paraId="68D9CDB8"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Estatuto del Servicio Profesional Electoral Nacional y del Personal de la Rama Administrativa.</w:t>
            </w:r>
          </w:p>
        </w:tc>
      </w:tr>
      <w:tr w:rsidR="005A7162" w:rsidRPr="00ED071E" w14:paraId="54BBF28B" w14:textId="77777777" w:rsidTr="00ED071E">
        <w:trPr>
          <w:trHeight w:val="567"/>
          <w:jc w:val="center"/>
        </w:trPr>
        <w:tc>
          <w:tcPr>
            <w:tcW w:w="2042" w:type="pct"/>
            <w:shd w:val="clear" w:color="auto" w:fill="auto"/>
            <w:vAlign w:val="center"/>
          </w:tcPr>
          <w:p w14:paraId="0FCB279D"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Instituto:</w:t>
            </w:r>
          </w:p>
        </w:tc>
        <w:tc>
          <w:tcPr>
            <w:tcW w:w="2958" w:type="pct"/>
            <w:shd w:val="clear" w:color="auto" w:fill="auto"/>
            <w:vAlign w:val="center"/>
          </w:tcPr>
          <w:p w14:paraId="7FBB6FC6"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Instituto Electoral y de Participación Ciudadana de Tabasco.</w:t>
            </w:r>
          </w:p>
        </w:tc>
      </w:tr>
      <w:tr w:rsidR="005A7162" w:rsidRPr="00ED071E" w14:paraId="02638F18" w14:textId="77777777" w:rsidTr="00ED071E">
        <w:trPr>
          <w:trHeight w:val="567"/>
          <w:jc w:val="center"/>
        </w:trPr>
        <w:tc>
          <w:tcPr>
            <w:tcW w:w="2042" w:type="pct"/>
            <w:shd w:val="clear" w:color="auto" w:fill="auto"/>
            <w:vAlign w:val="center"/>
          </w:tcPr>
          <w:p w14:paraId="4954A2D3"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Ley Electoral:</w:t>
            </w:r>
          </w:p>
        </w:tc>
        <w:tc>
          <w:tcPr>
            <w:tcW w:w="2958" w:type="pct"/>
            <w:shd w:val="clear" w:color="auto" w:fill="auto"/>
            <w:vAlign w:val="center"/>
          </w:tcPr>
          <w:p w14:paraId="4EF75ACF"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Ley Electoral y de Partidos Políticos del Estado de Tabasco.</w:t>
            </w:r>
          </w:p>
        </w:tc>
      </w:tr>
      <w:tr w:rsidR="005A7162" w:rsidRPr="00ED071E" w14:paraId="58ECD286" w14:textId="77777777" w:rsidTr="00ED071E">
        <w:trPr>
          <w:trHeight w:val="567"/>
          <w:jc w:val="center"/>
        </w:trPr>
        <w:tc>
          <w:tcPr>
            <w:tcW w:w="2042" w:type="pct"/>
            <w:shd w:val="clear" w:color="auto" w:fill="auto"/>
            <w:vAlign w:val="center"/>
          </w:tcPr>
          <w:p w14:paraId="407541AB"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Ley General:</w:t>
            </w:r>
          </w:p>
        </w:tc>
        <w:tc>
          <w:tcPr>
            <w:tcW w:w="2958" w:type="pct"/>
            <w:shd w:val="clear" w:color="auto" w:fill="auto"/>
            <w:vAlign w:val="center"/>
          </w:tcPr>
          <w:p w14:paraId="6D650E91"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Ley General de Instituciones y Procedimientos Electorales.</w:t>
            </w:r>
          </w:p>
        </w:tc>
      </w:tr>
      <w:tr w:rsidR="005A7162" w:rsidRPr="00ED071E" w14:paraId="0245665A" w14:textId="77777777" w:rsidTr="00ED071E">
        <w:trPr>
          <w:trHeight w:val="964"/>
          <w:jc w:val="center"/>
        </w:trPr>
        <w:tc>
          <w:tcPr>
            <w:tcW w:w="2042" w:type="pct"/>
            <w:shd w:val="clear" w:color="auto" w:fill="auto"/>
            <w:vAlign w:val="center"/>
          </w:tcPr>
          <w:p w14:paraId="105556A5"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Lineamientos:</w:t>
            </w:r>
          </w:p>
        </w:tc>
        <w:tc>
          <w:tcPr>
            <w:tcW w:w="2958" w:type="pct"/>
            <w:shd w:val="clear" w:color="auto" w:fill="auto"/>
            <w:vAlign w:val="center"/>
          </w:tcPr>
          <w:p w14:paraId="34E9A400" w14:textId="315CCA9C" w:rsidR="00B94C83" w:rsidRPr="00ED071E" w:rsidRDefault="00695D80" w:rsidP="00ED071E">
            <w:pPr>
              <w:spacing w:before="0" w:after="0" w:line="240" w:lineRule="auto"/>
              <w:rPr>
                <w:rFonts w:ascii="Arial" w:hAnsi="Arial" w:cs="Arial"/>
                <w:sz w:val="20"/>
                <w:szCs w:val="22"/>
              </w:rPr>
            </w:pPr>
            <w:r w:rsidRPr="00ED071E">
              <w:rPr>
                <w:rFonts w:ascii="Arial" w:hAnsi="Arial" w:cs="Arial"/>
                <w:sz w:val="20"/>
                <w:szCs w:val="22"/>
              </w:rPr>
              <w:t>Lineamientos para el otorgamiento de Incentivos al personal del Servicio Profesional Electoral Nacional en el sistema de los Organismos Públicos Locales Electorales.</w:t>
            </w:r>
          </w:p>
        </w:tc>
      </w:tr>
      <w:tr w:rsidR="005A7162" w:rsidRPr="00ED071E" w14:paraId="71BE1B86" w14:textId="77777777" w:rsidTr="00ED071E">
        <w:trPr>
          <w:trHeight w:val="454"/>
          <w:jc w:val="center"/>
        </w:trPr>
        <w:tc>
          <w:tcPr>
            <w:tcW w:w="2042" w:type="pct"/>
            <w:shd w:val="clear" w:color="auto" w:fill="auto"/>
            <w:vAlign w:val="center"/>
          </w:tcPr>
          <w:p w14:paraId="3B742FB6"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Organismo electoral:</w:t>
            </w:r>
          </w:p>
        </w:tc>
        <w:tc>
          <w:tcPr>
            <w:tcW w:w="2958" w:type="pct"/>
            <w:shd w:val="clear" w:color="auto" w:fill="auto"/>
            <w:vAlign w:val="center"/>
          </w:tcPr>
          <w:p w14:paraId="7357289E"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 xml:space="preserve">Organismo(s) público(s) local(es) electoral(es). </w:t>
            </w:r>
          </w:p>
        </w:tc>
      </w:tr>
      <w:tr w:rsidR="005A7162" w:rsidRPr="00ED071E" w14:paraId="013EDAD0" w14:textId="77777777" w:rsidTr="00ED071E">
        <w:trPr>
          <w:trHeight w:val="794"/>
          <w:jc w:val="center"/>
        </w:trPr>
        <w:tc>
          <w:tcPr>
            <w:tcW w:w="2042" w:type="pct"/>
            <w:shd w:val="clear" w:color="auto" w:fill="auto"/>
            <w:vAlign w:val="center"/>
          </w:tcPr>
          <w:p w14:paraId="2532D3B3"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lastRenderedPageBreak/>
              <w:t>Reglamento de Comisiones:</w:t>
            </w:r>
          </w:p>
        </w:tc>
        <w:tc>
          <w:tcPr>
            <w:tcW w:w="2958" w:type="pct"/>
            <w:shd w:val="clear" w:color="auto" w:fill="auto"/>
            <w:vAlign w:val="center"/>
          </w:tcPr>
          <w:p w14:paraId="29F042C9"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Reglamento de Comisiones del Consejo Estatal del Instituto Electoral y de Participación Ciudadana de Tabasco.</w:t>
            </w:r>
          </w:p>
        </w:tc>
      </w:tr>
      <w:tr w:rsidR="005A7162" w:rsidRPr="00ED071E" w14:paraId="62C75445" w14:textId="77777777" w:rsidTr="00ED071E">
        <w:trPr>
          <w:trHeight w:val="567"/>
          <w:jc w:val="center"/>
        </w:trPr>
        <w:tc>
          <w:tcPr>
            <w:tcW w:w="2042" w:type="pct"/>
            <w:shd w:val="clear" w:color="auto" w:fill="auto"/>
            <w:vAlign w:val="center"/>
          </w:tcPr>
          <w:p w14:paraId="635CFD1B"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Secretaría Ejecutiva:</w:t>
            </w:r>
          </w:p>
        </w:tc>
        <w:tc>
          <w:tcPr>
            <w:tcW w:w="2958" w:type="pct"/>
            <w:shd w:val="clear" w:color="auto" w:fill="auto"/>
            <w:vAlign w:val="center"/>
          </w:tcPr>
          <w:p w14:paraId="0166E0B6"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Secretaría Ejecutiva del Instituto Electoral y de Participación Ciudadana de Tabasco.</w:t>
            </w:r>
          </w:p>
        </w:tc>
      </w:tr>
      <w:tr w:rsidR="00B94C83" w:rsidRPr="00ED071E" w14:paraId="11E64964" w14:textId="77777777" w:rsidTr="00ED071E">
        <w:trPr>
          <w:trHeight w:val="794"/>
          <w:jc w:val="center"/>
        </w:trPr>
        <w:tc>
          <w:tcPr>
            <w:tcW w:w="2042" w:type="pct"/>
            <w:shd w:val="clear" w:color="auto" w:fill="auto"/>
            <w:vAlign w:val="center"/>
          </w:tcPr>
          <w:p w14:paraId="13F8D714" w14:textId="77777777" w:rsidR="00B94C83" w:rsidRPr="00ED071E" w:rsidRDefault="00B94C83" w:rsidP="00ED071E">
            <w:pPr>
              <w:spacing w:before="0" w:after="0" w:line="240" w:lineRule="auto"/>
              <w:jc w:val="right"/>
              <w:rPr>
                <w:rFonts w:ascii="Arial" w:hAnsi="Arial" w:cs="Arial"/>
                <w:b/>
                <w:bCs/>
                <w:sz w:val="20"/>
                <w:szCs w:val="22"/>
              </w:rPr>
            </w:pPr>
            <w:r w:rsidRPr="00ED071E">
              <w:rPr>
                <w:rFonts w:ascii="Arial" w:hAnsi="Arial" w:cs="Arial"/>
                <w:b/>
                <w:bCs/>
                <w:sz w:val="20"/>
                <w:szCs w:val="22"/>
              </w:rPr>
              <w:t>Servicio Profesional:</w:t>
            </w:r>
          </w:p>
        </w:tc>
        <w:tc>
          <w:tcPr>
            <w:tcW w:w="2958" w:type="pct"/>
            <w:shd w:val="clear" w:color="auto" w:fill="auto"/>
            <w:vAlign w:val="center"/>
          </w:tcPr>
          <w:p w14:paraId="4C5FCA72" w14:textId="77777777" w:rsidR="00B94C83" w:rsidRPr="00ED071E" w:rsidRDefault="00B94C83" w:rsidP="00ED071E">
            <w:pPr>
              <w:spacing w:before="0" w:after="0" w:line="240" w:lineRule="auto"/>
              <w:rPr>
                <w:rFonts w:ascii="Arial" w:hAnsi="Arial" w:cs="Arial"/>
                <w:sz w:val="20"/>
                <w:szCs w:val="22"/>
              </w:rPr>
            </w:pPr>
            <w:r w:rsidRPr="00ED071E">
              <w:rPr>
                <w:rFonts w:ascii="Arial" w:hAnsi="Arial" w:cs="Arial"/>
                <w:sz w:val="20"/>
                <w:szCs w:val="22"/>
              </w:rPr>
              <w:t>Servicio Profesional Electoral Nacional del Instituto Electoral y de Participación Ciudadana de Tabasco.</w:t>
            </w:r>
          </w:p>
        </w:tc>
      </w:tr>
    </w:tbl>
    <w:p w14:paraId="1744E764" w14:textId="7314A63C" w:rsidR="00B94C83" w:rsidRPr="00ED071E" w:rsidRDefault="00B94C83" w:rsidP="00ED071E">
      <w:pPr>
        <w:pStyle w:val="Ttulo1"/>
        <w:spacing w:before="360"/>
        <w:ind w:left="431" w:hanging="431"/>
        <w:rPr>
          <w:rFonts w:ascii="Arial" w:hAnsi="Arial" w:cs="Arial"/>
          <w:sz w:val="24"/>
        </w:rPr>
      </w:pPr>
      <w:r w:rsidRPr="00ED071E">
        <w:rPr>
          <w:rFonts w:ascii="Arial" w:hAnsi="Arial" w:cs="Arial"/>
          <w:sz w:val="24"/>
        </w:rPr>
        <w:t>Antecedentes</w:t>
      </w:r>
    </w:p>
    <w:p w14:paraId="496DB494"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Fines del Instituto</w:t>
      </w:r>
    </w:p>
    <w:p w14:paraId="10B57606" w14:textId="77777777" w:rsidR="00B94C83" w:rsidRPr="00ED071E" w:rsidRDefault="00B94C83" w:rsidP="00ED071E">
      <w:pPr>
        <w:rPr>
          <w:rFonts w:ascii="Arial" w:hAnsi="Arial" w:cs="Arial"/>
          <w:sz w:val="22"/>
        </w:rPr>
      </w:pPr>
      <w:r w:rsidRPr="00ED071E">
        <w:rPr>
          <w:rFonts w:ascii="Arial" w:hAnsi="Arial" w:cs="Arial"/>
          <w:sz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1C7D7902" w14:textId="77777777" w:rsidR="00B94C83" w:rsidRPr="00ED071E" w:rsidRDefault="00B94C83" w:rsidP="00ED071E">
      <w:pPr>
        <w:rPr>
          <w:rFonts w:ascii="Arial" w:hAnsi="Arial" w:cs="Arial"/>
          <w:sz w:val="22"/>
        </w:rPr>
      </w:pPr>
      <w:r w:rsidRPr="00ED071E">
        <w:rPr>
          <w:rFonts w:ascii="Arial" w:hAnsi="Arial" w:cs="Arial"/>
          <w:sz w:val="22"/>
        </w:rPr>
        <w:t>Además, es responsable de la organización de las elecciones estatales, distritales y municipales, entre ellas la relativa a las personas titulares de las magistraturas del Tribunal de Disciplina Judicial y del Tribunal Superior de Justicia, así como de las Juezas y Jueces del Poder Judicial del Estado.</w:t>
      </w:r>
    </w:p>
    <w:p w14:paraId="1497F761" w14:textId="77777777" w:rsidR="00B94C83" w:rsidRPr="00ED071E" w:rsidRDefault="00B94C83" w:rsidP="00ED071E">
      <w:pPr>
        <w:rPr>
          <w:rFonts w:ascii="Arial" w:hAnsi="Arial" w:cs="Arial"/>
          <w:sz w:val="22"/>
        </w:rPr>
      </w:pPr>
      <w:r w:rsidRPr="00ED071E">
        <w:rPr>
          <w:rFonts w:ascii="Arial" w:hAnsi="Arial" w:cs="Arial"/>
          <w:sz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24F9F9D0"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lastRenderedPageBreak/>
        <w:t>Integración del órgano superior de dirección</w:t>
      </w:r>
    </w:p>
    <w:p w14:paraId="24F17588" w14:textId="77777777" w:rsidR="00B94C83" w:rsidRPr="00ED071E" w:rsidRDefault="00B94C83" w:rsidP="00ED071E">
      <w:pPr>
        <w:rPr>
          <w:rFonts w:ascii="Arial" w:hAnsi="Arial" w:cs="Arial"/>
          <w:sz w:val="22"/>
        </w:rPr>
      </w:pPr>
      <w:r w:rsidRPr="00ED071E">
        <w:rPr>
          <w:rFonts w:ascii="Arial" w:hAnsi="Arial" w:cs="Arial"/>
          <w:sz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5E36BB7F" w14:textId="77777777" w:rsidR="00B94C83" w:rsidRPr="00ED071E" w:rsidRDefault="00B94C83" w:rsidP="00ED071E">
      <w:pPr>
        <w:rPr>
          <w:rFonts w:ascii="Arial" w:hAnsi="Arial" w:cs="Arial"/>
          <w:sz w:val="22"/>
        </w:rPr>
      </w:pPr>
      <w:r w:rsidRPr="00ED071E">
        <w:rPr>
          <w:rFonts w:ascii="Arial" w:hAnsi="Arial" w:cs="Arial"/>
          <w:sz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6B41FEE0"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Integración de la Comisión</w:t>
      </w:r>
    </w:p>
    <w:p w14:paraId="5DDBCD50" w14:textId="77777777" w:rsidR="00B94C83" w:rsidRPr="00ED071E" w:rsidRDefault="00B94C83" w:rsidP="00ED071E">
      <w:pPr>
        <w:rPr>
          <w:rFonts w:ascii="Arial" w:hAnsi="Arial" w:cs="Arial"/>
          <w:sz w:val="22"/>
        </w:rPr>
      </w:pPr>
      <w:r w:rsidRPr="00ED071E">
        <w:rPr>
          <w:rFonts w:ascii="Arial" w:hAnsi="Arial" w:cs="Arial"/>
          <w:sz w:val="22"/>
        </w:rPr>
        <w:t xml:space="preserve">El 4 de octubre de 2024, mediante acuerdo CE/2024/090, el Consejo Estatal modificó la conformación de las Comisiones Permanentes, entre ellas, la relativa a la de Seguimiento al Servicio Profesional, quedando integrada por las Consejeras Electorales, Licda. María Elvia Magaña Sandoval, Licda. Monserrat Martínez </w:t>
      </w:r>
      <w:proofErr w:type="spellStart"/>
      <w:r w:rsidRPr="00ED071E">
        <w:rPr>
          <w:rFonts w:ascii="Arial" w:hAnsi="Arial" w:cs="Arial"/>
          <w:sz w:val="22"/>
        </w:rPr>
        <w:t>Beaurregard</w:t>
      </w:r>
      <w:proofErr w:type="spellEnd"/>
      <w:r w:rsidRPr="00ED071E">
        <w:rPr>
          <w:rFonts w:ascii="Arial" w:hAnsi="Arial" w:cs="Arial"/>
          <w:sz w:val="22"/>
        </w:rPr>
        <w:t xml:space="preserve"> y Licda. Ángela Guadalupe Araujo Segura, ésta última, Presidenta de la Comisión.</w:t>
      </w:r>
    </w:p>
    <w:p w14:paraId="54604C4E"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 xml:space="preserve">Reforma Constitucional </w:t>
      </w:r>
    </w:p>
    <w:p w14:paraId="0D5C28CD" w14:textId="77777777" w:rsidR="00B94C83" w:rsidRPr="00ED071E" w:rsidRDefault="00B94C83" w:rsidP="00ED071E">
      <w:pPr>
        <w:rPr>
          <w:rFonts w:ascii="Arial" w:hAnsi="Arial" w:cs="Arial"/>
          <w:sz w:val="22"/>
        </w:rPr>
      </w:pPr>
      <w:r w:rsidRPr="00ED071E">
        <w:rPr>
          <w:rFonts w:ascii="Arial" w:hAnsi="Arial" w:cs="Arial"/>
          <w:sz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2395F97F" w14:textId="77777777" w:rsidR="00B94C83" w:rsidRPr="00ED071E" w:rsidRDefault="00B94C83" w:rsidP="00ED071E">
      <w:pPr>
        <w:rPr>
          <w:rFonts w:ascii="Arial" w:hAnsi="Arial" w:cs="Arial"/>
          <w:sz w:val="22"/>
        </w:rPr>
      </w:pPr>
      <w:r w:rsidRPr="00ED071E">
        <w:rPr>
          <w:rFonts w:ascii="Arial" w:hAnsi="Arial" w:cs="Arial"/>
          <w:sz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4B913961"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Reforma a la Ley Electoral</w:t>
      </w:r>
    </w:p>
    <w:p w14:paraId="1D531994" w14:textId="77777777" w:rsidR="00B94C83" w:rsidRPr="00ED071E" w:rsidRDefault="00B94C83" w:rsidP="00ED071E">
      <w:pPr>
        <w:rPr>
          <w:rFonts w:ascii="Arial" w:hAnsi="Arial" w:cs="Arial"/>
          <w:sz w:val="22"/>
        </w:rPr>
      </w:pPr>
      <w:r w:rsidRPr="00ED071E">
        <w:rPr>
          <w:rFonts w:ascii="Arial" w:hAnsi="Arial" w:cs="Arial"/>
          <w:sz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1809065B"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Presentación de la propuesta</w:t>
      </w:r>
    </w:p>
    <w:p w14:paraId="2D457E64" w14:textId="2CC5F23A" w:rsidR="00B94C83" w:rsidRPr="00ED071E" w:rsidRDefault="00B94C83" w:rsidP="00ED071E">
      <w:pPr>
        <w:rPr>
          <w:rFonts w:ascii="Arial" w:hAnsi="Arial" w:cs="Arial"/>
          <w:sz w:val="22"/>
        </w:rPr>
      </w:pPr>
      <w:r w:rsidRPr="00ED071E">
        <w:rPr>
          <w:rFonts w:ascii="Arial" w:hAnsi="Arial" w:cs="Arial"/>
          <w:sz w:val="22"/>
        </w:rPr>
        <w:t>El 23 de abril de 2025, la Secretaria Técnica de la Comisión remitió a la Presidencia del Consejo, la propuesta relativa a</w:t>
      </w:r>
      <w:r w:rsidR="001B1DE0" w:rsidRPr="00ED071E">
        <w:rPr>
          <w:rFonts w:ascii="Arial" w:hAnsi="Arial" w:cs="Arial"/>
          <w:sz w:val="22"/>
        </w:rPr>
        <w:t xml:space="preserve"> </w:t>
      </w:r>
      <w:r w:rsidRPr="00ED071E">
        <w:rPr>
          <w:rFonts w:ascii="Arial" w:hAnsi="Arial" w:cs="Arial"/>
          <w:sz w:val="22"/>
        </w:rPr>
        <w:t>l</w:t>
      </w:r>
      <w:r w:rsidR="001B1DE0" w:rsidRPr="00ED071E">
        <w:rPr>
          <w:rFonts w:ascii="Arial" w:hAnsi="Arial" w:cs="Arial"/>
          <w:sz w:val="22"/>
        </w:rPr>
        <w:t xml:space="preserve">a actualización del Programa de Incentivos a partir del año 2027 para el ejercicio valorado 2026 y los subsecuentes, que se otorgará al personal del Servicio Profesional Electoral Nacional del propio Instituto </w:t>
      </w:r>
      <w:r w:rsidRPr="00ED071E">
        <w:rPr>
          <w:rFonts w:ascii="Arial" w:hAnsi="Arial" w:cs="Arial"/>
          <w:sz w:val="22"/>
        </w:rPr>
        <w:t>formulada por dicha Comisión; lo anterior, para efectos de someterlo a la deliberación de este Consejo Estatal.</w:t>
      </w:r>
    </w:p>
    <w:p w14:paraId="5E0E980B" w14:textId="77777777" w:rsidR="00B94C83" w:rsidRPr="00ED071E" w:rsidRDefault="00B94C83" w:rsidP="00ED071E">
      <w:pPr>
        <w:pStyle w:val="Ttulo1"/>
        <w:spacing w:before="360"/>
        <w:ind w:left="431" w:hanging="431"/>
        <w:rPr>
          <w:rFonts w:ascii="Arial" w:hAnsi="Arial" w:cs="Arial"/>
          <w:sz w:val="24"/>
        </w:rPr>
      </w:pPr>
      <w:r w:rsidRPr="00ED071E">
        <w:rPr>
          <w:rFonts w:ascii="Arial" w:hAnsi="Arial" w:cs="Arial"/>
          <w:sz w:val="24"/>
        </w:rPr>
        <w:t>Considerando</w:t>
      </w:r>
    </w:p>
    <w:p w14:paraId="70EBD667"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rPr>
        <w:t xml:space="preserve">Competencia </w:t>
      </w:r>
      <w:r w:rsidRPr="00ED071E">
        <w:rPr>
          <w:rFonts w:ascii="Arial" w:hAnsi="Arial" w:cs="Arial"/>
          <w:color w:val="auto"/>
          <w:sz w:val="22"/>
        </w:rPr>
        <w:t xml:space="preserve">del Consejo Estatal </w:t>
      </w:r>
    </w:p>
    <w:p w14:paraId="228D29A7" w14:textId="77777777" w:rsidR="00B94C83" w:rsidRPr="00ED071E" w:rsidRDefault="00B94C83" w:rsidP="00ED071E">
      <w:pPr>
        <w:rPr>
          <w:rFonts w:ascii="Arial" w:hAnsi="Arial" w:cs="Arial"/>
          <w:sz w:val="22"/>
        </w:rPr>
      </w:pPr>
      <w:r w:rsidRPr="00ED071E">
        <w:rPr>
          <w:rFonts w:ascii="Arial" w:hAnsi="Arial" w:cs="Arial"/>
          <w:sz w:val="22"/>
        </w:rPr>
        <w:t>Que, de conformidad con el artículo 115 numeral 1 fracción I de la Ley Electoral, el Consejo Estatal es competente para aplicar las disposiciones generales, reglas, lineamientos, criterios y formatos que, en ejercicio de las facultades que le confieren la Constitución Federal y la Ley General, establezca el Instituto Nacional Electoral.</w:t>
      </w:r>
    </w:p>
    <w:p w14:paraId="1C83A571" w14:textId="77777777" w:rsidR="00B94C83" w:rsidRPr="00ED071E" w:rsidRDefault="00B94C83" w:rsidP="00ED071E">
      <w:pPr>
        <w:rPr>
          <w:rFonts w:ascii="Arial" w:hAnsi="Arial" w:cs="Arial"/>
          <w:sz w:val="22"/>
        </w:rPr>
      </w:pPr>
      <w:r w:rsidRPr="00ED071E">
        <w:rPr>
          <w:rFonts w:ascii="Arial" w:hAnsi="Arial" w:cs="Arial"/>
          <w:sz w:val="22"/>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016E9541"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Distribución de competencias entre el INE y los organismos electorales</w:t>
      </w:r>
    </w:p>
    <w:p w14:paraId="0A6090BE" w14:textId="77777777" w:rsidR="00B94C83" w:rsidRPr="00ED071E" w:rsidRDefault="00B94C83" w:rsidP="00ED071E">
      <w:pPr>
        <w:rPr>
          <w:rFonts w:ascii="Arial" w:hAnsi="Arial" w:cs="Arial"/>
          <w:sz w:val="22"/>
        </w:rPr>
      </w:pPr>
      <w:r w:rsidRPr="00ED071E">
        <w:rPr>
          <w:rFonts w:ascii="Arial" w:hAnsi="Arial" w:cs="Arial"/>
          <w:sz w:val="22"/>
        </w:rPr>
        <w:t>Que, los artículos 1 y 4 de la Ley General, prevén que dicho ordenamiento es de orden público y de observancia general en el territorio nacional; además, tiene por objeto, entre otros, establecer la distribución de competencias entre la Federación y las entidades federativas, así como la relación entre el INE y los organismos electorales.</w:t>
      </w:r>
    </w:p>
    <w:p w14:paraId="359D905B"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Atribución del Instituto de aplicar reglas, lineamientos, criterios emitidos por el INE</w:t>
      </w:r>
    </w:p>
    <w:p w14:paraId="78B7D566" w14:textId="77777777" w:rsidR="00B94C83" w:rsidRPr="00ED071E" w:rsidRDefault="00B94C83" w:rsidP="00ED071E">
      <w:pPr>
        <w:rPr>
          <w:rFonts w:ascii="Arial" w:hAnsi="Arial" w:cs="Arial"/>
          <w:sz w:val="22"/>
        </w:rPr>
      </w:pPr>
      <w:r w:rsidRPr="00ED071E">
        <w:rPr>
          <w:rFonts w:ascii="Arial" w:hAnsi="Arial" w:cs="Arial"/>
          <w:sz w:val="22"/>
        </w:rPr>
        <w:t>Que, el artículo 104, numeral 1, inciso a), de la Ley General, establece que corresponde a los organismos electorales la aplicación de las disposiciones generales, reglas, lineamientos, criterios y formatos que, determine el INE en ejercicio de las facultades que le confiere la Constitución Federal y dicha Ley.</w:t>
      </w:r>
    </w:p>
    <w:p w14:paraId="5B028B7E" w14:textId="77777777" w:rsidR="006A69C0" w:rsidRPr="00ED071E" w:rsidRDefault="006A69C0" w:rsidP="00ED071E">
      <w:pPr>
        <w:pStyle w:val="Ttulo2"/>
        <w:spacing w:before="240"/>
        <w:rPr>
          <w:rFonts w:ascii="Arial" w:hAnsi="Arial" w:cs="Arial"/>
          <w:color w:val="auto"/>
          <w:sz w:val="22"/>
        </w:rPr>
      </w:pPr>
      <w:r w:rsidRPr="00ED071E">
        <w:rPr>
          <w:rFonts w:ascii="Arial" w:hAnsi="Arial" w:cs="Arial"/>
          <w:color w:val="auto"/>
          <w:sz w:val="22"/>
        </w:rPr>
        <w:t xml:space="preserve">Atribuciones de la Comisión </w:t>
      </w:r>
    </w:p>
    <w:p w14:paraId="0BAE4EEC" w14:textId="77777777" w:rsidR="006A69C0" w:rsidRPr="00ED071E" w:rsidRDefault="006A69C0" w:rsidP="00ED071E">
      <w:pPr>
        <w:rPr>
          <w:rFonts w:ascii="Arial" w:hAnsi="Arial" w:cs="Arial"/>
          <w:sz w:val="22"/>
        </w:rPr>
      </w:pPr>
      <w:r w:rsidRPr="00ED071E">
        <w:rPr>
          <w:rFonts w:ascii="Arial" w:hAnsi="Arial" w:cs="Arial"/>
          <w:sz w:val="22"/>
        </w:rPr>
        <w:t>Que, de acuerdo con el artículo 376, fracción II del Estatuto, el Órgano Superior de Dirección de cada organismo electoral a través de la Comisión de Seguimiento, será la responsable de garantizar la correcta implementación y funcionamiento de los mecanismos del Servicio, bajo la rectoría del INE y conforme las disposiciones de la Constitución, la Ley, el Estatuto y demás ordenamientos aplicables.</w:t>
      </w:r>
    </w:p>
    <w:p w14:paraId="3F82A696"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 xml:space="preserve">Servicio Profesional </w:t>
      </w:r>
    </w:p>
    <w:p w14:paraId="123D9E23" w14:textId="1CF74FB4" w:rsidR="00B94C83" w:rsidRPr="00ED071E" w:rsidRDefault="00B94C83" w:rsidP="00ED071E">
      <w:pPr>
        <w:rPr>
          <w:rFonts w:ascii="Arial" w:hAnsi="Arial" w:cs="Arial"/>
          <w:sz w:val="22"/>
        </w:rPr>
      </w:pPr>
      <w:r w:rsidRPr="00ED071E">
        <w:rPr>
          <w:rFonts w:ascii="Arial" w:hAnsi="Arial" w:cs="Arial"/>
          <w:sz w:val="22"/>
        </w:rPr>
        <w:t>Que, como lo dispone el artículo 41</w:t>
      </w:r>
      <w:r w:rsidR="00D57384" w:rsidRPr="00ED071E">
        <w:rPr>
          <w:rFonts w:ascii="Arial" w:hAnsi="Arial" w:cs="Arial"/>
          <w:sz w:val="22"/>
        </w:rPr>
        <w:t>,</w:t>
      </w:r>
      <w:r w:rsidRPr="00ED071E">
        <w:rPr>
          <w:rFonts w:ascii="Arial" w:hAnsi="Arial" w:cs="Arial"/>
          <w:sz w:val="22"/>
        </w:rPr>
        <w:t xml:space="preserve"> base V, Apartado D de la Constitución Federal, el Servicio Profesional comprende la selección, ingreso, capacitación, profesionalización, promoción, evaluación, rotación, permanencia y disciplina, de los servidores públicos de los órganos ejecutivos y técnicos del INE y de los organismos electorales de las entidades federativas. </w:t>
      </w:r>
    </w:p>
    <w:p w14:paraId="60E86FCB" w14:textId="77777777" w:rsidR="00B94C83" w:rsidRPr="00ED071E" w:rsidRDefault="00B94C83" w:rsidP="00ED071E">
      <w:pPr>
        <w:rPr>
          <w:rFonts w:ascii="Arial" w:hAnsi="Arial" w:cs="Arial"/>
          <w:sz w:val="22"/>
        </w:rPr>
      </w:pPr>
      <w:r w:rsidRPr="00ED071E">
        <w:rPr>
          <w:rFonts w:ascii="Arial" w:hAnsi="Arial" w:cs="Arial"/>
          <w:sz w:val="22"/>
        </w:rPr>
        <w:t>En el caso de la entidad, los artículos 160 y 161 de la Ley Electoral, establecen que, para asegurar el desempeño profesional de las actividades del Instituto Electoral, el INE regulará la organización y funcionamiento del Servicio Profesional, de conformidad con lo establecido por el numeral 41 de la Constitución Federal;  que además, la organización del servicio será regulada por las normas establecidas por la Ley General y por las del Estatuto que apruebe el Consejo  General, en lo relativo al sistema correspondiente a los organismos electorales.</w:t>
      </w:r>
    </w:p>
    <w:p w14:paraId="501598BC"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 xml:space="preserve">Facultad del INE para regular el Servicio Profesional </w:t>
      </w:r>
    </w:p>
    <w:p w14:paraId="679143E7" w14:textId="77777777" w:rsidR="00B94C83" w:rsidRPr="00ED071E" w:rsidRDefault="00B94C83" w:rsidP="00ED071E">
      <w:pPr>
        <w:rPr>
          <w:rFonts w:ascii="Arial" w:hAnsi="Arial" w:cs="Arial"/>
          <w:sz w:val="22"/>
        </w:rPr>
      </w:pPr>
      <w:r w:rsidRPr="00ED071E">
        <w:rPr>
          <w:rFonts w:ascii="Arial" w:hAnsi="Arial" w:cs="Arial"/>
          <w:sz w:val="22"/>
        </w:rPr>
        <w:t>Que de conformidad con lo dispuesto por el artículo 41, párrafo segundo, Base V, Apartado D, párrafos primero y segundo, de la Constitución Federal, corresponde al INE regular la organización y funcionamiento del Servicio Profesional, y que comprende la selección, ingreso, capacitación, profesionalización, promoción, evaluación, rotación, permanencia y disciplina, de los servidores públicos de los órganos ejecutivos y técnicos del Instituto y de los organismos electorales de las entidades federativas.</w:t>
      </w:r>
    </w:p>
    <w:p w14:paraId="4AE6EC6E"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Integración, organización y funcionamiento del Servicio Profesional Electoral Nacional</w:t>
      </w:r>
    </w:p>
    <w:p w14:paraId="180906F0" w14:textId="77777777" w:rsidR="00B94C83" w:rsidRPr="00ED071E" w:rsidRDefault="00B94C83" w:rsidP="00ED071E">
      <w:pPr>
        <w:rPr>
          <w:rFonts w:ascii="Arial" w:hAnsi="Arial" w:cs="Arial"/>
          <w:sz w:val="22"/>
        </w:rPr>
      </w:pPr>
      <w:r w:rsidRPr="00ED071E">
        <w:rPr>
          <w:rFonts w:ascii="Arial" w:hAnsi="Arial" w:cs="Arial"/>
          <w:sz w:val="22"/>
        </w:rPr>
        <w:t>Que, conforme a lo dispuesto por el artículo 202, numerales 1 y 2 de la Ley General, el Servicio Profesional contará con dos sistemas: uno para el INE y otro para los organismos electorales, los cuales estarán integrados por las y los servidores públicos de sus órganos ejecutivos y técnicos; además, para su adecuado funcionamiento, el INE regulará la organización y aplicará los distintos mecanismos del servicio de conformidad con lo dispuesto en el apartado D, de la Base V, del artículo 41, de la Constitución Federal.</w:t>
      </w:r>
    </w:p>
    <w:p w14:paraId="2D5BE9E6" w14:textId="77777777" w:rsidR="00B94C83" w:rsidRPr="00ED071E" w:rsidRDefault="00B94C83" w:rsidP="00ED071E">
      <w:pPr>
        <w:pStyle w:val="Ttulo2"/>
        <w:spacing w:before="240"/>
        <w:rPr>
          <w:rFonts w:ascii="Arial" w:hAnsi="Arial" w:cs="Arial"/>
          <w:color w:val="auto"/>
          <w:sz w:val="22"/>
        </w:rPr>
      </w:pPr>
      <w:r w:rsidRPr="00ED071E">
        <w:rPr>
          <w:rFonts w:ascii="Arial" w:hAnsi="Arial" w:cs="Arial"/>
          <w:color w:val="auto"/>
          <w:sz w:val="22"/>
        </w:rPr>
        <w:t>Servicio Profesional del Sistema de Organismos Electorales</w:t>
      </w:r>
    </w:p>
    <w:p w14:paraId="3A28E5AF" w14:textId="77777777" w:rsidR="00B94C83" w:rsidRPr="00ED071E" w:rsidRDefault="00B94C83" w:rsidP="00ED071E">
      <w:pPr>
        <w:rPr>
          <w:rFonts w:ascii="Arial" w:hAnsi="Arial" w:cs="Arial"/>
          <w:sz w:val="22"/>
        </w:rPr>
      </w:pPr>
      <w:r w:rsidRPr="00ED071E">
        <w:rPr>
          <w:rFonts w:ascii="Arial" w:hAnsi="Arial" w:cs="Arial"/>
          <w:sz w:val="22"/>
        </w:rPr>
        <w:t>Que, el artículo 30, numeral 3 de la Ley General, prevé entre otras cosas, que, para el desempeño de sus actividades, los organismos electorales contarán con un cuerpo de servidores públicos en sus órganos ejecutivos y técnicos, integrados en un Servicio Profesional que se regirá por el Estatuto que al efecto apruebe el Consejo General. Asimismo, a través del Servicio Profesional, los organismos electorales, contendrán los respectivos mecanismos de selección, ingreso, capacitación, profesionalización, promoción, evaluación, rotación, permanencia y disciplina, así como el catálogo general de los cargos y puestos del personal ejecutivo y técnico, correspondiendo su regulación, organización, funcionamiento y rectoría al INE.</w:t>
      </w:r>
    </w:p>
    <w:p w14:paraId="124DFD9F" w14:textId="4C464C47" w:rsidR="00D8350E" w:rsidRPr="00ED071E" w:rsidRDefault="00D8350E" w:rsidP="00ED071E">
      <w:pPr>
        <w:pStyle w:val="Ttulo2"/>
        <w:spacing w:before="240"/>
        <w:rPr>
          <w:rFonts w:ascii="Arial" w:hAnsi="Arial" w:cs="Arial"/>
          <w:color w:val="auto"/>
          <w:sz w:val="22"/>
        </w:rPr>
      </w:pPr>
      <w:r w:rsidRPr="00ED071E">
        <w:rPr>
          <w:rFonts w:ascii="Arial" w:hAnsi="Arial" w:cs="Arial"/>
          <w:color w:val="auto"/>
          <w:sz w:val="22"/>
        </w:rPr>
        <w:t>Incentivos para personal del Servicio Profesional</w:t>
      </w:r>
    </w:p>
    <w:p w14:paraId="035B2770" w14:textId="3FE918F5" w:rsidR="00D8350E" w:rsidRPr="00ED071E" w:rsidRDefault="00D8350E" w:rsidP="00ED071E">
      <w:pPr>
        <w:rPr>
          <w:rFonts w:ascii="Arial" w:hAnsi="Arial" w:cs="Arial"/>
          <w:sz w:val="22"/>
        </w:rPr>
      </w:pPr>
      <w:r w:rsidRPr="00ED071E">
        <w:rPr>
          <w:rFonts w:ascii="Arial" w:hAnsi="Arial" w:cs="Arial"/>
          <w:sz w:val="22"/>
        </w:rPr>
        <w:t>Que, el artículo 438 del Estatuto en correlación con el artículo 16 de los Lineamientos, establece que los incentivos son los reconocimientos, beneficios o remuneraciones individuales o colectivos, que el Instituto podrá otorgar a quienes sean miembros del Servicio que cumplan los méritos y requisitos establecidos.</w:t>
      </w:r>
    </w:p>
    <w:p w14:paraId="5B049661" w14:textId="77777777" w:rsidR="00D8350E" w:rsidRPr="00ED071E" w:rsidRDefault="00D8350E" w:rsidP="00ED071E">
      <w:pPr>
        <w:rPr>
          <w:rFonts w:ascii="Arial" w:hAnsi="Arial" w:cs="Arial"/>
          <w:sz w:val="22"/>
        </w:rPr>
      </w:pPr>
      <w:r w:rsidRPr="00ED071E">
        <w:rPr>
          <w:rFonts w:ascii="Arial" w:hAnsi="Arial" w:cs="Arial"/>
          <w:sz w:val="22"/>
        </w:rPr>
        <w:t xml:space="preserve">En concordancia con los artículos 17, 18 y 19 de los Lineamientos, los reconocimientos son los diplomas y galardones que podrán ser otorgados al personal del Servicio que se distinga por los méritos alcanzados en el ejercicio de sus funciones. Por lo que respecta a los beneficios, estos son los estímulos en especie, que pueden consistir en días de descanso, trabajo a distancia o cualquier otro, finalmente, las retribuciones son los estímulos de carácter estrictamente económico, que el Instituto previo conocimiento de la </w:t>
      </w:r>
      <w:proofErr w:type="spellStart"/>
      <w:r w:rsidRPr="00ED071E">
        <w:rPr>
          <w:rFonts w:ascii="Arial" w:hAnsi="Arial" w:cs="Arial"/>
          <w:sz w:val="22"/>
        </w:rPr>
        <w:t>DESPEN</w:t>
      </w:r>
      <w:proofErr w:type="spellEnd"/>
      <w:r w:rsidRPr="00ED071E">
        <w:rPr>
          <w:rFonts w:ascii="Arial" w:hAnsi="Arial" w:cs="Arial"/>
          <w:sz w:val="22"/>
        </w:rPr>
        <w:t xml:space="preserve"> y la Comisión de Seguimiento podrá otorgar al personal del Servicio.</w:t>
      </w:r>
    </w:p>
    <w:p w14:paraId="5A09E4E6" w14:textId="6509AFE2" w:rsidR="00D8350E" w:rsidRPr="00ED071E" w:rsidRDefault="00D8350E" w:rsidP="00ED071E">
      <w:pPr>
        <w:rPr>
          <w:rFonts w:ascii="Arial" w:hAnsi="Arial" w:cs="Arial"/>
          <w:sz w:val="22"/>
        </w:rPr>
      </w:pPr>
      <w:r w:rsidRPr="00ED071E">
        <w:rPr>
          <w:rFonts w:ascii="Arial" w:hAnsi="Arial" w:cs="Arial"/>
          <w:sz w:val="22"/>
        </w:rPr>
        <w:t>Al respecto, el artículo 439 del Estatuto dispone que el otorgamiento de incentivos estará supeditado al presupuesto disponible y se basará en los principios de méritos, igualdad y oportunidad, así mismo estos serán independientes de la promoción en rangos, así como de las remuneraciones correspondientes al cargo o puesto que se ocupe.</w:t>
      </w:r>
    </w:p>
    <w:p w14:paraId="489F2757" w14:textId="6FC39912" w:rsidR="00D8350E" w:rsidRPr="00ED071E" w:rsidRDefault="00D8350E" w:rsidP="00ED071E">
      <w:pPr>
        <w:rPr>
          <w:rFonts w:ascii="Arial" w:hAnsi="Arial" w:cs="Arial"/>
          <w:sz w:val="22"/>
        </w:rPr>
      </w:pPr>
      <w:r w:rsidRPr="00ED071E">
        <w:rPr>
          <w:rFonts w:ascii="Arial" w:hAnsi="Arial" w:cs="Arial"/>
          <w:sz w:val="22"/>
        </w:rPr>
        <w:t xml:space="preserve">Por su parte, el artículo 440 del Estatuto establece que el órgano superior de dirección en cada organismo electoral aprobará los tipos de incentivos, sus características, los méritos y requisitos para su obtención, el tipo de reconocimientos, beneficios, remuneraciones, criterios de desempate con perspectiva de igualdad de género, así como los procedimientos correspondientes. </w:t>
      </w:r>
    </w:p>
    <w:p w14:paraId="1CB52201" w14:textId="79BB4DAF" w:rsidR="00D8350E" w:rsidRPr="00ED071E" w:rsidRDefault="00D8350E" w:rsidP="00ED071E">
      <w:pPr>
        <w:rPr>
          <w:rFonts w:ascii="Arial" w:hAnsi="Arial" w:cs="Arial"/>
          <w:sz w:val="22"/>
        </w:rPr>
      </w:pPr>
      <w:r w:rsidRPr="00ED071E">
        <w:rPr>
          <w:rFonts w:ascii="Arial" w:hAnsi="Arial" w:cs="Arial"/>
          <w:sz w:val="22"/>
        </w:rPr>
        <w:t xml:space="preserve">La entrega de incentivos estará condicionada a que la o el miembro del Servicio se mantenga en el organismo electoral al momento de su otorgamiento por la Junta Ejecutiva del organismo electoral o equivalente, o en su defecto, por el órgano superior de dirección. </w:t>
      </w:r>
    </w:p>
    <w:p w14:paraId="44227D53" w14:textId="6A4B2653" w:rsidR="00D8350E" w:rsidRPr="00ED071E" w:rsidRDefault="00D8350E" w:rsidP="00ED071E">
      <w:pPr>
        <w:pStyle w:val="Ttulo2"/>
        <w:spacing w:before="240"/>
        <w:rPr>
          <w:rFonts w:ascii="Arial" w:hAnsi="Arial" w:cs="Arial"/>
          <w:color w:val="auto"/>
          <w:sz w:val="22"/>
        </w:rPr>
      </w:pPr>
      <w:r w:rsidRPr="00ED071E">
        <w:rPr>
          <w:rFonts w:ascii="Arial" w:hAnsi="Arial" w:cs="Arial"/>
          <w:color w:val="auto"/>
          <w:sz w:val="22"/>
        </w:rPr>
        <w:t>Programa de incentivos para personal del Servicio Profesional</w:t>
      </w:r>
    </w:p>
    <w:p w14:paraId="6BE63B54" w14:textId="43D5A092" w:rsidR="00D8350E" w:rsidRPr="00ED071E" w:rsidRDefault="00D8350E" w:rsidP="00ED071E">
      <w:pPr>
        <w:rPr>
          <w:rFonts w:ascii="Arial" w:hAnsi="Arial" w:cs="Arial"/>
          <w:sz w:val="22"/>
        </w:rPr>
      </w:pPr>
      <w:r w:rsidRPr="00ED071E">
        <w:rPr>
          <w:rFonts w:ascii="Arial" w:hAnsi="Arial" w:cs="Arial"/>
          <w:sz w:val="22"/>
        </w:rPr>
        <w:t xml:space="preserve">Que, de conformidad con los artículos 12 y 13 de los Lineamientos, el Programa de Incentivos debe aprobarse por el órgano superior de los organismos electorales, previo visto bueno de la </w:t>
      </w:r>
      <w:proofErr w:type="spellStart"/>
      <w:r w:rsidRPr="00ED071E">
        <w:rPr>
          <w:rFonts w:ascii="Arial" w:hAnsi="Arial" w:cs="Arial"/>
          <w:sz w:val="22"/>
        </w:rPr>
        <w:t>DESPEN</w:t>
      </w:r>
      <w:proofErr w:type="spellEnd"/>
      <w:r w:rsidRPr="00ED071E">
        <w:rPr>
          <w:rFonts w:ascii="Arial" w:hAnsi="Arial" w:cs="Arial"/>
          <w:sz w:val="22"/>
        </w:rPr>
        <w:t>.</w:t>
      </w:r>
    </w:p>
    <w:p w14:paraId="62364AE4" w14:textId="7F4C260B" w:rsidR="00D8350E" w:rsidRPr="00ED071E" w:rsidRDefault="00D8350E" w:rsidP="00ED071E">
      <w:pPr>
        <w:rPr>
          <w:rFonts w:ascii="Arial" w:hAnsi="Arial" w:cs="Arial"/>
          <w:sz w:val="22"/>
        </w:rPr>
      </w:pPr>
      <w:r w:rsidRPr="00ED071E">
        <w:rPr>
          <w:rFonts w:ascii="Arial" w:hAnsi="Arial" w:cs="Arial"/>
          <w:sz w:val="22"/>
        </w:rPr>
        <w:t xml:space="preserve">Asimismo, corresponde al Órgano de Enlace, elaborar, modificar, actualizar o ratificar el programa de incentivos del Instituto, para su presentación al órgano superior de dirección, ajustándose a lo establecido </w:t>
      </w:r>
      <w:r w:rsidR="001B10AD" w:rsidRPr="00ED071E">
        <w:rPr>
          <w:rFonts w:ascii="Arial" w:hAnsi="Arial" w:cs="Arial"/>
          <w:sz w:val="22"/>
        </w:rPr>
        <w:t>en</w:t>
      </w:r>
      <w:r w:rsidRPr="00ED071E">
        <w:rPr>
          <w:rFonts w:ascii="Arial" w:hAnsi="Arial" w:cs="Arial"/>
          <w:sz w:val="22"/>
        </w:rPr>
        <w:t xml:space="preserve"> los Lineamientos. Además, determinará el cumplimiento de los requisitos para su otorgamiento y deberá enviar un informe a la </w:t>
      </w:r>
      <w:proofErr w:type="spellStart"/>
      <w:r w:rsidRPr="00ED071E">
        <w:rPr>
          <w:rFonts w:ascii="Arial" w:hAnsi="Arial" w:cs="Arial"/>
          <w:sz w:val="22"/>
        </w:rPr>
        <w:t>DESPEN</w:t>
      </w:r>
      <w:proofErr w:type="spellEnd"/>
      <w:r w:rsidRPr="00ED071E">
        <w:rPr>
          <w:rFonts w:ascii="Arial" w:hAnsi="Arial" w:cs="Arial"/>
          <w:sz w:val="22"/>
        </w:rPr>
        <w:t xml:space="preserve"> tal como se establece en el artículo 441 del Estatuto.</w:t>
      </w:r>
    </w:p>
    <w:p w14:paraId="24E91B9B" w14:textId="2197B234" w:rsidR="00D8350E" w:rsidRPr="00ED071E" w:rsidRDefault="00D8350E" w:rsidP="00ED071E">
      <w:pPr>
        <w:pStyle w:val="Ttulo2"/>
        <w:spacing w:before="240"/>
        <w:rPr>
          <w:rFonts w:ascii="Arial" w:hAnsi="Arial" w:cs="Arial"/>
          <w:color w:val="auto"/>
          <w:sz w:val="22"/>
        </w:rPr>
      </w:pPr>
      <w:r w:rsidRPr="00ED071E">
        <w:rPr>
          <w:rFonts w:ascii="Arial" w:hAnsi="Arial" w:cs="Arial"/>
          <w:color w:val="auto"/>
          <w:sz w:val="22"/>
        </w:rPr>
        <w:t>Soli</w:t>
      </w:r>
      <w:r w:rsidR="001B10AD" w:rsidRPr="00ED071E">
        <w:rPr>
          <w:rFonts w:ascii="Arial" w:hAnsi="Arial" w:cs="Arial"/>
          <w:color w:val="auto"/>
          <w:sz w:val="22"/>
        </w:rPr>
        <w:t>ci</w:t>
      </w:r>
      <w:r w:rsidRPr="00ED071E">
        <w:rPr>
          <w:rFonts w:ascii="Arial" w:hAnsi="Arial" w:cs="Arial"/>
          <w:color w:val="auto"/>
          <w:sz w:val="22"/>
        </w:rPr>
        <w:t xml:space="preserve">tud de información por parte de la </w:t>
      </w:r>
      <w:proofErr w:type="spellStart"/>
      <w:r w:rsidRPr="00ED071E">
        <w:rPr>
          <w:rFonts w:ascii="Arial" w:hAnsi="Arial" w:cs="Arial"/>
          <w:color w:val="auto"/>
          <w:sz w:val="22"/>
        </w:rPr>
        <w:t>DESPEN</w:t>
      </w:r>
      <w:proofErr w:type="spellEnd"/>
    </w:p>
    <w:p w14:paraId="57E3F6DA" w14:textId="65D8C0F2" w:rsidR="00D8350E" w:rsidRPr="00ED071E" w:rsidRDefault="00D8350E" w:rsidP="00ED071E">
      <w:pPr>
        <w:rPr>
          <w:rFonts w:ascii="Arial" w:hAnsi="Arial" w:cs="Arial"/>
          <w:sz w:val="22"/>
        </w:rPr>
      </w:pPr>
      <w:r w:rsidRPr="00ED071E">
        <w:rPr>
          <w:rFonts w:ascii="Arial" w:hAnsi="Arial" w:cs="Arial"/>
          <w:sz w:val="22"/>
        </w:rPr>
        <w:t xml:space="preserve">Que, la </w:t>
      </w:r>
      <w:proofErr w:type="spellStart"/>
      <w:r w:rsidRPr="00ED071E">
        <w:rPr>
          <w:rFonts w:ascii="Arial" w:hAnsi="Arial" w:cs="Arial"/>
          <w:sz w:val="22"/>
        </w:rPr>
        <w:t>DESPEN</w:t>
      </w:r>
      <w:proofErr w:type="spellEnd"/>
      <w:r w:rsidRPr="00ED071E">
        <w:rPr>
          <w:rFonts w:ascii="Arial" w:hAnsi="Arial" w:cs="Arial"/>
          <w:sz w:val="22"/>
        </w:rPr>
        <w:t>, mediante circular INE/ED/</w:t>
      </w:r>
      <w:proofErr w:type="spellStart"/>
      <w:r w:rsidRPr="00ED071E">
        <w:rPr>
          <w:rFonts w:ascii="Arial" w:hAnsi="Arial" w:cs="Arial"/>
          <w:sz w:val="22"/>
        </w:rPr>
        <w:t>DESPEN</w:t>
      </w:r>
      <w:proofErr w:type="spellEnd"/>
      <w:r w:rsidRPr="00ED071E">
        <w:rPr>
          <w:rFonts w:ascii="Arial" w:hAnsi="Arial" w:cs="Arial"/>
          <w:sz w:val="22"/>
        </w:rPr>
        <w:t xml:space="preserve">/002/2025 de 24 de enero de 2025, requirió al Órgano de Enlace, informara dentro de los tres primeros meses del año en curso, la posible actualización, modificación, o en su caso ratificación del Programa de Incentivos del Instituto, para su revisión y visto bueno. </w:t>
      </w:r>
    </w:p>
    <w:p w14:paraId="5F81E3DB" w14:textId="6A20D7D4" w:rsidR="00D8350E" w:rsidRPr="00ED071E" w:rsidRDefault="003349EE" w:rsidP="00ED071E">
      <w:pPr>
        <w:rPr>
          <w:rFonts w:ascii="Arial" w:hAnsi="Arial" w:cs="Arial"/>
          <w:sz w:val="22"/>
        </w:rPr>
      </w:pPr>
      <w:r w:rsidRPr="00ED071E">
        <w:rPr>
          <w:rFonts w:ascii="Arial" w:hAnsi="Arial" w:cs="Arial"/>
          <w:sz w:val="22"/>
        </w:rPr>
        <w:t xml:space="preserve">En respuesta, </w:t>
      </w:r>
      <w:r w:rsidR="00D8350E" w:rsidRPr="00ED071E">
        <w:rPr>
          <w:rFonts w:ascii="Arial" w:hAnsi="Arial" w:cs="Arial"/>
          <w:sz w:val="22"/>
        </w:rPr>
        <w:t>el Órgano de Enlace</w:t>
      </w:r>
      <w:r w:rsidRPr="00ED071E">
        <w:rPr>
          <w:rFonts w:ascii="Arial" w:hAnsi="Arial" w:cs="Arial"/>
          <w:sz w:val="22"/>
        </w:rPr>
        <w:t xml:space="preserve">, mediante </w:t>
      </w:r>
      <w:r w:rsidR="00D8350E" w:rsidRPr="00ED071E">
        <w:rPr>
          <w:rFonts w:ascii="Arial" w:hAnsi="Arial" w:cs="Arial"/>
          <w:sz w:val="22"/>
        </w:rPr>
        <w:t xml:space="preserve">oficio </w:t>
      </w:r>
      <w:proofErr w:type="spellStart"/>
      <w:r w:rsidR="00D8350E" w:rsidRPr="00ED071E">
        <w:rPr>
          <w:rFonts w:ascii="Arial" w:hAnsi="Arial" w:cs="Arial"/>
          <w:sz w:val="22"/>
        </w:rPr>
        <w:t>CPSSPEN</w:t>
      </w:r>
      <w:proofErr w:type="spellEnd"/>
      <w:r w:rsidR="00D8350E" w:rsidRPr="00ED071E">
        <w:rPr>
          <w:rFonts w:ascii="Arial" w:hAnsi="Arial" w:cs="Arial"/>
          <w:sz w:val="22"/>
        </w:rPr>
        <w:t>/004/2025</w:t>
      </w:r>
      <w:r w:rsidRPr="00ED071E">
        <w:rPr>
          <w:rFonts w:ascii="Arial" w:hAnsi="Arial" w:cs="Arial"/>
          <w:sz w:val="22"/>
        </w:rPr>
        <w:t xml:space="preserve">, </w:t>
      </w:r>
      <w:r w:rsidR="00D8350E" w:rsidRPr="00ED071E">
        <w:rPr>
          <w:rFonts w:ascii="Arial" w:hAnsi="Arial" w:cs="Arial"/>
          <w:sz w:val="22"/>
        </w:rPr>
        <w:t xml:space="preserve">solicitó a las Consejerías integrantes de la Comisión, </w:t>
      </w:r>
      <w:r w:rsidRPr="00ED071E">
        <w:rPr>
          <w:rFonts w:ascii="Arial" w:hAnsi="Arial" w:cs="Arial"/>
          <w:sz w:val="22"/>
        </w:rPr>
        <w:t xml:space="preserve">formularan sus </w:t>
      </w:r>
      <w:r w:rsidR="00D8350E" w:rsidRPr="00ED071E">
        <w:rPr>
          <w:rFonts w:ascii="Arial" w:hAnsi="Arial" w:cs="Arial"/>
          <w:sz w:val="22"/>
        </w:rPr>
        <w:t>observaciones o propuestas para actualizar el Programa de Incentivos vigente, con la finalidad de que se analizaran con la Secretaría Ejecutiva</w:t>
      </w:r>
      <w:r w:rsidRPr="00ED071E">
        <w:rPr>
          <w:rFonts w:ascii="Arial" w:hAnsi="Arial" w:cs="Arial"/>
          <w:sz w:val="22"/>
        </w:rPr>
        <w:t xml:space="preserve">, incluyendo lo relativo a </w:t>
      </w:r>
      <w:r w:rsidR="00D8350E" w:rsidRPr="00ED071E">
        <w:rPr>
          <w:rFonts w:ascii="Arial" w:hAnsi="Arial" w:cs="Arial"/>
          <w:sz w:val="22"/>
        </w:rPr>
        <w:t xml:space="preserve">las condiciones presupuestarias. </w:t>
      </w:r>
    </w:p>
    <w:p w14:paraId="5ED91780" w14:textId="77777777" w:rsidR="003349EE" w:rsidRPr="00ED071E" w:rsidRDefault="003349EE" w:rsidP="00ED071E">
      <w:pPr>
        <w:pStyle w:val="Ttulo2"/>
        <w:spacing w:before="240"/>
        <w:rPr>
          <w:rFonts w:ascii="Arial" w:hAnsi="Arial" w:cs="Arial"/>
          <w:color w:val="auto"/>
          <w:sz w:val="22"/>
        </w:rPr>
      </w:pPr>
      <w:r w:rsidRPr="00ED071E">
        <w:rPr>
          <w:rFonts w:ascii="Arial" w:hAnsi="Arial" w:cs="Arial"/>
          <w:color w:val="auto"/>
          <w:sz w:val="22"/>
        </w:rPr>
        <w:t xml:space="preserve">Actualización del Programa de Incentivos </w:t>
      </w:r>
    </w:p>
    <w:p w14:paraId="150F4086" w14:textId="4CD13F66" w:rsidR="00D8350E" w:rsidRPr="00ED071E" w:rsidRDefault="003349EE" w:rsidP="00ED071E">
      <w:pPr>
        <w:rPr>
          <w:rFonts w:ascii="Arial" w:hAnsi="Arial" w:cs="Arial"/>
          <w:sz w:val="22"/>
        </w:rPr>
      </w:pPr>
      <w:r w:rsidRPr="00ED071E">
        <w:rPr>
          <w:rFonts w:ascii="Arial" w:hAnsi="Arial" w:cs="Arial"/>
          <w:sz w:val="22"/>
        </w:rPr>
        <w:t>Que, e</w:t>
      </w:r>
      <w:r w:rsidR="00D8350E" w:rsidRPr="00ED071E">
        <w:rPr>
          <w:rFonts w:ascii="Arial" w:hAnsi="Arial" w:cs="Arial"/>
          <w:sz w:val="22"/>
        </w:rPr>
        <w:t>n atención a las disposiciones contenidas en los Lineamientos</w:t>
      </w:r>
      <w:r w:rsidRPr="00ED071E">
        <w:rPr>
          <w:rFonts w:ascii="Arial" w:hAnsi="Arial" w:cs="Arial"/>
          <w:sz w:val="22"/>
        </w:rPr>
        <w:t xml:space="preserve"> y de acuerdo con las observaciones formuladas por la Comisión</w:t>
      </w:r>
      <w:r w:rsidR="00D8350E" w:rsidRPr="00ED071E">
        <w:rPr>
          <w:rFonts w:ascii="Arial" w:hAnsi="Arial" w:cs="Arial"/>
          <w:sz w:val="22"/>
        </w:rPr>
        <w:t xml:space="preserve">, el Órgano de Enlace elaboró la propuesta para actualizar el tipo de incentivo “Obtención de grado académico”, el cual se define como la conclusión de algún programa de estudios de nivel licenciatura, especialidad, maestría o doctorado.  </w:t>
      </w:r>
    </w:p>
    <w:p w14:paraId="2B283230" w14:textId="29B8A2DF" w:rsidR="003349EE" w:rsidRPr="00ED071E" w:rsidRDefault="003349EE" w:rsidP="00ED071E">
      <w:pPr>
        <w:rPr>
          <w:rFonts w:ascii="Arial" w:hAnsi="Arial" w:cs="Arial"/>
          <w:sz w:val="22"/>
        </w:rPr>
      </w:pPr>
      <w:r w:rsidRPr="00ED071E">
        <w:rPr>
          <w:rFonts w:ascii="Arial" w:hAnsi="Arial" w:cs="Arial"/>
          <w:sz w:val="22"/>
        </w:rPr>
        <w:t xml:space="preserve">De acuerdo con lo señalado, </w:t>
      </w:r>
      <w:r w:rsidR="00D8350E" w:rsidRPr="00ED071E">
        <w:rPr>
          <w:rFonts w:ascii="Arial" w:hAnsi="Arial" w:cs="Arial"/>
          <w:sz w:val="22"/>
        </w:rPr>
        <w:t>el personal del Servicio que obtiene un grado académico recibe el beneficio de 5 días de descanso</w:t>
      </w:r>
      <w:r w:rsidRPr="00ED071E">
        <w:rPr>
          <w:rFonts w:ascii="Arial" w:hAnsi="Arial" w:cs="Arial"/>
          <w:sz w:val="22"/>
        </w:rPr>
        <w:t xml:space="preserve">; por lo que, partiendo de </w:t>
      </w:r>
      <w:r w:rsidR="00D8350E" w:rsidRPr="00ED071E">
        <w:rPr>
          <w:rFonts w:ascii="Arial" w:hAnsi="Arial" w:cs="Arial"/>
          <w:sz w:val="22"/>
        </w:rPr>
        <w:t xml:space="preserve">que </w:t>
      </w:r>
      <w:r w:rsidRPr="00ED071E">
        <w:rPr>
          <w:rFonts w:ascii="Arial" w:hAnsi="Arial" w:cs="Arial"/>
          <w:sz w:val="22"/>
        </w:rPr>
        <w:t xml:space="preserve">la obtención de </w:t>
      </w:r>
      <w:r w:rsidR="00D8350E" w:rsidRPr="00ED071E">
        <w:rPr>
          <w:rFonts w:ascii="Arial" w:hAnsi="Arial" w:cs="Arial"/>
          <w:sz w:val="22"/>
        </w:rPr>
        <w:t xml:space="preserve">un grado académico ofrece ventajas significativas tanto en el ámbito profesional como personal, resulta una inversión valiosa que potencia el desarrollo integral de </w:t>
      </w:r>
      <w:r w:rsidRPr="00ED071E">
        <w:rPr>
          <w:rFonts w:ascii="Arial" w:hAnsi="Arial" w:cs="Arial"/>
          <w:sz w:val="22"/>
        </w:rPr>
        <w:t xml:space="preserve">un servidor público. En ese tenor, la Comisión propuso </w:t>
      </w:r>
      <w:r w:rsidR="00D8350E" w:rsidRPr="00ED071E">
        <w:rPr>
          <w:rFonts w:ascii="Arial" w:hAnsi="Arial" w:cs="Arial"/>
          <w:sz w:val="22"/>
        </w:rPr>
        <w:t xml:space="preserve">agregar una retribución económica para el personal que obtenga un grado académico. </w:t>
      </w:r>
    </w:p>
    <w:p w14:paraId="0FFB6789" w14:textId="77777777" w:rsidR="003349EE" w:rsidRPr="00ED071E" w:rsidRDefault="003349EE" w:rsidP="00ED071E">
      <w:pPr>
        <w:rPr>
          <w:rFonts w:ascii="Arial" w:hAnsi="Arial" w:cs="Arial"/>
          <w:sz w:val="22"/>
        </w:rPr>
      </w:pPr>
      <w:r w:rsidRPr="00ED071E">
        <w:rPr>
          <w:rFonts w:ascii="Arial" w:hAnsi="Arial" w:cs="Arial"/>
          <w:sz w:val="22"/>
        </w:rPr>
        <w:t xml:space="preserve">Para tal efecto, </w:t>
      </w:r>
      <w:r w:rsidR="00D8350E" w:rsidRPr="00ED071E">
        <w:rPr>
          <w:rFonts w:ascii="Arial" w:hAnsi="Arial" w:cs="Arial"/>
          <w:sz w:val="22"/>
        </w:rPr>
        <w:t>el 05 de marzo de la presente anualidad</w:t>
      </w:r>
      <w:r w:rsidRPr="00ED071E">
        <w:rPr>
          <w:rFonts w:ascii="Arial" w:hAnsi="Arial" w:cs="Arial"/>
          <w:sz w:val="22"/>
        </w:rPr>
        <w:t xml:space="preserve">, la Dirección </w:t>
      </w:r>
      <w:r w:rsidR="00D8350E" w:rsidRPr="00ED071E">
        <w:rPr>
          <w:rFonts w:ascii="Arial" w:hAnsi="Arial" w:cs="Arial"/>
          <w:sz w:val="22"/>
        </w:rPr>
        <w:t xml:space="preserve">de Administración y la Unidad de Planeación y Evaluación, </w:t>
      </w:r>
      <w:r w:rsidRPr="00ED071E">
        <w:rPr>
          <w:rFonts w:ascii="Arial" w:hAnsi="Arial" w:cs="Arial"/>
          <w:sz w:val="22"/>
        </w:rPr>
        <w:t>realizaron el análisis presupuestal para determinar la suficiencia correspondiente</w:t>
      </w:r>
      <w:r w:rsidR="00D8350E" w:rsidRPr="00ED071E">
        <w:rPr>
          <w:rFonts w:ascii="Arial" w:hAnsi="Arial" w:cs="Arial"/>
          <w:sz w:val="22"/>
        </w:rPr>
        <w:t>.</w:t>
      </w:r>
    </w:p>
    <w:p w14:paraId="5DC82501" w14:textId="2540DC1E" w:rsidR="00D8350E" w:rsidRPr="00ED071E" w:rsidRDefault="00D8350E" w:rsidP="00ED071E">
      <w:pPr>
        <w:rPr>
          <w:rFonts w:ascii="Arial" w:hAnsi="Arial" w:cs="Arial"/>
          <w:sz w:val="22"/>
        </w:rPr>
      </w:pPr>
      <w:r w:rsidRPr="00ED071E">
        <w:rPr>
          <w:rFonts w:ascii="Arial" w:hAnsi="Arial" w:cs="Arial"/>
          <w:sz w:val="22"/>
        </w:rPr>
        <w:t>El programa de incentivos tiene como finalidad dar cumplimiento a los Lineamientos, así como establecer las normas, mecanismos, requisitos y criterios de desempate, por las cuales se determinarán los tipos de incentivos a otorgar al personal del Servicio Profesional</w:t>
      </w:r>
      <w:r w:rsidR="003349EE" w:rsidRPr="00ED071E">
        <w:rPr>
          <w:rFonts w:ascii="Arial" w:hAnsi="Arial" w:cs="Arial"/>
          <w:sz w:val="22"/>
        </w:rPr>
        <w:t xml:space="preserve"> de este Instituto</w:t>
      </w:r>
      <w:r w:rsidRPr="00ED071E">
        <w:rPr>
          <w:rFonts w:ascii="Arial" w:hAnsi="Arial" w:cs="Arial"/>
          <w:sz w:val="22"/>
        </w:rPr>
        <w:t>. Con base en lo anterior se realizó la actualización correspondiente en el tipo de incentivo “Obtención de grado académico” modificando características y requisitos, para su otorgamiento.</w:t>
      </w:r>
    </w:p>
    <w:p w14:paraId="718AC5D2" w14:textId="4162F75B" w:rsidR="00D8350E" w:rsidRPr="00ED071E" w:rsidRDefault="003349EE" w:rsidP="00ED071E">
      <w:pPr>
        <w:rPr>
          <w:rFonts w:ascii="Arial" w:hAnsi="Arial" w:cs="Arial"/>
          <w:sz w:val="22"/>
        </w:rPr>
      </w:pPr>
      <w:r w:rsidRPr="00ED071E">
        <w:rPr>
          <w:rFonts w:ascii="Arial" w:hAnsi="Arial" w:cs="Arial"/>
          <w:sz w:val="22"/>
        </w:rPr>
        <w:t xml:space="preserve">La propuesta de actualización del Programa de Incentivos se remitió a la </w:t>
      </w:r>
      <w:proofErr w:type="spellStart"/>
      <w:r w:rsidRPr="00ED071E">
        <w:rPr>
          <w:rFonts w:ascii="Arial" w:hAnsi="Arial" w:cs="Arial"/>
          <w:sz w:val="22"/>
        </w:rPr>
        <w:t>DESPEN</w:t>
      </w:r>
      <w:proofErr w:type="spellEnd"/>
      <w:r w:rsidRPr="00ED071E">
        <w:rPr>
          <w:rFonts w:ascii="Arial" w:hAnsi="Arial" w:cs="Arial"/>
          <w:sz w:val="22"/>
        </w:rPr>
        <w:t>, m</w:t>
      </w:r>
      <w:r w:rsidR="00D8350E" w:rsidRPr="00ED071E">
        <w:rPr>
          <w:rFonts w:ascii="Arial" w:hAnsi="Arial" w:cs="Arial"/>
          <w:sz w:val="22"/>
        </w:rPr>
        <w:t xml:space="preserve">ediante oficio </w:t>
      </w:r>
      <w:proofErr w:type="spellStart"/>
      <w:r w:rsidR="00D8350E" w:rsidRPr="00ED071E">
        <w:rPr>
          <w:rFonts w:ascii="Arial" w:hAnsi="Arial" w:cs="Arial"/>
          <w:sz w:val="22"/>
        </w:rPr>
        <w:t>OESPEN</w:t>
      </w:r>
      <w:proofErr w:type="spellEnd"/>
      <w:r w:rsidR="00D8350E" w:rsidRPr="00ED071E">
        <w:rPr>
          <w:rFonts w:ascii="Arial" w:hAnsi="Arial" w:cs="Arial"/>
          <w:sz w:val="22"/>
        </w:rPr>
        <w:t>/SE/029/2025</w:t>
      </w:r>
      <w:r w:rsidRPr="00ED071E">
        <w:rPr>
          <w:rFonts w:ascii="Arial" w:hAnsi="Arial" w:cs="Arial"/>
          <w:sz w:val="22"/>
        </w:rPr>
        <w:t xml:space="preserve">, quien, a su vez, remitió </w:t>
      </w:r>
      <w:r w:rsidR="00D8350E" w:rsidRPr="00ED071E">
        <w:rPr>
          <w:rFonts w:ascii="Arial" w:hAnsi="Arial" w:cs="Arial"/>
          <w:sz w:val="22"/>
        </w:rPr>
        <w:t>vía correo electrónico las observaciones</w:t>
      </w:r>
      <w:r w:rsidRPr="00ED071E">
        <w:rPr>
          <w:rFonts w:ascii="Arial" w:hAnsi="Arial" w:cs="Arial"/>
          <w:sz w:val="22"/>
        </w:rPr>
        <w:t xml:space="preserve"> a dicha propuesta, las cuales fueron solventadas el 12 de marzo de 2025, mediante oficio </w:t>
      </w:r>
      <w:proofErr w:type="spellStart"/>
      <w:r w:rsidR="00D8350E" w:rsidRPr="00ED071E">
        <w:rPr>
          <w:rFonts w:ascii="Arial" w:hAnsi="Arial" w:cs="Arial"/>
          <w:sz w:val="22"/>
        </w:rPr>
        <w:t>OESPEN</w:t>
      </w:r>
      <w:proofErr w:type="spellEnd"/>
      <w:r w:rsidR="00D8350E" w:rsidRPr="00ED071E">
        <w:rPr>
          <w:rFonts w:ascii="Arial" w:hAnsi="Arial" w:cs="Arial"/>
          <w:sz w:val="22"/>
        </w:rPr>
        <w:t xml:space="preserve">/SE/030/2025 </w:t>
      </w:r>
      <w:r w:rsidRPr="00ED071E">
        <w:rPr>
          <w:rFonts w:ascii="Arial" w:hAnsi="Arial" w:cs="Arial"/>
          <w:sz w:val="22"/>
        </w:rPr>
        <w:t xml:space="preserve">de conformidad con </w:t>
      </w:r>
      <w:r w:rsidR="00D8350E" w:rsidRPr="00ED071E">
        <w:rPr>
          <w:rFonts w:ascii="Arial" w:hAnsi="Arial" w:cs="Arial"/>
          <w:sz w:val="22"/>
        </w:rPr>
        <w:t xml:space="preserve">los requisitos previstos en el artículo 20 de los Lineamientos. </w:t>
      </w:r>
    </w:p>
    <w:p w14:paraId="73D4024C" w14:textId="7BBB9564" w:rsidR="00D8350E" w:rsidRPr="00ED071E" w:rsidRDefault="003349EE" w:rsidP="00ED071E">
      <w:pPr>
        <w:rPr>
          <w:rFonts w:ascii="Arial" w:hAnsi="Arial" w:cs="Arial"/>
          <w:sz w:val="22"/>
        </w:rPr>
      </w:pPr>
      <w:r w:rsidRPr="00ED071E">
        <w:rPr>
          <w:rFonts w:ascii="Arial" w:hAnsi="Arial" w:cs="Arial"/>
          <w:sz w:val="22"/>
        </w:rPr>
        <w:t xml:space="preserve">Finalmente, el 11 de abril de 2025, la </w:t>
      </w:r>
      <w:proofErr w:type="spellStart"/>
      <w:r w:rsidRPr="00ED071E">
        <w:rPr>
          <w:rFonts w:ascii="Arial" w:hAnsi="Arial" w:cs="Arial"/>
          <w:sz w:val="22"/>
        </w:rPr>
        <w:t>DESPEN</w:t>
      </w:r>
      <w:proofErr w:type="spellEnd"/>
      <w:r w:rsidRPr="00ED071E">
        <w:rPr>
          <w:rFonts w:ascii="Arial" w:hAnsi="Arial" w:cs="Arial"/>
          <w:sz w:val="22"/>
        </w:rPr>
        <w:t xml:space="preserve"> emitió el oficio </w:t>
      </w:r>
      <w:r w:rsidR="00D8350E" w:rsidRPr="00ED071E">
        <w:rPr>
          <w:rFonts w:ascii="Arial" w:hAnsi="Arial" w:cs="Arial"/>
          <w:sz w:val="22"/>
        </w:rPr>
        <w:t>INE/ED/</w:t>
      </w:r>
      <w:proofErr w:type="spellStart"/>
      <w:r w:rsidR="00D8350E" w:rsidRPr="00ED071E">
        <w:rPr>
          <w:rFonts w:ascii="Arial" w:hAnsi="Arial" w:cs="Arial"/>
          <w:sz w:val="22"/>
        </w:rPr>
        <w:t>DESPEN</w:t>
      </w:r>
      <w:proofErr w:type="spellEnd"/>
      <w:r w:rsidR="00D8350E" w:rsidRPr="00ED071E">
        <w:rPr>
          <w:rFonts w:ascii="Arial" w:hAnsi="Arial" w:cs="Arial"/>
          <w:sz w:val="22"/>
        </w:rPr>
        <w:t>/ED/</w:t>
      </w:r>
      <w:proofErr w:type="spellStart"/>
      <w:r w:rsidR="00D8350E" w:rsidRPr="00ED071E">
        <w:rPr>
          <w:rFonts w:ascii="Arial" w:hAnsi="Arial" w:cs="Arial"/>
          <w:sz w:val="22"/>
        </w:rPr>
        <w:t>DPL</w:t>
      </w:r>
      <w:proofErr w:type="spellEnd"/>
      <w:r w:rsidR="00D8350E" w:rsidRPr="00ED071E">
        <w:rPr>
          <w:rFonts w:ascii="Arial" w:hAnsi="Arial" w:cs="Arial"/>
          <w:sz w:val="22"/>
        </w:rPr>
        <w:t xml:space="preserve">/010/2025 </w:t>
      </w:r>
      <w:r w:rsidRPr="00ED071E">
        <w:rPr>
          <w:rFonts w:ascii="Arial" w:hAnsi="Arial" w:cs="Arial"/>
          <w:sz w:val="22"/>
        </w:rPr>
        <w:t xml:space="preserve">otorgando </w:t>
      </w:r>
      <w:r w:rsidR="00D8350E" w:rsidRPr="00ED071E">
        <w:rPr>
          <w:rFonts w:ascii="Arial" w:hAnsi="Arial" w:cs="Arial"/>
          <w:sz w:val="22"/>
        </w:rPr>
        <w:t xml:space="preserve">el visto bueno al Programa de </w:t>
      </w:r>
      <w:r w:rsidRPr="00ED071E">
        <w:rPr>
          <w:rFonts w:ascii="Arial" w:hAnsi="Arial" w:cs="Arial"/>
          <w:sz w:val="22"/>
        </w:rPr>
        <w:t>I</w:t>
      </w:r>
      <w:r w:rsidR="00D8350E" w:rsidRPr="00ED071E">
        <w:rPr>
          <w:rFonts w:ascii="Arial" w:hAnsi="Arial" w:cs="Arial"/>
          <w:sz w:val="22"/>
        </w:rPr>
        <w:t xml:space="preserve">ncentivos para el personal del Servicio Profesional del Instituto, para su aprobación, de conformidad con el artículo 12 inciso d) de los Lineamientos. </w:t>
      </w:r>
    </w:p>
    <w:p w14:paraId="2D41115C" w14:textId="453657DA" w:rsidR="00D8350E" w:rsidRPr="00ED071E" w:rsidRDefault="003349EE" w:rsidP="00ED071E">
      <w:pPr>
        <w:rPr>
          <w:rFonts w:ascii="Arial" w:hAnsi="Arial" w:cs="Arial"/>
          <w:sz w:val="22"/>
        </w:rPr>
      </w:pPr>
      <w:r w:rsidRPr="00ED071E">
        <w:rPr>
          <w:rFonts w:ascii="Arial" w:hAnsi="Arial" w:cs="Arial"/>
          <w:sz w:val="22"/>
        </w:rPr>
        <w:t xml:space="preserve">Cabe señalar que, </w:t>
      </w:r>
      <w:r w:rsidR="00D8350E" w:rsidRPr="00ED071E">
        <w:rPr>
          <w:rFonts w:ascii="Arial" w:hAnsi="Arial" w:cs="Arial"/>
          <w:sz w:val="22"/>
        </w:rPr>
        <w:t xml:space="preserve">el Programa de Incentivos será aplicable para el ejercicio valorado 2026, que se entregará en 2027, esto para que el proceso de otorgamiento de incentivos al personal del Servicio se realice bajo los principios de igualdad de oportunidades, reconocimiento al mérito y a la trayectoria, proporcionalidad y equidad </w:t>
      </w:r>
      <w:r w:rsidR="006A69C0" w:rsidRPr="00ED071E">
        <w:rPr>
          <w:rFonts w:ascii="Arial" w:hAnsi="Arial" w:cs="Arial"/>
          <w:sz w:val="22"/>
        </w:rPr>
        <w:t xml:space="preserve">de conformidad con </w:t>
      </w:r>
      <w:r w:rsidR="00D8350E" w:rsidRPr="00ED071E">
        <w:rPr>
          <w:rFonts w:ascii="Arial" w:hAnsi="Arial" w:cs="Arial"/>
          <w:sz w:val="22"/>
        </w:rPr>
        <w:t>el artículo 6 de los Lineamientos, y con la finalidad de dar certeza anticipada al cumplimiento de las normas vigentes que regulan el otorgamiento de incentivos durante el ejercicio valorado correspondiente.</w:t>
      </w:r>
    </w:p>
    <w:p w14:paraId="544D8C6D" w14:textId="77777777" w:rsidR="006A69C0" w:rsidRPr="00ED071E" w:rsidRDefault="006A69C0" w:rsidP="00ED071E">
      <w:pPr>
        <w:rPr>
          <w:rFonts w:ascii="Arial" w:hAnsi="Arial" w:cs="Arial"/>
          <w:sz w:val="22"/>
        </w:rPr>
      </w:pPr>
      <w:r w:rsidRPr="00ED071E">
        <w:rPr>
          <w:rFonts w:ascii="Arial" w:hAnsi="Arial" w:cs="Arial"/>
          <w:sz w:val="22"/>
        </w:rPr>
        <w:t>Sobre la base de las consideraciones señaladas, esta Consejo Estatal emite el siguiente:</w:t>
      </w:r>
    </w:p>
    <w:p w14:paraId="3E110E6F" w14:textId="77777777" w:rsidR="006A69C0" w:rsidRPr="00ED071E" w:rsidRDefault="006A69C0" w:rsidP="00ED071E">
      <w:pPr>
        <w:pStyle w:val="Ttulo1"/>
        <w:spacing w:before="360"/>
        <w:ind w:left="431" w:hanging="431"/>
        <w:rPr>
          <w:rFonts w:ascii="Arial" w:hAnsi="Arial" w:cs="Arial"/>
          <w:sz w:val="24"/>
        </w:rPr>
      </w:pPr>
      <w:r w:rsidRPr="00ED071E">
        <w:rPr>
          <w:rFonts w:ascii="Arial" w:hAnsi="Arial" w:cs="Arial"/>
          <w:sz w:val="24"/>
        </w:rPr>
        <w:t>Acuerdo</w:t>
      </w:r>
    </w:p>
    <w:p w14:paraId="2F639430" w14:textId="4E1416E8" w:rsidR="006A69C0" w:rsidRPr="00ED071E" w:rsidRDefault="006A69C0" w:rsidP="00ED071E">
      <w:pPr>
        <w:rPr>
          <w:rFonts w:ascii="Arial" w:hAnsi="Arial" w:cs="Arial"/>
          <w:sz w:val="22"/>
        </w:rPr>
      </w:pPr>
      <w:r w:rsidRPr="00ED071E">
        <w:rPr>
          <w:rFonts w:ascii="Arial" w:hAnsi="Arial" w:cs="Arial"/>
          <w:b/>
          <w:bCs/>
          <w:sz w:val="22"/>
        </w:rPr>
        <w:t>Primero.</w:t>
      </w:r>
      <w:r w:rsidRPr="00ED071E">
        <w:rPr>
          <w:rFonts w:ascii="Arial" w:hAnsi="Arial" w:cs="Arial"/>
          <w:sz w:val="22"/>
        </w:rPr>
        <w:t xml:space="preserve"> Se aprueba la actualización al Programa de Incentivos a partir del año 2027 para el ejercicio valorado 2026 y los subsecuentes, que se otorgará al personal del Servicio Profesional Electoral Nacional del propio Instituto, propuesto por la Comisión de Seguimiento al Servicio Profesional Electoral Nacional, anexo al presente acuerdo.</w:t>
      </w:r>
    </w:p>
    <w:p w14:paraId="7562095F" w14:textId="4AFBAF5F" w:rsidR="000A1517" w:rsidRPr="00ED071E" w:rsidRDefault="006A69C0" w:rsidP="00ED071E">
      <w:pPr>
        <w:rPr>
          <w:rFonts w:ascii="Arial" w:hAnsi="Arial" w:cs="Arial"/>
          <w:sz w:val="22"/>
        </w:rPr>
      </w:pPr>
      <w:r w:rsidRPr="00ED071E">
        <w:rPr>
          <w:rFonts w:ascii="Arial" w:hAnsi="Arial" w:cs="Arial"/>
          <w:b/>
          <w:bCs/>
          <w:sz w:val="22"/>
        </w:rPr>
        <w:t>Segundo.</w:t>
      </w:r>
      <w:r w:rsidRPr="00ED071E">
        <w:rPr>
          <w:rFonts w:ascii="Arial" w:hAnsi="Arial" w:cs="Arial"/>
          <w:sz w:val="22"/>
        </w:rPr>
        <w:t xml:space="preserve"> </w:t>
      </w:r>
      <w:r w:rsidR="00B40F4E" w:rsidRPr="00ED071E">
        <w:rPr>
          <w:rFonts w:ascii="Arial" w:hAnsi="Arial" w:cs="Arial"/>
          <w:sz w:val="22"/>
        </w:rPr>
        <w:t>S</w:t>
      </w:r>
      <w:r w:rsidRPr="00ED071E">
        <w:rPr>
          <w:rFonts w:ascii="Arial" w:hAnsi="Arial" w:cs="Arial"/>
          <w:sz w:val="22"/>
        </w:rPr>
        <w:t>e instruye a la Secretaría Ejecutiva</w:t>
      </w:r>
      <w:r w:rsidR="000A1517" w:rsidRPr="00ED071E">
        <w:rPr>
          <w:rFonts w:ascii="Arial" w:hAnsi="Arial" w:cs="Arial"/>
          <w:sz w:val="22"/>
        </w:rPr>
        <w:t xml:space="preserve"> prevea lo necesario para el cumplimiento del Programa de Incentivos aprobado.</w:t>
      </w:r>
    </w:p>
    <w:p w14:paraId="56FA5BE5" w14:textId="17A354EF" w:rsidR="006A69C0" w:rsidRPr="00ED071E" w:rsidRDefault="000A1517" w:rsidP="00ED071E">
      <w:pPr>
        <w:rPr>
          <w:rFonts w:ascii="Arial" w:hAnsi="Arial" w:cs="Arial"/>
          <w:sz w:val="22"/>
        </w:rPr>
      </w:pPr>
      <w:r w:rsidRPr="00ED071E">
        <w:rPr>
          <w:rFonts w:ascii="Arial" w:hAnsi="Arial" w:cs="Arial"/>
          <w:b/>
          <w:bCs/>
          <w:sz w:val="22"/>
        </w:rPr>
        <w:t>Tercero.</w:t>
      </w:r>
      <w:r w:rsidRPr="00ED071E">
        <w:rPr>
          <w:rFonts w:ascii="Arial" w:hAnsi="Arial" w:cs="Arial"/>
          <w:sz w:val="22"/>
        </w:rPr>
        <w:t xml:space="preserve"> Asimismo, se instruye a la Secretaría Ejecutiva</w:t>
      </w:r>
      <w:r w:rsidR="006A69C0" w:rsidRPr="00ED071E">
        <w:rPr>
          <w:rFonts w:ascii="Arial" w:hAnsi="Arial" w:cs="Arial"/>
          <w:sz w:val="22"/>
        </w:rPr>
        <w:t xml:space="preserve">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5DA43FF3" w14:textId="6D51C886" w:rsidR="006A69C0" w:rsidRPr="00ED071E" w:rsidRDefault="000A1517" w:rsidP="00ED071E">
      <w:pPr>
        <w:rPr>
          <w:rFonts w:ascii="Arial" w:hAnsi="Arial" w:cs="Arial"/>
          <w:sz w:val="22"/>
        </w:rPr>
      </w:pPr>
      <w:r w:rsidRPr="00ED071E">
        <w:rPr>
          <w:rFonts w:ascii="Arial" w:hAnsi="Arial" w:cs="Arial"/>
          <w:b/>
          <w:bCs/>
          <w:sz w:val="22"/>
        </w:rPr>
        <w:t>Cuarto</w:t>
      </w:r>
      <w:r w:rsidR="006A69C0" w:rsidRPr="00ED071E">
        <w:rPr>
          <w:rFonts w:ascii="Arial" w:hAnsi="Arial" w:cs="Arial"/>
          <w:b/>
          <w:bCs/>
          <w:sz w:val="22"/>
        </w:rPr>
        <w:t>.</w:t>
      </w:r>
      <w:r w:rsidR="006A69C0" w:rsidRPr="00ED071E">
        <w:rPr>
          <w:rFonts w:ascii="Arial" w:hAnsi="Arial" w:cs="Arial"/>
          <w:sz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01362C5E" w14:textId="4ACDCB43" w:rsidR="006A69C0" w:rsidRPr="00ED071E" w:rsidRDefault="006A69C0" w:rsidP="00ED071E">
      <w:pPr>
        <w:rPr>
          <w:rFonts w:ascii="Arial" w:hAnsi="Arial" w:cs="Arial"/>
          <w:sz w:val="22"/>
        </w:rPr>
      </w:pPr>
      <w:r w:rsidRPr="00ED071E">
        <w:rPr>
          <w:rFonts w:ascii="Arial" w:hAnsi="Arial" w:cs="Arial"/>
          <w:sz w:val="22"/>
        </w:rPr>
        <w:t xml:space="preserve">El presente acuerdo se aprobó en sesión </w:t>
      </w:r>
      <w:r w:rsidR="006A26CC">
        <w:rPr>
          <w:rFonts w:ascii="Arial" w:hAnsi="Arial" w:cs="Arial"/>
          <w:sz w:val="22"/>
        </w:rPr>
        <w:t>ordi</w:t>
      </w:r>
      <w:bookmarkStart w:id="0" w:name="_GoBack"/>
      <w:bookmarkEnd w:id="0"/>
      <w:r w:rsidR="006A26CC">
        <w:rPr>
          <w:rFonts w:ascii="Arial" w:hAnsi="Arial" w:cs="Arial"/>
          <w:sz w:val="22"/>
        </w:rPr>
        <w:t>naria</w:t>
      </w:r>
      <w:r w:rsidR="006A26CC" w:rsidRPr="00ED071E">
        <w:rPr>
          <w:rFonts w:ascii="Arial" w:hAnsi="Arial" w:cs="Arial"/>
          <w:sz w:val="22"/>
        </w:rPr>
        <w:t xml:space="preserve"> </w:t>
      </w:r>
      <w:r w:rsidRPr="00ED071E">
        <w:rPr>
          <w:rFonts w:ascii="Arial" w:hAnsi="Arial" w:cs="Arial"/>
          <w:sz w:val="22"/>
        </w:rPr>
        <w:t xml:space="preserve">efectuada el </w:t>
      </w:r>
      <w:r w:rsidR="00ED071E">
        <w:rPr>
          <w:rFonts w:ascii="Arial" w:hAnsi="Arial" w:cs="Arial"/>
          <w:sz w:val="22"/>
        </w:rPr>
        <w:t>treinta</w:t>
      </w:r>
      <w:r w:rsidRPr="00ED071E">
        <w:rPr>
          <w:rFonts w:ascii="Arial" w:hAnsi="Arial" w:cs="Arial"/>
          <w:sz w:val="22"/>
        </w:rPr>
        <w:t xml:space="preserve"> de </w:t>
      </w:r>
      <w:r w:rsidR="00ED071E">
        <w:rPr>
          <w:rFonts w:ascii="Arial" w:hAnsi="Arial" w:cs="Arial"/>
          <w:sz w:val="22"/>
        </w:rPr>
        <w:t>abril</w:t>
      </w:r>
      <w:r w:rsidRPr="00ED071E">
        <w:rPr>
          <w:rFonts w:ascii="Arial" w:hAnsi="Arial" w:cs="Arial"/>
          <w:sz w:val="22"/>
        </w:rPr>
        <w:t xml:space="preserve"> del año dos mil veinticinco, por votación </w:t>
      </w:r>
      <w:r w:rsidR="00ED071E">
        <w:rPr>
          <w:rFonts w:ascii="Arial" w:hAnsi="Arial" w:cs="Arial"/>
          <w:sz w:val="22"/>
        </w:rPr>
        <w:t>unánime</w:t>
      </w:r>
      <w:r w:rsidRPr="00ED071E">
        <w:rPr>
          <w:rFonts w:ascii="Arial" w:hAnsi="Arial" w:cs="Arial"/>
          <w:sz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ED071E">
        <w:rPr>
          <w:rFonts w:ascii="Arial" w:hAnsi="Arial" w:cs="Arial"/>
          <w:sz w:val="22"/>
        </w:rPr>
        <w:t>Beaurregard</w:t>
      </w:r>
      <w:proofErr w:type="spellEnd"/>
      <w:r w:rsidRPr="00ED071E">
        <w:rPr>
          <w:rFonts w:ascii="Arial" w:hAnsi="Arial" w:cs="Arial"/>
          <w:sz w:val="22"/>
        </w:rPr>
        <w:t xml:space="preserve">, Mtra. Ruth </w:t>
      </w:r>
      <w:proofErr w:type="spellStart"/>
      <w:r w:rsidRPr="00ED071E">
        <w:rPr>
          <w:rFonts w:ascii="Arial" w:hAnsi="Arial" w:cs="Arial"/>
          <w:sz w:val="22"/>
        </w:rPr>
        <w:t>Lizette</w:t>
      </w:r>
      <w:proofErr w:type="spellEnd"/>
      <w:r w:rsidRPr="00ED071E">
        <w:rPr>
          <w:rFonts w:ascii="Arial" w:hAnsi="Arial" w:cs="Arial"/>
          <w:sz w:val="22"/>
        </w:rPr>
        <w:t xml:space="preserve"> Toledo Peral y la Consejera Presidenta, Mtra. Elizabeth Nava Gutiérrez.</w:t>
      </w:r>
    </w:p>
    <w:p w14:paraId="7319F479" w14:textId="2E4ACE09" w:rsidR="002356F2" w:rsidRDefault="002356F2" w:rsidP="00ED071E">
      <w:pPr>
        <w:spacing w:before="0" w:after="0" w:line="240" w:lineRule="auto"/>
        <w:rPr>
          <w:rFonts w:ascii="Arial" w:hAnsi="Arial" w:cs="Arial"/>
          <w:sz w:val="20"/>
        </w:rPr>
      </w:pPr>
    </w:p>
    <w:p w14:paraId="06CF04EB" w14:textId="0BBDACCE" w:rsidR="00ED071E" w:rsidRDefault="00ED071E" w:rsidP="00ED071E">
      <w:pPr>
        <w:spacing w:before="0" w:after="0" w:line="240" w:lineRule="auto"/>
        <w:rPr>
          <w:rFonts w:ascii="Arial" w:hAnsi="Arial" w:cs="Arial"/>
          <w:sz w:val="20"/>
        </w:rPr>
      </w:pPr>
    </w:p>
    <w:p w14:paraId="069B02DA" w14:textId="33697CDF" w:rsidR="00ED071E" w:rsidRDefault="00ED071E" w:rsidP="00ED071E">
      <w:pPr>
        <w:spacing w:before="0" w:after="0" w:line="240" w:lineRule="auto"/>
        <w:rPr>
          <w:rFonts w:ascii="Arial" w:hAnsi="Arial" w:cs="Arial"/>
          <w:sz w:val="20"/>
        </w:rPr>
      </w:pPr>
    </w:p>
    <w:p w14:paraId="70E85199" w14:textId="6C3D2A06" w:rsidR="00ED071E" w:rsidRDefault="00ED071E" w:rsidP="00ED071E">
      <w:pPr>
        <w:spacing w:before="0" w:after="0" w:line="240" w:lineRule="auto"/>
        <w:rPr>
          <w:rFonts w:ascii="Arial" w:hAnsi="Arial" w:cs="Arial"/>
          <w:sz w:val="20"/>
        </w:rPr>
      </w:pPr>
    </w:p>
    <w:p w14:paraId="3482F1C9" w14:textId="77777777" w:rsidR="00ED071E" w:rsidRPr="00ED071E" w:rsidRDefault="00ED071E" w:rsidP="00ED071E">
      <w:pPr>
        <w:spacing w:before="0" w:after="0" w:line="240" w:lineRule="auto"/>
        <w:rPr>
          <w:rFonts w:ascii="Arial" w:hAnsi="Arial" w:cs="Arial"/>
          <w:sz w:val="20"/>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322"/>
      </w:tblGrid>
      <w:tr w:rsidR="00ED071E" w:rsidRPr="00ED071E" w14:paraId="666B4C32" w14:textId="77777777" w:rsidTr="00ED071E">
        <w:trPr>
          <w:jc w:val="center"/>
        </w:trPr>
        <w:tc>
          <w:tcPr>
            <w:tcW w:w="2555" w:type="pct"/>
          </w:tcPr>
          <w:p w14:paraId="1650B285" w14:textId="77777777" w:rsidR="00ED071E" w:rsidRPr="00ED071E" w:rsidRDefault="00ED071E" w:rsidP="00ED071E">
            <w:pPr>
              <w:spacing w:before="0" w:after="0"/>
              <w:jc w:val="center"/>
              <w:rPr>
                <w:rFonts w:ascii="Arial" w:hAnsi="Arial" w:cs="Arial"/>
                <w:b/>
                <w:bCs/>
              </w:rPr>
            </w:pPr>
            <w:r w:rsidRPr="00ED071E">
              <w:rPr>
                <w:rFonts w:ascii="Arial" w:hAnsi="Arial" w:cs="Arial"/>
                <w:b/>
                <w:bCs/>
              </w:rPr>
              <w:t>MTRA. ELIZABETH NAVA GUTIÉRREZ</w:t>
            </w:r>
          </w:p>
          <w:p w14:paraId="30DD5DC7" w14:textId="77777777" w:rsidR="00ED071E" w:rsidRPr="00ED071E" w:rsidRDefault="00ED071E" w:rsidP="00ED071E">
            <w:pPr>
              <w:spacing w:before="0" w:after="0"/>
              <w:jc w:val="center"/>
              <w:rPr>
                <w:rFonts w:ascii="Arial" w:hAnsi="Arial" w:cs="Arial"/>
                <w:b/>
                <w:bCs/>
              </w:rPr>
            </w:pPr>
            <w:r w:rsidRPr="00ED071E">
              <w:rPr>
                <w:rFonts w:ascii="Arial" w:hAnsi="Arial" w:cs="Arial"/>
                <w:b/>
                <w:bCs/>
              </w:rPr>
              <w:t>CONSEJERA PRESIDENTA</w:t>
            </w:r>
          </w:p>
        </w:tc>
        <w:tc>
          <w:tcPr>
            <w:tcW w:w="2445" w:type="pct"/>
          </w:tcPr>
          <w:p w14:paraId="7BBB702A" w14:textId="77777777" w:rsidR="00ED071E" w:rsidRPr="00ED071E" w:rsidRDefault="00ED071E" w:rsidP="00ED071E">
            <w:pPr>
              <w:spacing w:before="0" w:after="0"/>
              <w:jc w:val="center"/>
              <w:rPr>
                <w:rFonts w:ascii="Arial" w:hAnsi="Arial" w:cs="Arial"/>
                <w:b/>
                <w:bCs/>
              </w:rPr>
            </w:pPr>
            <w:r w:rsidRPr="00ED071E">
              <w:rPr>
                <w:rFonts w:ascii="Arial" w:hAnsi="Arial" w:cs="Arial"/>
                <w:b/>
                <w:bCs/>
              </w:rPr>
              <w:t>LIC. JORGE ALBERTO ZAVALA FRÍAS</w:t>
            </w:r>
          </w:p>
          <w:p w14:paraId="60CAFD7B" w14:textId="77777777" w:rsidR="00ED071E" w:rsidRPr="00ED071E" w:rsidRDefault="00ED071E" w:rsidP="00ED071E">
            <w:pPr>
              <w:spacing w:before="0" w:after="0"/>
              <w:jc w:val="center"/>
              <w:rPr>
                <w:rFonts w:ascii="Arial" w:hAnsi="Arial" w:cs="Arial"/>
                <w:b/>
                <w:bCs/>
              </w:rPr>
            </w:pPr>
            <w:r w:rsidRPr="00ED071E">
              <w:rPr>
                <w:rFonts w:ascii="Arial" w:hAnsi="Arial" w:cs="Arial"/>
                <w:b/>
                <w:bCs/>
              </w:rPr>
              <w:t>SECRETARIO DEL CONSEJO</w:t>
            </w:r>
          </w:p>
        </w:tc>
      </w:tr>
    </w:tbl>
    <w:p w14:paraId="18B6E7EA" w14:textId="77777777" w:rsidR="006A69C0" w:rsidRPr="00ED071E" w:rsidRDefault="006A69C0" w:rsidP="00ED071E">
      <w:pPr>
        <w:spacing w:before="0" w:after="0" w:line="240" w:lineRule="auto"/>
        <w:rPr>
          <w:rFonts w:ascii="Arial" w:hAnsi="Arial" w:cs="Arial"/>
          <w:sz w:val="2"/>
        </w:rPr>
      </w:pPr>
    </w:p>
    <w:sectPr w:rsidR="006A69C0" w:rsidRPr="00ED071E" w:rsidSect="004E70F7">
      <w:headerReference w:type="default" r:id="rId8"/>
      <w:footerReference w:type="default" r:id="rId9"/>
      <w:pgSz w:w="12240" w:h="15840" w:code="1"/>
      <w:pgMar w:top="2977" w:right="1701" w:bottom="1560"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C32EF" w14:textId="77777777" w:rsidR="00C42BAA" w:rsidRDefault="00C42BAA" w:rsidP="003212A5">
      <w:pPr>
        <w:spacing w:before="0" w:after="0" w:line="240" w:lineRule="auto"/>
      </w:pPr>
      <w:r>
        <w:separator/>
      </w:r>
    </w:p>
  </w:endnote>
  <w:endnote w:type="continuationSeparator" w:id="0">
    <w:p w14:paraId="28ACCCE7" w14:textId="77777777" w:rsidR="00C42BAA" w:rsidRDefault="00C42BAA" w:rsidP="003212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charset w:val="00"/>
    <w:family w:val="swiss"/>
    <w:pitch w:val="variable"/>
    <w:sig w:usb0="20000287" w:usb1="00000003" w:usb2="00000000" w:usb3="00000000" w:csb0="0000019F" w:csb1="00000000"/>
    <w:embedRegular r:id="rId1" w:fontKey="{C25C1902-5ABD-4E70-8B4A-C956FAE1CA60}"/>
    <w:embedBold r:id="rId2" w:fontKey="{86063BBB-FF1B-4E11-852A-D30A8D8378B8}"/>
    <w:embedItalic r:id="rId3" w:fontKey="{984E4BE0-0D73-46A3-9585-5CC6090CF62F}"/>
  </w:font>
  <w:font w:name="Times New Roman">
    <w:panose1 w:val="02020603050405020304"/>
    <w:charset w:val="00"/>
    <w:family w:val="roman"/>
    <w:pitch w:val="variable"/>
    <w:sig w:usb0="E0002EFF" w:usb1="C000785B" w:usb2="00000009" w:usb3="00000000" w:csb0="000001FF" w:csb1="00000000"/>
  </w:font>
  <w:font w:name="Exo">
    <w:altName w:val="Times New Roman"/>
    <w:charset w:val="00"/>
    <w:family w:val="auto"/>
    <w:pitch w:val="variable"/>
    <w:sig w:usb0="A00000FF" w:usb1="4000204B" w:usb2="00000000" w:usb3="00000000" w:csb0="00000193" w:csb1="00000000"/>
    <w:embedRegular r:id="rId4" w:fontKey="{E89E2C60-BC2B-44AE-B6DD-89F336331EBA}"/>
    <w:embedBold r:id="rId5" w:fontKey="{C6263FE4-57BA-449F-A5D2-867BBC483121}"/>
    <w:embedItalic r:id="rId6" w:fontKey="{D046C12A-E30D-429A-92CF-28C6048AD4A5}"/>
  </w:font>
  <w:font w:name="Aptos Display">
    <w:charset w:val="00"/>
    <w:family w:val="swiss"/>
    <w:pitch w:val="variable"/>
    <w:sig w:usb0="20000287" w:usb1="00000003" w:usb2="00000000" w:usb3="00000000" w:csb0="0000019F" w:csb1="00000000"/>
    <w:embedRegular r:id="rId7" w:fontKey="{71638C87-1899-4E12-8A9D-458138973A6A}"/>
  </w:font>
  <w:font w:name="Segoe UI">
    <w:panose1 w:val="020B0502040204020203"/>
    <w:charset w:val="00"/>
    <w:family w:val="swiss"/>
    <w:pitch w:val="variable"/>
    <w:sig w:usb0="E4002EFF" w:usb1="C000E47F" w:usb2="00000009" w:usb3="00000000" w:csb0="000001FF" w:csb1="00000000"/>
    <w:embedRegular r:id="rId8" w:fontKey="{18DFBE27-4B93-49D3-B412-9660BEC8CEC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901525023"/>
      <w:docPartObj>
        <w:docPartGallery w:val="Page Numbers (Top of Page)"/>
        <w:docPartUnique/>
      </w:docPartObj>
    </w:sdtPr>
    <w:sdtEndPr/>
    <w:sdtContent>
      <w:p w14:paraId="71A094B6" w14:textId="5093B2E0" w:rsidR="003212A5" w:rsidRPr="00ED071E" w:rsidRDefault="003212A5" w:rsidP="003212A5">
        <w:pPr>
          <w:pStyle w:val="Piedepgina"/>
          <w:spacing w:before="120"/>
          <w:jc w:val="right"/>
          <w:rPr>
            <w:rFonts w:ascii="Arial" w:hAnsi="Arial" w:cs="Arial"/>
            <w:color w:val="993366"/>
            <w:sz w:val="20"/>
            <w:szCs w:val="20"/>
          </w:rPr>
        </w:pPr>
        <w:r w:rsidRPr="00ED071E">
          <w:rPr>
            <w:rFonts w:ascii="Arial" w:hAnsi="Arial" w:cs="Arial"/>
            <w:b/>
            <w:bCs/>
            <w:color w:val="993366"/>
          </w:rPr>
          <w:t xml:space="preserve">Página </w:t>
        </w:r>
        <w:r w:rsidRPr="00ED071E">
          <w:rPr>
            <w:rFonts w:ascii="Arial" w:hAnsi="Arial" w:cs="Arial"/>
            <w:b/>
            <w:bCs/>
            <w:color w:val="993366"/>
          </w:rPr>
          <w:fldChar w:fldCharType="begin"/>
        </w:r>
        <w:r w:rsidRPr="00ED071E">
          <w:rPr>
            <w:rFonts w:ascii="Arial" w:hAnsi="Arial" w:cs="Arial"/>
            <w:b/>
            <w:bCs/>
            <w:color w:val="993366"/>
          </w:rPr>
          <w:instrText>PAGE</w:instrText>
        </w:r>
        <w:r w:rsidRPr="00ED071E">
          <w:rPr>
            <w:rFonts w:ascii="Arial" w:hAnsi="Arial" w:cs="Arial"/>
            <w:b/>
            <w:bCs/>
            <w:color w:val="993366"/>
          </w:rPr>
          <w:fldChar w:fldCharType="separate"/>
        </w:r>
        <w:r w:rsidR="006A26CC">
          <w:rPr>
            <w:rFonts w:ascii="Arial" w:hAnsi="Arial" w:cs="Arial"/>
            <w:b/>
            <w:bCs/>
            <w:noProof/>
            <w:color w:val="993366"/>
          </w:rPr>
          <w:t>8</w:t>
        </w:r>
        <w:r w:rsidRPr="00ED071E">
          <w:rPr>
            <w:rFonts w:ascii="Arial" w:hAnsi="Arial" w:cs="Arial"/>
            <w:b/>
            <w:bCs/>
            <w:color w:val="993366"/>
          </w:rPr>
          <w:fldChar w:fldCharType="end"/>
        </w:r>
        <w:r w:rsidRPr="00ED071E">
          <w:rPr>
            <w:rFonts w:ascii="Arial" w:hAnsi="Arial" w:cs="Arial"/>
            <w:b/>
            <w:bCs/>
            <w:color w:val="993366"/>
          </w:rPr>
          <w:t xml:space="preserve"> | </w:t>
        </w:r>
        <w:r w:rsidRPr="00ED071E">
          <w:rPr>
            <w:rFonts w:ascii="Arial" w:hAnsi="Arial" w:cs="Arial"/>
            <w:b/>
            <w:bCs/>
            <w:color w:val="993366"/>
          </w:rPr>
          <w:fldChar w:fldCharType="begin"/>
        </w:r>
        <w:r w:rsidRPr="00ED071E">
          <w:rPr>
            <w:rFonts w:ascii="Arial" w:hAnsi="Arial" w:cs="Arial"/>
            <w:b/>
            <w:bCs/>
            <w:color w:val="993366"/>
          </w:rPr>
          <w:instrText>NUMPAGES</w:instrText>
        </w:r>
        <w:r w:rsidRPr="00ED071E">
          <w:rPr>
            <w:rFonts w:ascii="Arial" w:hAnsi="Arial" w:cs="Arial"/>
            <w:b/>
            <w:bCs/>
            <w:color w:val="993366"/>
          </w:rPr>
          <w:fldChar w:fldCharType="separate"/>
        </w:r>
        <w:r w:rsidR="006A26CC">
          <w:rPr>
            <w:rFonts w:ascii="Arial" w:hAnsi="Arial" w:cs="Arial"/>
            <w:b/>
            <w:bCs/>
            <w:noProof/>
            <w:color w:val="993366"/>
          </w:rPr>
          <w:t>9</w:t>
        </w:r>
        <w:r w:rsidRPr="00ED071E">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65764" w14:textId="77777777" w:rsidR="00C42BAA" w:rsidRDefault="00C42BAA" w:rsidP="003212A5">
      <w:pPr>
        <w:spacing w:before="0" w:after="0" w:line="240" w:lineRule="auto"/>
      </w:pPr>
      <w:r>
        <w:separator/>
      </w:r>
    </w:p>
  </w:footnote>
  <w:footnote w:type="continuationSeparator" w:id="0">
    <w:p w14:paraId="73D0A020" w14:textId="77777777" w:rsidR="00C42BAA" w:rsidRDefault="00C42BAA" w:rsidP="003212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3212A5" w:rsidRPr="00ED071E" w14:paraId="1BED1641" w14:textId="77777777" w:rsidTr="00642F23">
      <w:tc>
        <w:tcPr>
          <w:tcW w:w="1813" w:type="dxa"/>
        </w:tcPr>
        <w:p w14:paraId="18E6F462" w14:textId="77777777" w:rsidR="003212A5" w:rsidRPr="00ED071E" w:rsidRDefault="003212A5" w:rsidP="003212A5">
          <w:pPr>
            <w:pStyle w:val="Encabezado"/>
            <w:rPr>
              <w:rFonts w:ascii="Arial" w:hAnsi="Arial" w:cs="Arial"/>
            </w:rPr>
          </w:pPr>
          <w:r w:rsidRPr="00ED071E">
            <w:rPr>
              <w:rFonts w:ascii="Arial" w:hAnsi="Arial" w:cs="Arial"/>
              <w:b/>
              <w:noProof/>
              <w:sz w:val="32"/>
              <w:lang w:eastAsia="es-MX"/>
            </w:rPr>
            <w:drawing>
              <wp:inline distT="0" distB="0" distL="0" distR="0" wp14:anchorId="717B8C9C" wp14:editId="2BCE2413">
                <wp:extent cx="1014331" cy="1199403"/>
                <wp:effectExtent l="0" t="0" r="0" b="1270"/>
                <wp:docPr id="168355023" name="Imagen 16835502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6F3A0FC4" w14:textId="77777777" w:rsidR="003212A5" w:rsidRPr="00ED071E" w:rsidRDefault="003212A5" w:rsidP="003212A5">
          <w:pPr>
            <w:pStyle w:val="Encabezado"/>
            <w:spacing w:before="720"/>
            <w:jc w:val="center"/>
            <w:rPr>
              <w:rFonts w:ascii="Arial" w:hAnsi="Arial" w:cs="Arial"/>
              <w:b/>
              <w:bCs/>
              <w:spacing w:val="-10"/>
              <w:sz w:val="26"/>
              <w:szCs w:val="26"/>
            </w:rPr>
          </w:pPr>
          <w:r w:rsidRPr="00ED071E">
            <w:rPr>
              <w:rFonts w:ascii="Arial" w:hAnsi="Arial" w:cs="Arial"/>
              <w:b/>
              <w:bCs/>
              <w:spacing w:val="-10"/>
              <w:sz w:val="26"/>
              <w:szCs w:val="26"/>
            </w:rPr>
            <w:t>INSTITUTO ELECTORAL Y DE PARTICIPACIÓN CIUDADANA DE TABASCO</w:t>
          </w:r>
        </w:p>
        <w:p w14:paraId="217BCCF0" w14:textId="77777777" w:rsidR="003212A5" w:rsidRPr="00ED071E" w:rsidRDefault="003212A5" w:rsidP="003212A5">
          <w:pPr>
            <w:pStyle w:val="Encabezado"/>
            <w:spacing w:before="60"/>
            <w:jc w:val="center"/>
            <w:rPr>
              <w:rFonts w:ascii="Arial" w:hAnsi="Arial" w:cs="Arial"/>
            </w:rPr>
          </w:pPr>
          <w:r w:rsidRPr="00ED071E">
            <w:rPr>
              <w:rFonts w:ascii="Arial" w:hAnsi="Arial" w:cs="Arial"/>
              <w:b/>
              <w:bCs/>
              <w:sz w:val="28"/>
              <w:szCs w:val="28"/>
            </w:rPr>
            <w:t>CONSEJO ESTATAL</w:t>
          </w:r>
        </w:p>
      </w:tc>
      <w:tc>
        <w:tcPr>
          <w:tcW w:w="1560" w:type="dxa"/>
        </w:tcPr>
        <w:p w14:paraId="2571DB0C" w14:textId="77777777" w:rsidR="003212A5" w:rsidRPr="00ED071E" w:rsidRDefault="003212A5" w:rsidP="003212A5">
          <w:pPr>
            <w:pStyle w:val="Encabezado"/>
            <w:spacing w:before="480"/>
            <w:jc w:val="right"/>
            <w:rPr>
              <w:rFonts w:ascii="Arial" w:hAnsi="Arial" w:cs="Arial"/>
            </w:rPr>
          </w:pPr>
          <w:r w:rsidRPr="00ED071E">
            <w:rPr>
              <w:rFonts w:ascii="Arial" w:hAnsi="Arial" w:cs="Arial"/>
              <w:noProof/>
              <w:lang w:eastAsia="es-MX"/>
            </w:rPr>
            <w:drawing>
              <wp:inline distT="0" distB="0" distL="0" distR="0" wp14:anchorId="1E4AB9DB" wp14:editId="33C8CEF1">
                <wp:extent cx="921600" cy="756000"/>
                <wp:effectExtent l="0" t="0" r="0" b="6350"/>
                <wp:docPr id="1971487428"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D095FEA" w14:textId="14B8E319" w:rsidR="00ED071E" w:rsidRPr="00ED071E" w:rsidRDefault="00ED071E" w:rsidP="00ED071E">
    <w:pPr>
      <w:pStyle w:val="Encabezado"/>
      <w:jc w:val="right"/>
      <w:rPr>
        <w:rFonts w:ascii="Arial" w:hAnsi="Arial" w:cs="Arial"/>
        <w:b/>
      </w:rPr>
    </w:pPr>
    <w:r w:rsidRPr="00ED071E">
      <w:rPr>
        <w:rFonts w:ascii="Arial" w:hAnsi="Arial" w:cs="Arial"/>
        <w:b/>
      </w:rPr>
      <w:t>CE/2025/056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70BD"/>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C83"/>
    <w:rsid w:val="0000216B"/>
    <w:rsid w:val="000A1517"/>
    <w:rsid w:val="001B10AD"/>
    <w:rsid w:val="001B1DE0"/>
    <w:rsid w:val="002356F2"/>
    <w:rsid w:val="003212A5"/>
    <w:rsid w:val="003349EE"/>
    <w:rsid w:val="003A0B6B"/>
    <w:rsid w:val="00490765"/>
    <w:rsid w:val="004E70F7"/>
    <w:rsid w:val="005A7162"/>
    <w:rsid w:val="00606100"/>
    <w:rsid w:val="00695D80"/>
    <w:rsid w:val="006A26CC"/>
    <w:rsid w:val="006A69C0"/>
    <w:rsid w:val="006A7DF5"/>
    <w:rsid w:val="006B3894"/>
    <w:rsid w:val="00750BCF"/>
    <w:rsid w:val="007A04D5"/>
    <w:rsid w:val="007B10C5"/>
    <w:rsid w:val="00964D5D"/>
    <w:rsid w:val="0099736F"/>
    <w:rsid w:val="00B40F4E"/>
    <w:rsid w:val="00B8756F"/>
    <w:rsid w:val="00B94C83"/>
    <w:rsid w:val="00C42BAA"/>
    <w:rsid w:val="00D57384"/>
    <w:rsid w:val="00D8350E"/>
    <w:rsid w:val="00DC219B"/>
    <w:rsid w:val="00ED071E"/>
    <w:rsid w:val="00F62B12"/>
    <w:rsid w:val="00F65F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556EF"/>
  <w15:chartTrackingRefBased/>
  <w15:docId w15:val="{29F0B900-8D2B-4705-A9F6-FA5E0BB09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C83"/>
    <w:pPr>
      <w:spacing w:before="240" w:after="240" w:line="276" w:lineRule="auto"/>
      <w:jc w:val="both"/>
    </w:pPr>
    <w:rPr>
      <w:rFonts w:ascii="Exo" w:hAnsi="Exo"/>
    </w:rPr>
  </w:style>
  <w:style w:type="paragraph" w:styleId="Ttulo1">
    <w:name w:val="heading 1"/>
    <w:basedOn w:val="Normal"/>
    <w:next w:val="Normal"/>
    <w:link w:val="Ttulo1Car"/>
    <w:uiPriority w:val="9"/>
    <w:qFormat/>
    <w:rsid w:val="00B94C83"/>
    <w:pPr>
      <w:numPr>
        <w:numId w:val="1"/>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B94C83"/>
    <w:pPr>
      <w:keepNext/>
      <w:keepLines/>
      <w:numPr>
        <w:ilvl w:val="1"/>
        <w:numId w:val="1"/>
      </w:numPr>
      <w:spacing w:before="480"/>
      <w:outlineLvl w:val="1"/>
    </w:pPr>
    <w:rPr>
      <w:rFonts w:eastAsiaTheme="majorEastAsia" w:cstheme="majorBidi"/>
      <w:b/>
      <w:bCs/>
      <w:color w:val="0F4761" w:themeColor="accent1" w:themeShade="BF"/>
    </w:rPr>
  </w:style>
  <w:style w:type="paragraph" w:styleId="Ttulo3">
    <w:name w:val="heading 3"/>
    <w:basedOn w:val="Ttulo2"/>
    <w:next w:val="Normal"/>
    <w:link w:val="Ttulo3Car"/>
    <w:uiPriority w:val="9"/>
    <w:unhideWhenUsed/>
    <w:qFormat/>
    <w:rsid w:val="003349EE"/>
    <w:pPr>
      <w:numPr>
        <w:ilvl w:val="2"/>
      </w:numPr>
      <w:outlineLvl w:val="2"/>
    </w:pPr>
  </w:style>
  <w:style w:type="paragraph" w:styleId="Ttulo4">
    <w:name w:val="heading 4"/>
    <w:basedOn w:val="Normal"/>
    <w:next w:val="Normal"/>
    <w:link w:val="Ttulo4Car"/>
    <w:uiPriority w:val="9"/>
    <w:semiHidden/>
    <w:unhideWhenUsed/>
    <w:qFormat/>
    <w:rsid w:val="00B94C83"/>
    <w:pPr>
      <w:keepNext/>
      <w:keepLines/>
      <w:numPr>
        <w:ilvl w:val="3"/>
        <w:numId w:val="1"/>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94C83"/>
    <w:pPr>
      <w:keepNext/>
      <w:keepLines/>
      <w:numPr>
        <w:ilvl w:val="4"/>
        <w:numId w:val="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94C83"/>
    <w:pPr>
      <w:keepNext/>
      <w:keepLines/>
      <w:numPr>
        <w:ilvl w:val="5"/>
        <w:numId w:val="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94C83"/>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94C83"/>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94C83"/>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4C83"/>
    <w:rPr>
      <w:rFonts w:ascii="Exo" w:hAnsi="Exo"/>
      <w:b/>
      <w:bCs/>
      <w:sz w:val="28"/>
      <w:szCs w:val="28"/>
    </w:rPr>
  </w:style>
  <w:style w:type="character" w:customStyle="1" w:styleId="Ttulo2Car">
    <w:name w:val="Título 2 Car"/>
    <w:basedOn w:val="Fuentedeprrafopredeter"/>
    <w:link w:val="Ttulo2"/>
    <w:uiPriority w:val="9"/>
    <w:rsid w:val="00B94C83"/>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rsid w:val="003349EE"/>
    <w:rPr>
      <w:rFonts w:ascii="Exo" w:eastAsiaTheme="majorEastAsia" w:hAnsi="Exo" w:cstheme="majorBidi"/>
      <w:b/>
      <w:bCs/>
      <w:color w:val="0F4761" w:themeColor="accent1" w:themeShade="BF"/>
    </w:rPr>
  </w:style>
  <w:style w:type="character" w:customStyle="1" w:styleId="Ttulo4Car">
    <w:name w:val="Título 4 Car"/>
    <w:basedOn w:val="Fuentedeprrafopredeter"/>
    <w:link w:val="Ttulo4"/>
    <w:uiPriority w:val="9"/>
    <w:semiHidden/>
    <w:rsid w:val="00B94C8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94C8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94C8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94C8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94C8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94C83"/>
    <w:rPr>
      <w:rFonts w:eastAsiaTheme="majorEastAsia" w:cstheme="majorBidi"/>
      <w:color w:val="272727" w:themeColor="text1" w:themeTint="D8"/>
    </w:rPr>
  </w:style>
  <w:style w:type="paragraph" w:styleId="Ttulo">
    <w:name w:val="Title"/>
    <w:basedOn w:val="Normal"/>
    <w:next w:val="Normal"/>
    <w:link w:val="TtuloCar"/>
    <w:uiPriority w:val="10"/>
    <w:qFormat/>
    <w:rsid w:val="00B94C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94C8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94C8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94C8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94C83"/>
    <w:pPr>
      <w:spacing w:before="160"/>
      <w:jc w:val="center"/>
    </w:pPr>
    <w:rPr>
      <w:i/>
      <w:iCs/>
      <w:color w:val="404040" w:themeColor="text1" w:themeTint="BF"/>
    </w:rPr>
  </w:style>
  <w:style w:type="character" w:customStyle="1" w:styleId="CitaCar">
    <w:name w:val="Cita Car"/>
    <w:basedOn w:val="Fuentedeprrafopredeter"/>
    <w:link w:val="Cita"/>
    <w:uiPriority w:val="29"/>
    <w:rsid w:val="00B94C83"/>
    <w:rPr>
      <w:i/>
      <w:iCs/>
      <w:color w:val="404040" w:themeColor="text1" w:themeTint="BF"/>
    </w:rPr>
  </w:style>
  <w:style w:type="paragraph" w:styleId="Prrafodelista">
    <w:name w:val="List Paragraph"/>
    <w:basedOn w:val="Normal"/>
    <w:uiPriority w:val="34"/>
    <w:qFormat/>
    <w:rsid w:val="00B94C83"/>
    <w:pPr>
      <w:ind w:left="720"/>
      <w:contextualSpacing/>
    </w:pPr>
  </w:style>
  <w:style w:type="character" w:styleId="nfasisintenso">
    <w:name w:val="Intense Emphasis"/>
    <w:basedOn w:val="Fuentedeprrafopredeter"/>
    <w:uiPriority w:val="21"/>
    <w:qFormat/>
    <w:rsid w:val="00B94C83"/>
    <w:rPr>
      <w:i/>
      <w:iCs/>
      <w:color w:val="0F4761" w:themeColor="accent1" w:themeShade="BF"/>
    </w:rPr>
  </w:style>
  <w:style w:type="paragraph" w:styleId="Citadestacada">
    <w:name w:val="Intense Quote"/>
    <w:basedOn w:val="Normal"/>
    <w:next w:val="Normal"/>
    <w:link w:val="CitadestacadaCar"/>
    <w:uiPriority w:val="30"/>
    <w:qFormat/>
    <w:rsid w:val="00B94C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94C83"/>
    <w:rPr>
      <w:i/>
      <w:iCs/>
      <w:color w:val="0F4761" w:themeColor="accent1" w:themeShade="BF"/>
    </w:rPr>
  </w:style>
  <w:style w:type="character" w:styleId="Referenciaintensa">
    <w:name w:val="Intense Reference"/>
    <w:basedOn w:val="Fuentedeprrafopredeter"/>
    <w:uiPriority w:val="32"/>
    <w:qFormat/>
    <w:rsid w:val="00B94C83"/>
    <w:rPr>
      <w:b/>
      <w:bCs/>
      <w:smallCaps/>
      <w:color w:val="0F4761" w:themeColor="accent1" w:themeShade="BF"/>
      <w:spacing w:val="5"/>
    </w:rPr>
  </w:style>
  <w:style w:type="table" w:styleId="Tablaconcuadrcula">
    <w:name w:val="Table Grid"/>
    <w:basedOn w:val="Tablanormal"/>
    <w:uiPriority w:val="39"/>
    <w:rsid w:val="006A69C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212A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3212A5"/>
    <w:rPr>
      <w:rFonts w:ascii="Exo" w:hAnsi="Exo"/>
    </w:rPr>
  </w:style>
  <w:style w:type="paragraph" w:styleId="Piedepgina">
    <w:name w:val="footer"/>
    <w:basedOn w:val="Normal"/>
    <w:link w:val="PiedepginaCar"/>
    <w:uiPriority w:val="99"/>
    <w:unhideWhenUsed/>
    <w:rsid w:val="003212A5"/>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3212A5"/>
    <w:rPr>
      <w:rFonts w:ascii="Exo" w:hAnsi="Exo"/>
    </w:rPr>
  </w:style>
  <w:style w:type="paragraph" w:styleId="Textodeglobo">
    <w:name w:val="Balloon Text"/>
    <w:basedOn w:val="Normal"/>
    <w:link w:val="TextodegloboCar"/>
    <w:uiPriority w:val="99"/>
    <w:semiHidden/>
    <w:unhideWhenUsed/>
    <w:rsid w:val="006A26C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26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AFD03-B10E-48FF-B2DA-11687820A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3131</Words>
  <Characters>17224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Coordinacion Tecnica</cp:lastModifiedBy>
  <cp:revision>22</cp:revision>
  <cp:lastPrinted>2025-05-01T20:07:00Z</cp:lastPrinted>
  <dcterms:created xsi:type="dcterms:W3CDTF">2025-04-23T19:51:00Z</dcterms:created>
  <dcterms:modified xsi:type="dcterms:W3CDTF">2025-05-01T20:10:00Z</dcterms:modified>
</cp:coreProperties>
</file>