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1D5FB" w14:textId="77777777" w:rsidR="00A26384" w:rsidRPr="007857E6" w:rsidRDefault="00A26384" w:rsidP="00A26384">
      <w:pPr>
        <w:rPr>
          <w:rFonts w:ascii="Arial" w:hAnsi="Arial" w:cs="Arial"/>
          <w:b/>
        </w:rPr>
      </w:pPr>
      <w:bookmarkStart w:id="0" w:name="_Hlk207203333"/>
      <w:r w:rsidRPr="007857E6">
        <w:rPr>
          <w:rFonts w:ascii="Arial" w:hAnsi="Arial" w:cs="Arial"/>
          <w:b/>
        </w:rPr>
        <w:t>ACUERDO QUE, A PROPUESTA DE LA COMISIÓN PERMANENTE DE SEGUIMIENTO AL SERVICIO PROFESIONAL ELECTORAL NACIONAL CON CARÁCTER ADMINISTRATIVA, EMITE EL CONSEJO ESTATAL DEL INSTITUTO ELECTORAL Y DE PARTICIPACIÓN CIUDADANA, MEDIANTE EL CUAL APRUEBA LOS DICTÁMENES PARA EL OTORGAMIENTO DE INCENTIVOS POR RENDIMIENTO Y OBTENCIÓN DE GRADO ACADÉMICO 2025, CORRESPONDIENTE AL EJERCICIO VALORADO 2024, AL PERSONAL DEL SERVICIO PROFESIONAL ELECTORAL NACIONAL DEL PROPIO INSTITUTO</w:t>
      </w:r>
    </w:p>
    <w:bookmarkEnd w:id="0"/>
    <w:p w14:paraId="433AE057" w14:textId="77777777" w:rsidR="00A26384" w:rsidRPr="007857E6" w:rsidRDefault="00A26384" w:rsidP="00A26384">
      <w:pPr>
        <w:rPr>
          <w:rFonts w:ascii="Arial" w:hAnsi="Arial" w:cs="Arial"/>
          <w:sz w:val="22"/>
        </w:rPr>
      </w:pPr>
      <w:r w:rsidRPr="007857E6">
        <w:rPr>
          <w:rFonts w:ascii="Arial" w:hAnsi="Arial" w:cs="Arial"/>
          <w:sz w:val="22"/>
        </w:rPr>
        <w:t>Para efectos del presente acuerdo se usarán las abreviaturas y definiciones siguientes:</w:t>
      </w:r>
    </w:p>
    <w:tbl>
      <w:tblPr>
        <w:tblW w:w="4162" w:type="pct"/>
        <w:jc w:val="center"/>
        <w:tblBorders>
          <w:top w:val="single" w:sz="4" w:space="0" w:color="993366"/>
          <w:left w:val="single" w:sz="4" w:space="0" w:color="993366"/>
          <w:bottom w:val="single" w:sz="4" w:space="0" w:color="993366"/>
          <w:right w:val="single" w:sz="4" w:space="0" w:color="993366"/>
          <w:insideH w:val="single" w:sz="4" w:space="0" w:color="993366"/>
          <w:insideV w:val="single" w:sz="4" w:space="0" w:color="993366"/>
        </w:tblBorders>
        <w:tblLook w:val="04A0" w:firstRow="1" w:lastRow="0" w:firstColumn="1" w:lastColumn="0" w:noHBand="0" w:noVBand="1"/>
      </w:tblPr>
      <w:tblGrid>
        <w:gridCol w:w="3033"/>
        <w:gridCol w:w="4393"/>
      </w:tblGrid>
      <w:tr w:rsidR="00A26384" w:rsidRPr="007857E6" w14:paraId="6220EA39" w14:textId="77777777" w:rsidTr="00460DD6">
        <w:trPr>
          <w:trHeight w:val="624"/>
          <w:jc w:val="center"/>
        </w:trPr>
        <w:tc>
          <w:tcPr>
            <w:tcW w:w="2042" w:type="pct"/>
            <w:vAlign w:val="center"/>
          </w:tcPr>
          <w:p w14:paraId="44BD417F" w14:textId="77777777" w:rsidR="00A26384" w:rsidRPr="007857E6" w:rsidRDefault="00A26384" w:rsidP="00460DD6">
            <w:pPr>
              <w:spacing w:before="40" w:after="40"/>
              <w:jc w:val="right"/>
              <w:rPr>
                <w:rFonts w:ascii="Arial" w:hAnsi="Arial" w:cs="Arial"/>
                <w:b/>
                <w:sz w:val="20"/>
                <w:szCs w:val="20"/>
              </w:rPr>
            </w:pPr>
            <w:r w:rsidRPr="007857E6">
              <w:rPr>
                <w:rFonts w:ascii="Arial" w:hAnsi="Arial" w:cs="Arial"/>
                <w:b/>
                <w:sz w:val="20"/>
                <w:szCs w:val="20"/>
              </w:rPr>
              <w:t>Comisión de Seguimiento:</w:t>
            </w:r>
          </w:p>
        </w:tc>
        <w:tc>
          <w:tcPr>
            <w:tcW w:w="2958" w:type="pct"/>
            <w:vAlign w:val="center"/>
          </w:tcPr>
          <w:p w14:paraId="2B868173" w14:textId="77777777" w:rsidR="00A26384" w:rsidRPr="007857E6" w:rsidRDefault="00A26384" w:rsidP="00460DD6">
            <w:pPr>
              <w:spacing w:before="40" w:after="40"/>
              <w:rPr>
                <w:rFonts w:ascii="Arial" w:hAnsi="Arial" w:cs="Arial"/>
                <w:sz w:val="20"/>
                <w:szCs w:val="20"/>
              </w:rPr>
            </w:pPr>
            <w:r w:rsidRPr="007857E6">
              <w:rPr>
                <w:rFonts w:ascii="Arial" w:hAnsi="Arial" w:cs="Arial"/>
                <w:sz w:val="20"/>
                <w:szCs w:val="20"/>
              </w:rPr>
              <w:t>Comisión de Seguimiento al Servicio Profesional Electoral Nacional con carácter administrativa.</w:t>
            </w:r>
          </w:p>
        </w:tc>
      </w:tr>
      <w:tr w:rsidR="00A26384" w:rsidRPr="007857E6" w14:paraId="6D3451F9" w14:textId="77777777" w:rsidTr="00460DD6">
        <w:trPr>
          <w:trHeight w:val="624"/>
          <w:jc w:val="center"/>
        </w:trPr>
        <w:tc>
          <w:tcPr>
            <w:tcW w:w="2042" w:type="pct"/>
            <w:vAlign w:val="center"/>
          </w:tcPr>
          <w:p w14:paraId="23C6778F" w14:textId="77777777" w:rsidR="00A26384" w:rsidRPr="007857E6" w:rsidRDefault="00A26384" w:rsidP="00460DD6">
            <w:pPr>
              <w:spacing w:before="40" w:after="40"/>
              <w:jc w:val="right"/>
              <w:rPr>
                <w:rFonts w:ascii="Arial" w:hAnsi="Arial" w:cs="Arial"/>
                <w:b/>
                <w:sz w:val="20"/>
                <w:szCs w:val="20"/>
              </w:rPr>
            </w:pPr>
            <w:r w:rsidRPr="007857E6">
              <w:rPr>
                <w:rFonts w:ascii="Arial" w:hAnsi="Arial" w:cs="Arial"/>
                <w:b/>
                <w:sz w:val="20"/>
                <w:szCs w:val="20"/>
              </w:rPr>
              <w:t>Consejo Estatal:</w:t>
            </w:r>
          </w:p>
        </w:tc>
        <w:tc>
          <w:tcPr>
            <w:tcW w:w="2958" w:type="pct"/>
            <w:vAlign w:val="center"/>
          </w:tcPr>
          <w:p w14:paraId="0FE55D2D" w14:textId="77777777" w:rsidR="00A26384" w:rsidRPr="007857E6" w:rsidRDefault="00A26384" w:rsidP="00460DD6">
            <w:pPr>
              <w:spacing w:before="40" w:after="40"/>
              <w:rPr>
                <w:rFonts w:ascii="Arial" w:hAnsi="Arial" w:cs="Arial"/>
                <w:sz w:val="20"/>
                <w:szCs w:val="20"/>
              </w:rPr>
            </w:pPr>
            <w:r w:rsidRPr="007857E6">
              <w:rPr>
                <w:rFonts w:ascii="Arial" w:hAnsi="Arial" w:cs="Arial"/>
                <w:sz w:val="20"/>
                <w:szCs w:val="20"/>
              </w:rPr>
              <w:t>Consejo Estatal del Instituto Electoral y de Participación Ciudadana de Tabasco.</w:t>
            </w:r>
          </w:p>
        </w:tc>
      </w:tr>
      <w:tr w:rsidR="00A26384" w:rsidRPr="007857E6" w14:paraId="212FE840" w14:textId="77777777" w:rsidTr="00460DD6">
        <w:trPr>
          <w:trHeight w:val="624"/>
          <w:jc w:val="center"/>
        </w:trPr>
        <w:tc>
          <w:tcPr>
            <w:tcW w:w="2042" w:type="pct"/>
            <w:vAlign w:val="center"/>
          </w:tcPr>
          <w:p w14:paraId="0B39BA5E" w14:textId="77777777" w:rsidR="00A26384" w:rsidRPr="007857E6" w:rsidRDefault="00A26384" w:rsidP="00460DD6">
            <w:pPr>
              <w:spacing w:before="40" w:after="40"/>
              <w:jc w:val="right"/>
              <w:rPr>
                <w:rFonts w:ascii="Arial" w:hAnsi="Arial" w:cs="Arial"/>
                <w:b/>
                <w:sz w:val="20"/>
                <w:szCs w:val="20"/>
              </w:rPr>
            </w:pPr>
            <w:r w:rsidRPr="007857E6">
              <w:rPr>
                <w:rFonts w:ascii="Arial" w:hAnsi="Arial" w:cs="Arial"/>
                <w:b/>
                <w:sz w:val="20"/>
                <w:szCs w:val="20"/>
              </w:rPr>
              <w:t>Constitución Federal:</w:t>
            </w:r>
          </w:p>
        </w:tc>
        <w:tc>
          <w:tcPr>
            <w:tcW w:w="2958" w:type="pct"/>
            <w:vAlign w:val="center"/>
          </w:tcPr>
          <w:p w14:paraId="40AF53D5" w14:textId="77777777" w:rsidR="00A26384" w:rsidRPr="007857E6" w:rsidRDefault="00A26384" w:rsidP="00460DD6">
            <w:pPr>
              <w:spacing w:before="40" w:after="40"/>
              <w:rPr>
                <w:rFonts w:ascii="Arial" w:hAnsi="Arial" w:cs="Arial"/>
                <w:sz w:val="20"/>
                <w:szCs w:val="20"/>
              </w:rPr>
            </w:pPr>
            <w:r w:rsidRPr="007857E6">
              <w:rPr>
                <w:rFonts w:ascii="Arial" w:hAnsi="Arial" w:cs="Arial"/>
                <w:sz w:val="20"/>
                <w:szCs w:val="20"/>
              </w:rPr>
              <w:t>Constitución Política de los Estados Unidos Mexicanos.</w:t>
            </w:r>
          </w:p>
        </w:tc>
      </w:tr>
      <w:tr w:rsidR="00A26384" w:rsidRPr="007857E6" w14:paraId="1003FDF3" w14:textId="77777777" w:rsidTr="00460DD6">
        <w:trPr>
          <w:trHeight w:val="624"/>
          <w:jc w:val="center"/>
        </w:trPr>
        <w:tc>
          <w:tcPr>
            <w:tcW w:w="2042" w:type="pct"/>
            <w:vAlign w:val="center"/>
          </w:tcPr>
          <w:p w14:paraId="45ED98DF" w14:textId="77777777" w:rsidR="00A26384" w:rsidRPr="007857E6" w:rsidRDefault="00A26384" w:rsidP="00460DD6">
            <w:pPr>
              <w:spacing w:before="40" w:after="40"/>
              <w:jc w:val="right"/>
              <w:rPr>
                <w:rFonts w:ascii="Arial" w:hAnsi="Arial" w:cs="Arial"/>
                <w:b/>
                <w:sz w:val="20"/>
                <w:szCs w:val="20"/>
              </w:rPr>
            </w:pPr>
            <w:r w:rsidRPr="007857E6">
              <w:rPr>
                <w:rFonts w:ascii="Arial" w:hAnsi="Arial" w:cs="Arial"/>
                <w:b/>
                <w:sz w:val="20"/>
                <w:szCs w:val="20"/>
              </w:rPr>
              <w:t>Constitución Local:</w:t>
            </w:r>
          </w:p>
        </w:tc>
        <w:tc>
          <w:tcPr>
            <w:tcW w:w="2958" w:type="pct"/>
            <w:vAlign w:val="center"/>
          </w:tcPr>
          <w:p w14:paraId="470E70A3" w14:textId="77777777" w:rsidR="00A26384" w:rsidRPr="007857E6" w:rsidRDefault="00A26384" w:rsidP="00460DD6">
            <w:pPr>
              <w:spacing w:before="40" w:after="40"/>
              <w:rPr>
                <w:rFonts w:ascii="Arial" w:hAnsi="Arial" w:cs="Arial"/>
                <w:sz w:val="20"/>
                <w:szCs w:val="20"/>
              </w:rPr>
            </w:pPr>
            <w:r w:rsidRPr="007857E6">
              <w:rPr>
                <w:rFonts w:ascii="Arial" w:hAnsi="Arial" w:cs="Arial"/>
                <w:sz w:val="20"/>
                <w:szCs w:val="20"/>
              </w:rPr>
              <w:t>Constitución Política del Estado Libre y Soberano de Tabasco.</w:t>
            </w:r>
          </w:p>
        </w:tc>
      </w:tr>
      <w:tr w:rsidR="00A26384" w:rsidRPr="007857E6" w14:paraId="373AD187" w14:textId="77777777" w:rsidTr="00460DD6">
        <w:trPr>
          <w:trHeight w:val="624"/>
          <w:jc w:val="center"/>
        </w:trPr>
        <w:tc>
          <w:tcPr>
            <w:tcW w:w="2042" w:type="pct"/>
            <w:vAlign w:val="center"/>
          </w:tcPr>
          <w:p w14:paraId="043219DD" w14:textId="77777777" w:rsidR="00A26384" w:rsidRPr="007857E6" w:rsidRDefault="00A26384" w:rsidP="00460DD6">
            <w:pPr>
              <w:spacing w:before="40" w:after="40"/>
              <w:jc w:val="right"/>
              <w:rPr>
                <w:rFonts w:ascii="Arial" w:hAnsi="Arial" w:cs="Arial"/>
                <w:b/>
                <w:color w:val="000000" w:themeColor="text1"/>
                <w:sz w:val="20"/>
                <w:szCs w:val="20"/>
              </w:rPr>
            </w:pPr>
            <w:r w:rsidRPr="007857E6">
              <w:rPr>
                <w:rFonts w:ascii="Arial" w:hAnsi="Arial" w:cs="Arial"/>
                <w:b/>
                <w:color w:val="000000" w:themeColor="text1"/>
                <w:sz w:val="20"/>
                <w:szCs w:val="20"/>
              </w:rPr>
              <w:t>DESPEN:</w:t>
            </w:r>
          </w:p>
        </w:tc>
        <w:tc>
          <w:tcPr>
            <w:tcW w:w="2958" w:type="pct"/>
            <w:vAlign w:val="center"/>
          </w:tcPr>
          <w:p w14:paraId="1116EACF" w14:textId="77777777" w:rsidR="00A26384" w:rsidRPr="007857E6" w:rsidRDefault="00A26384" w:rsidP="00460DD6">
            <w:pPr>
              <w:spacing w:before="40" w:after="40"/>
              <w:rPr>
                <w:rFonts w:ascii="Arial" w:hAnsi="Arial" w:cs="Arial"/>
                <w:color w:val="000000" w:themeColor="text1"/>
                <w:sz w:val="20"/>
                <w:szCs w:val="20"/>
              </w:rPr>
            </w:pPr>
            <w:r w:rsidRPr="007857E6">
              <w:rPr>
                <w:rFonts w:ascii="Arial" w:hAnsi="Arial" w:cs="Arial"/>
                <w:color w:val="000000" w:themeColor="text1"/>
                <w:sz w:val="20"/>
                <w:szCs w:val="20"/>
              </w:rPr>
              <w:t>Dirección Ejecutiva del Servicio Profesional Electoral Nacional del Instituto Nacional Electoral.</w:t>
            </w:r>
          </w:p>
        </w:tc>
      </w:tr>
      <w:tr w:rsidR="00A26384" w:rsidRPr="007857E6" w14:paraId="32AC96D3" w14:textId="77777777" w:rsidTr="00460DD6">
        <w:trPr>
          <w:trHeight w:val="624"/>
          <w:jc w:val="center"/>
        </w:trPr>
        <w:tc>
          <w:tcPr>
            <w:tcW w:w="2042" w:type="pct"/>
            <w:vAlign w:val="center"/>
          </w:tcPr>
          <w:p w14:paraId="66850913" w14:textId="77777777" w:rsidR="00A26384" w:rsidRPr="007857E6" w:rsidRDefault="00A26384" w:rsidP="00460DD6">
            <w:pPr>
              <w:spacing w:before="40" w:after="40"/>
              <w:jc w:val="right"/>
              <w:rPr>
                <w:rFonts w:ascii="Arial" w:hAnsi="Arial" w:cs="Arial"/>
                <w:b/>
                <w:sz w:val="20"/>
                <w:szCs w:val="20"/>
              </w:rPr>
            </w:pPr>
            <w:r w:rsidRPr="007857E6">
              <w:rPr>
                <w:rFonts w:ascii="Arial" w:hAnsi="Arial" w:cs="Arial"/>
                <w:b/>
                <w:sz w:val="20"/>
                <w:szCs w:val="20"/>
              </w:rPr>
              <w:t>Estatuto:</w:t>
            </w:r>
          </w:p>
        </w:tc>
        <w:tc>
          <w:tcPr>
            <w:tcW w:w="2958" w:type="pct"/>
            <w:vAlign w:val="center"/>
          </w:tcPr>
          <w:p w14:paraId="18BA005C" w14:textId="77777777" w:rsidR="00A26384" w:rsidRPr="007857E6" w:rsidRDefault="00A26384" w:rsidP="00460DD6">
            <w:pPr>
              <w:spacing w:before="40" w:after="40"/>
              <w:rPr>
                <w:rFonts w:ascii="Arial" w:hAnsi="Arial" w:cs="Arial"/>
                <w:sz w:val="20"/>
                <w:szCs w:val="20"/>
              </w:rPr>
            </w:pPr>
            <w:r w:rsidRPr="007857E6">
              <w:rPr>
                <w:rFonts w:ascii="Arial" w:hAnsi="Arial" w:cs="Arial"/>
                <w:sz w:val="20"/>
                <w:szCs w:val="20"/>
              </w:rPr>
              <w:t>Estatuto del Servicio Profesional Electoral Nacional y del Personal de la Rama Administrativa.</w:t>
            </w:r>
          </w:p>
        </w:tc>
      </w:tr>
      <w:tr w:rsidR="00A26384" w:rsidRPr="007857E6" w14:paraId="43D5C240" w14:textId="77777777" w:rsidTr="00460DD6">
        <w:trPr>
          <w:trHeight w:val="624"/>
          <w:jc w:val="center"/>
        </w:trPr>
        <w:tc>
          <w:tcPr>
            <w:tcW w:w="2042" w:type="pct"/>
            <w:vAlign w:val="center"/>
          </w:tcPr>
          <w:p w14:paraId="2222E87B" w14:textId="77777777" w:rsidR="00A26384" w:rsidRPr="007857E6" w:rsidRDefault="00A26384" w:rsidP="00460DD6">
            <w:pPr>
              <w:spacing w:before="40" w:after="40"/>
              <w:jc w:val="right"/>
              <w:rPr>
                <w:rFonts w:ascii="Arial" w:hAnsi="Arial" w:cs="Arial"/>
                <w:b/>
                <w:sz w:val="20"/>
                <w:szCs w:val="20"/>
              </w:rPr>
            </w:pPr>
            <w:r w:rsidRPr="007857E6">
              <w:rPr>
                <w:rFonts w:ascii="Arial" w:hAnsi="Arial" w:cs="Arial"/>
                <w:b/>
                <w:sz w:val="20"/>
                <w:szCs w:val="20"/>
              </w:rPr>
              <w:t>INE:</w:t>
            </w:r>
          </w:p>
        </w:tc>
        <w:tc>
          <w:tcPr>
            <w:tcW w:w="2958" w:type="pct"/>
            <w:vAlign w:val="center"/>
          </w:tcPr>
          <w:p w14:paraId="303D89A1" w14:textId="77777777" w:rsidR="00A26384" w:rsidRPr="007857E6" w:rsidRDefault="00A26384" w:rsidP="00460DD6">
            <w:pPr>
              <w:spacing w:before="40" w:after="40"/>
              <w:rPr>
                <w:rFonts w:ascii="Arial" w:hAnsi="Arial" w:cs="Arial"/>
                <w:sz w:val="20"/>
                <w:szCs w:val="20"/>
              </w:rPr>
            </w:pPr>
            <w:r w:rsidRPr="007857E6">
              <w:rPr>
                <w:rFonts w:ascii="Arial" w:hAnsi="Arial" w:cs="Arial"/>
                <w:sz w:val="20"/>
                <w:szCs w:val="20"/>
              </w:rPr>
              <w:t>Instituto Nacional Electoral.</w:t>
            </w:r>
          </w:p>
        </w:tc>
      </w:tr>
      <w:tr w:rsidR="00A26384" w:rsidRPr="007857E6" w14:paraId="49AFD026" w14:textId="77777777" w:rsidTr="00460DD6">
        <w:trPr>
          <w:trHeight w:val="624"/>
          <w:jc w:val="center"/>
        </w:trPr>
        <w:tc>
          <w:tcPr>
            <w:tcW w:w="2042" w:type="pct"/>
            <w:vAlign w:val="center"/>
          </w:tcPr>
          <w:p w14:paraId="7A89E624" w14:textId="77777777" w:rsidR="00A26384" w:rsidRPr="007857E6" w:rsidRDefault="00A26384" w:rsidP="00460DD6">
            <w:pPr>
              <w:spacing w:before="40" w:after="40"/>
              <w:jc w:val="right"/>
              <w:rPr>
                <w:rFonts w:ascii="Arial" w:hAnsi="Arial" w:cs="Arial"/>
                <w:b/>
                <w:sz w:val="20"/>
                <w:szCs w:val="20"/>
              </w:rPr>
            </w:pPr>
            <w:r w:rsidRPr="007857E6">
              <w:rPr>
                <w:rFonts w:ascii="Arial" w:hAnsi="Arial" w:cs="Arial"/>
                <w:b/>
                <w:sz w:val="20"/>
                <w:szCs w:val="20"/>
              </w:rPr>
              <w:t>Instituto:</w:t>
            </w:r>
          </w:p>
        </w:tc>
        <w:tc>
          <w:tcPr>
            <w:tcW w:w="2958" w:type="pct"/>
          </w:tcPr>
          <w:p w14:paraId="174EEB91" w14:textId="77777777" w:rsidR="00A26384" w:rsidRPr="007857E6" w:rsidRDefault="00A26384" w:rsidP="00460DD6">
            <w:pPr>
              <w:spacing w:before="40" w:after="40"/>
              <w:rPr>
                <w:rFonts w:ascii="Arial" w:hAnsi="Arial" w:cs="Arial"/>
                <w:sz w:val="20"/>
                <w:szCs w:val="20"/>
              </w:rPr>
            </w:pPr>
            <w:r w:rsidRPr="007857E6">
              <w:rPr>
                <w:rFonts w:ascii="Arial" w:hAnsi="Arial" w:cs="Arial"/>
                <w:sz w:val="20"/>
                <w:szCs w:val="20"/>
              </w:rPr>
              <w:t>Instituto Electoral y de Participación Ciudadana de Tabasco.</w:t>
            </w:r>
          </w:p>
        </w:tc>
      </w:tr>
      <w:tr w:rsidR="00A26384" w:rsidRPr="007857E6" w14:paraId="0DF43D8D" w14:textId="77777777" w:rsidTr="00460DD6">
        <w:trPr>
          <w:trHeight w:val="624"/>
          <w:jc w:val="center"/>
        </w:trPr>
        <w:tc>
          <w:tcPr>
            <w:tcW w:w="2042" w:type="pct"/>
            <w:vAlign w:val="center"/>
          </w:tcPr>
          <w:p w14:paraId="78D11DAA" w14:textId="77777777" w:rsidR="00A26384" w:rsidRPr="007857E6" w:rsidRDefault="00A26384" w:rsidP="00460DD6">
            <w:pPr>
              <w:spacing w:before="40" w:after="40"/>
              <w:jc w:val="right"/>
              <w:rPr>
                <w:rFonts w:ascii="Arial" w:hAnsi="Arial" w:cs="Arial"/>
                <w:b/>
                <w:sz w:val="20"/>
                <w:szCs w:val="20"/>
              </w:rPr>
            </w:pPr>
            <w:r w:rsidRPr="007857E6">
              <w:rPr>
                <w:rFonts w:ascii="Arial" w:hAnsi="Arial" w:cs="Arial"/>
                <w:b/>
                <w:sz w:val="20"/>
                <w:szCs w:val="20"/>
              </w:rPr>
              <w:t>Ley Electoral:</w:t>
            </w:r>
          </w:p>
        </w:tc>
        <w:tc>
          <w:tcPr>
            <w:tcW w:w="2958" w:type="pct"/>
            <w:vAlign w:val="center"/>
          </w:tcPr>
          <w:p w14:paraId="096BF720" w14:textId="77777777" w:rsidR="00A26384" w:rsidRPr="007857E6" w:rsidRDefault="00A26384" w:rsidP="00460DD6">
            <w:pPr>
              <w:spacing w:before="40" w:after="40"/>
              <w:rPr>
                <w:rFonts w:ascii="Arial" w:hAnsi="Arial" w:cs="Arial"/>
                <w:sz w:val="20"/>
                <w:szCs w:val="20"/>
              </w:rPr>
            </w:pPr>
            <w:r w:rsidRPr="007857E6">
              <w:rPr>
                <w:rFonts w:ascii="Arial" w:hAnsi="Arial" w:cs="Arial"/>
                <w:sz w:val="20"/>
                <w:szCs w:val="20"/>
              </w:rPr>
              <w:t>Ley Electoral y de Partidos Políticos del Estado de Tabasco.</w:t>
            </w:r>
          </w:p>
        </w:tc>
      </w:tr>
      <w:tr w:rsidR="00A26384" w:rsidRPr="007857E6" w14:paraId="1C7B1783" w14:textId="77777777" w:rsidTr="00460DD6">
        <w:trPr>
          <w:trHeight w:val="624"/>
          <w:jc w:val="center"/>
        </w:trPr>
        <w:tc>
          <w:tcPr>
            <w:tcW w:w="2042" w:type="pct"/>
            <w:vAlign w:val="center"/>
          </w:tcPr>
          <w:p w14:paraId="6DEA032A" w14:textId="77777777" w:rsidR="00A26384" w:rsidRPr="007857E6" w:rsidRDefault="00A26384" w:rsidP="00460DD6">
            <w:pPr>
              <w:spacing w:before="40" w:after="40"/>
              <w:jc w:val="right"/>
              <w:rPr>
                <w:rFonts w:ascii="Arial" w:hAnsi="Arial" w:cs="Arial"/>
                <w:b/>
                <w:sz w:val="20"/>
                <w:szCs w:val="20"/>
              </w:rPr>
            </w:pPr>
            <w:r w:rsidRPr="007857E6">
              <w:rPr>
                <w:rFonts w:ascii="Arial" w:hAnsi="Arial" w:cs="Arial"/>
                <w:b/>
                <w:sz w:val="20"/>
                <w:szCs w:val="20"/>
              </w:rPr>
              <w:t>Ley General:</w:t>
            </w:r>
          </w:p>
        </w:tc>
        <w:tc>
          <w:tcPr>
            <w:tcW w:w="2958" w:type="pct"/>
            <w:vAlign w:val="center"/>
          </w:tcPr>
          <w:p w14:paraId="45886442" w14:textId="77777777" w:rsidR="00A26384" w:rsidRPr="007857E6" w:rsidRDefault="00A26384" w:rsidP="00460DD6">
            <w:pPr>
              <w:spacing w:before="40" w:after="40"/>
              <w:rPr>
                <w:rFonts w:ascii="Arial" w:hAnsi="Arial" w:cs="Arial"/>
                <w:sz w:val="20"/>
                <w:szCs w:val="20"/>
              </w:rPr>
            </w:pPr>
            <w:r w:rsidRPr="007857E6">
              <w:rPr>
                <w:rFonts w:ascii="Arial" w:hAnsi="Arial" w:cs="Arial"/>
                <w:sz w:val="20"/>
                <w:szCs w:val="20"/>
              </w:rPr>
              <w:t>Ley General de Instituciones y Procedimientos Electorales.</w:t>
            </w:r>
          </w:p>
        </w:tc>
      </w:tr>
      <w:tr w:rsidR="00A26384" w:rsidRPr="007857E6" w14:paraId="006AAC19" w14:textId="77777777" w:rsidTr="00460DD6">
        <w:trPr>
          <w:trHeight w:val="624"/>
          <w:jc w:val="center"/>
        </w:trPr>
        <w:tc>
          <w:tcPr>
            <w:tcW w:w="2042" w:type="pct"/>
            <w:vAlign w:val="center"/>
          </w:tcPr>
          <w:p w14:paraId="3941C6C5" w14:textId="77777777" w:rsidR="00A26384" w:rsidRPr="007857E6" w:rsidRDefault="00A26384" w:rsidP="00460DD6">
            <w:pPr>
              <w:spacing w:before="40" w:after="40"/>
              <w:jc w:val="right"/>
              <w:rPr>
                <w:rFonts w:ascii="Arial" w:hAnsi="Arial" w:cs="Arial"/>
                <w:b/>
                <w:sz w:val="20"/>
                <w:szCs w:val="20"/>
              </w:rPr>
            </w:pPr>
            <w:r w:rsidRPr="007857E6">
              <w:rPr>
                <w:rFonts w:ascii="Arial" w:hAnsi="Arial" w:cs="Arial"/>
                <w:b/>
                <w:sz w:val="20"/>
                <w:szCs w:val="20"/>
              </w:rPr>
              <w:lastRenderedPageBreak/>
              <w:t>Lineamientos:</w:t>
            </w:r>
          </w:p>
        </w:tc>
        <w:tc>
          <w:tcPr>
            <w:tcW w:w="2958" w:type="pct"/>
            <w:vAlign w:val="center"/>
          </w:tcPr>
          <w:p w14:paraId="2B7346AA" w14:textId="77777777" w:rsidR="00A26384" w:rsidRPr="007857E6" w:rsidRDefault="00A26384" w:rsidP="00460DD6">
            <w:pPr>
              <w:spacing w:before="40" w:after="40"/>
              <w:rPr>
                <w:rFonts w:ascii="Arial" w:hAnsi="Arial" w:cs="Arial"/>
                <w:sz w:val="20"/>
                <w:szCs w:val="20"/>
              </w:rPr>
            </w:pPr>
            <w:r w:rsidRPr="007857E6">
              <w:rPr>
                <w:rFonts w:ascii="Arial" w:hAnsi="Arial" w:cs="Arial"/>
                <w:sz w:val="20"/>
                <w:szCs w:val="20"/>
              </w:rPr>
              <w:t>Lineamientos para el otorgamiento de Incentivos al personal del Servicio Profesional Electoral Nacional en el Sistema de los Organismos Públicos Locales Electorales.</w:t>
            </w:r>
          </w:p>
        </w:tc>
      </w:tr>
      <w:tr w:rsidR="00A26384" w:rsidRPr="007857E6" w14:paraId="4A0FACE5" w14:textId="77777777" w:rsidTr="00460DD6">
        <w:trPr>
          <w:trHeight w:val="624"/>
          <w:jc w:val="center"/>
        </w:trPr>
        <w:tc>
          <w:tcPr>
            <w:tcW w:w="2042" w:type="pct"/>
            <w:vAlign w:val="center"/>
          </w:tcPr>
          <w:p w14:paraId="1758E160" w14:textId="77777777" w:rsidR="00A26384" w:rsidRPr="007857E6" w:rsidRDefault="00A26384" w:rsidP="00460DD6">
            <w:pPr>
              <w:spacing w:before="40" w:after="40"/>
              <w:jc w:val="right"/>
              <w:rPr>
                <w:rFonts w:ascii="Arial" w:hAnsi="Arial" w:cs="Arial"/>
                <w:b/>
                <w:sz w:val="20"/>
                <w:szCs w:val="20"/>
              </w:rPr>
            </w:pPr>
            <w:r w:rsidRPr="007857E6">
              <w:rPr>
                <w:rFonts w:ascii="Arial" w:hAnsi="Arial" w:cs="Arial"/>
                <w:b/>
                <w:sz w:val="20"/>
                <w:szCs w:val="20"/>
              </w:rPr>
              <w:t>Organismo(s) Electoral(es):</w:t>
            </w:r>
          </w:p>
        </w:tc>
        <w:tc>
          <w:tcPr>
            <w:tcW w:w="2958" w:type="pct"/>
            <w:vAlign w:val="center"/>
          </w:tcPr>
          <w:p w14:paraId="47CACC62" w14:textId="77777777" w:rsidR="00A26384" w:rsidRPr="007857E6" w:rsidRDefault="00A26384" w:rsidP="00460DD6">
            <w:pPr>
              <w:spacing w:before="40" w:after="40"/>
              <w:rPr>
                <w:rFonts w:ascii="Arial" w:hAnsi="Arial" w:cs="Arial"/>
                <w:sz w:val="20"/>
                <w:szCs w:val="20"/>
              </w:rPr>
            </w:pPr>
            <w:r w:rsidRPr="007857E6">
              <w:rPr>
                <w:rFonts w:ascii="Arial" w:hAnsi="Arial" w:cs="Arial"/>
                <w:sz w:val="20"/>
                <w:szCs w:val="20"/>
              </w:rPr>
              <w:t>Organismo(s) Público(s) Local(es) Electoral(es).</w:t>
            </w:r>
          </w:p>
        </w:tc>
      </w:tr>
      <w:tr w:rsidR="00A26384" w:rsidRPr="007857E6" w14:paraId="692B1FED" w14:textId="77777777" w:rsidTr="00460DD6">
        <w:trPr>
          <w:trHeight w:val="624"/>
          <w:jc w:val="center"/>
        </w:trPr>
        <w:tc>
          <w:tcPr>
            <w:tcW w:w="2042" w:type="pct"/>
            <w:vAlign w:val="center"/>
          </w:tcPr>
          <w:p w14:paraId="5668B4E4" w14:textId="77777777" w:rsidR="00A26384" w:rsidRPr="007857E6" w:rsidRDefault="00A26384" w:rsidP="00460DD6">
            <w:pPr>
              <w:spacing w:before="40" w:after="40"/>
              <w:jc w:val="right"/>
              <w:rPr>
                <w:rFonts w:ascii="Arial" w:hAnsi="Arial" w:cs="Arial"/>
                <w:b/>
                <w:sz w:val="20"/>
                <w:szCs w:val="20"/>
              </w:rPr>
            </w:pPr>
            <w:r w:rsidRPr="007857E6">
              <w:rPr>
                <w:rFonts w:ascii="Arial" w:hAnsi="Arial" w:cs="Arial"/>
                <w:b/>
                <w:sz w:val="20"/>
                <w:szCs w:val="20"/>
              </w:rPr>
              <w:t>Órgano de Enlace:</w:t>
            </w:r>
          </w:p>
        </w:tc>
        <w:tc>
          <w:tcPr>
            <w:tcW w:w="2958" w:type="pct"/>
            <w:vAlign w:val="center"/>
          </w:tcPr>
          <w:p w14:paraId="09F077A8" w14:textId="77777777" w:rsidR="00A26384" w:rsidRPr="007857E6" w:rsidRDefault="00A26384" w:rsidP="00460DD6">
            <w:pPr>
              <w:spacing w:before="40" w:after="40"/>
              <w:rPr>
                <w:rFonts w:ascii="Arial" w:hAnsi="Arial" w:cs="Arial"/>
                <w:sz w:val="20"/>
                <w:szCs w:val="20"/>
              </w:rPr>
            </w:pPr>
            <w:r w:rsidRPr="007857E6">
              <w:rPr>
                <w:rFonts w:ascii="Arial" w:hAnsi="Arial" w:cs="Arial"/>
                <w:sz w:val="20"/>
                <w:szCs w:val="20"/>
              </w:rPr>
              <w:t>Órgano de Enlace del Instituto Electoral y de Participación Ciudadana de Tabasco.</w:t>
            </w:r>
          </w:p>
        </w:tc>
      </w:tr>
      <w:tr w:rsidR="00D960AF" w:rsidRPr="007857E6" w14:paraId="3590B00B" w14:textId="77777777" w:rsidTr="00460DD6">
        <w:trPr>
          <w:trHeight w:val="624"/>
          <w:jc w:val="center"/>
        </w:trPr>
        <w:tc>
          <w:tcPr>
            <w:tcW w:w="2042" w:type="pct"/>
            <w:vAlign w:val="center"/>
          </w:tcPr>
          <w:p w14:paraId="16A84B11" w14:textId="7DCAF563" w:rsidR="00D960AF" w:rsidRPr="007857E6" w:rsidRDefault="00D960AF" w:rsidP="00460DD6">
            <w:pPr>
              <w:spacing w:before="40" w:after="40"/>
              <w:jc w:val="right"/>
              <w:rPr>
                <w:rFonts w:ascii="Arial" w:hAnsi="Arial" w:cs="Arial"/>
                <w:b/>
                <w:sz w:val="20"/>
                <w:szCs w:val="20"/>
              </w:rPr>
            </w:pPr>
            <w:r w:rsidRPr="007857E6">
              <w:rPr>
                <w:rFonts w:ascii="Arial" w:hAnsi="Arial" w:cs="Arial"/>
                <w:b/>
                <w:sz w:val="20"/>
                <w:szCs w:val="20"/>
              </w:rPr>
              <w:t>Programa de Incentivos:</w:t>
            </w:r>
          </w:p>
        </w:tc>
        <w:tc>
          <w:tcPr>
            <w:tcW w:w="2958" w:type="pct"/>
            <w:vAlign w:val="center"/>
          </w:tcPr>
          <w:p w14:paraId="5154997A" w14:textId="34B9E46F" w:rsidR="00D960AF" w:rsidRPr="007857E6" w:rsidRDefault="00D960AF" w:rsidP="00460DD6">
            <w:pPr>
              <w:spacing w:before="40" w:after="40"/>
              <w:rPr>
                <w:rFonts w:ascii="Arial" w:hAnsi="Arial" w:cs="Arial"/>
                <w:sz w:val="20"/>
                <w:szCs w:val="20"/>
              </w:rPr>
            </w:pPr>
            <w:r w:rsidRPr="007857E6">
              <w:rPr>
                <w:rFonts w:ascii="Arial" w:hAnsi="Arial" w:cs="Arial"/>
                <w:sz w:val="20"/>
                <w:szCs w:val="20"/>
              </w:rPr>
              <w:t>Programa de Incentivos para el personal del Servicio Profesional Electoral Nacional del Instituto Electoral y de Participación Ciudadana de Tabasco.</w:t>
            </w:r>
          </w:p>
        </w:tc>
      </w:tr>
      <w:tr w:rsidR="00A26384" w:rsidRPr="007857E6" w14:paraId="183ED11B" w14:textId="77777777" w:rsidTr="00460DD6">
        <w:trPr>
          <w:trHeight w:val="624"/>
          <w:jc w:val="center"/>
        </w:trPr>
        <w:tc>
          <w:tcPr>
            <w:tcW w:w="2042" w:type="pct"/>
            <w:vAlign w:val="center"/>
          </w:tcPr>
          <w:p w14:paraId="3674B445" w14:textId="77777777" w:rsidR="00A26384" w:rsidRPr="007857E6" w:rsidRDefault="00A26384" w:rsidP="00460DD6">
            <w:pPr>
              <w:spacing w:before="40" w:after="40"/>
              <w:jc w:val="right"/>
              <w:rPr>
                <w:rFonts w:ascii="Arial" w:hAnsi="Arial" w:cs="Arial"/>
                <w:b/>
                <w:sz w:val="20"/>
                <w:szCs w:val="20"/>
              </w:rPr>
            </w:pPr>
            <w:r w:rsidRPr="007857E6">
              <w:rPr>
                <w:rFonts w:ascii="Arial" w:hAnsi="Arial" w:cs="Arial"/>
                <w:b/>
                <w:sz w:val="20"/>
                <w:szCs w:val="20"/>
              </w:rPr>
              <w:t>Reglamento de Comisiones:</w:t>
            </w:r>
          </w:p>
        </w:tc>
        <w:tc>
          <w:tcPr>
            <w:tcW w:w="2958" w:type="pct"/>
            <w:vAlign w:val="center"/>
          </w:tcPr>
          <w:p w14:paraId="3634877F" w14:textId="77777777" w:rsidR="00A26384" w:rsidRPr="007857E6" w:rsidRDefault="00A26384" w:rsidP="00460DD6">
            <w:pPr>
              <w:spacing w:before="40" w:after="40"/>
              <w:rPr>
                <w:rFonts w:ascii="Arial" w:hAnsi="Arial" w:cs="Arial"/>
                <w:sz w:val="20"/>
                <w:szCs w:val="20"/>
              </w:rPr>
            </w:pPr>
            <w:r w:rsidRPr="007857E6">
              <w:rPr>
                <w:rFonts w:ascii="Arial" w:hAnsi="Arial" w:cs="Arial"/>
                <w:sz w:val="20"/>
                <w:szCs w:val="20"/>
              </w:rPr>
              <w:t>Reglamento de Comisiones del Consejo Estatal del Instituto Electoral y de Participación Ciudadana de Tabasco.</w:t>
            </w:r>
          </w:p>
        </w:tc>
      </w:tr>
      <w:tr w:rsidR="00A26384" w:rsidRPr="007857E6" w14:paraId="37B4A10E" w14:textId="77777777" w:rsidTr="00460DD6">
        <w:trPr>
          <w:trHeight w:val="624"/>
          <w:jc w:val="center"/>
        </w:trPr>
        <w:tc>
          <w:tcPr>
            <w:tcW w:w="2042" w:type="pct"/>
            <w:vAlign w:val="center"/>
          </w:tcPr>
          <w:p w14:paraId="3CE8B49A" w14:textId="77777777" w:rsidR="00A26384" w:rsidRPr="007857E6" w:rsidRDefault="00A26384" w:rsidP="00460DD6">
            <w:pPr>
              <w:spacing w:before="40" w:after="40"/>
              <w:jc w:val="right"/>
              <w:rPr>
                <w:rFonts w:ascii="Arial" w:hAnsi="Arial" w:cs="Arial"/>
                <w:b/>
                <w:sz w:val="20"/>
                <w:szCs w:val="20"/>
              </w:rPr>
            </w:pPr>
            <w:r w:rsidRPr="007857E6">
              <w:rPr>
                <w:rFonts w:ascii="Arial" w:hAnsi="Arial" w:cs="Arial"/>
                <w:b/>
                <w:sz w:val="20"/>
                <w:szCs w:val="20"/>
              </w:rPr>
              <w:t>Secretaría Ejecutiva:</w:t>
            </w:r>
          </w:p>
        </w:tc>
        <w:tc>
          <w:tcPr>
            <w:tcW w:w="2958" w:type="pct"/>
            <w:vAlign w:val="center"/>
          </w:tcPr>
          <w:p w14:paraId="46654FD6" w14:textId="77777777" w:rsidR="00A26384" w:rsidRPr="007857E6" w:rsidRDefault="00A26384" w:rsidP="00460DD6">
            <w:pPr>
              <w:spacing w:before="40" w:after="40"/>
              <w:rPr>
                <w:rFonts w:ascii="Arial" w:hAnsi="Arial" w:cs="Arial"/>
                <w:sz w:val="20"/>
                <w:szCs w:val="20"/>
              </w:rPr>
            </w:pPr>
            <w:r w:rsidRPr="007857E6">
              <w:rPr>
                <w:rFonts w:ascii="Arial" w:hAnsi="Arial" w:cs="Arial"/>
                <w:sz w:val="20"/>
                <w:szCs w:val="20"/>
              </w:rPr>
              <w:t>Secretaría Ejecutiva del Instituto Electoral y de Participación Ciudadana de Tabasco.</w:t>
            </w:r>
          </w:p>
        </w:tc>
      </w:tr>
      <w:tr w:rsidR="00A26384" w:rsidRPr="007857E6" w14:paraId="263E1334" w14:textId="77777777" w:rsidTr="00460DD6">
        <w:trPr>
          <w:trHeight w:val="624"/>
          <w:jc w:val="center"/>
        </w:trPr>
        <w:tc>
          <w:tcPr>
            <w:tcW w:w="2042" w:type="pct"/>
            <w:vAlign w:val="center"/>
          </w:tcPr>
          <w:p w14:paraId="27936789" w14:textId="77777777" w:rsidR="00A26384" w:rsidRPr="007857E6" w:rsidRDefault="00A26384" w:rsidP="00460DD6">
            <w:pPr>
              <w:spacing w:before="40" w:after="40"/>
              <w:jc w:val="right"/>
              <w:rPr>
                <w:rFonts w:ascii="Arial" w:hAnsi="Arial" w:cs="Arial"/>
                <w:b/>
                <w:sz w:val="20"/>
                <w:szCs w:val="20"/>
              </w:rPr>
            </w:pPr>
            <w:r w:rsidRPr="007857E6">
              <w:rPr>
                <w:rFonts w:ascii="Arial" w:hAnsi="Arial" w:cs="Arial"/>
                <w:b/>
                <w:sz w:val="20"/>
                <w:szCs w:val="20"/>
              </w:rPr>
              <w:t xml:space="preserve">Servicio Profesional: </w:t>
            </w:r>
          </w:p>
        </w:tc>
        <w:tc>
          <w:tcPr>
            <w:tcW w:w="2958" w:type="pct"/>
            <w:vAlign w:val="center"/>
          </w:tcPr>
          <w:p w14:paraId="5CF7B741" w14:textId="77777777" w:rsidR="00A26384" w:rsidRPr="007857E6" w:rsidRDefault="00A26384" w:rsidP="00460DD6">
            <w:pPr>
              <w:spacing w:before="40" w:after="40"/>
              <w:rPr>
                <w:rFonts w:ascii="Arial" w:hAnsi="Arial" w:cs="Arial"/>
                <w:sz w:val="20"/>
                <w:szCs w:val="20"/>
              </w:rPr>
            </w:pPr>
            <w:r w:rsidRPr="007857E6">
              <w:rPr>
                <w:rFonts w:ascii="Arial" w:hAnsi="Arial" w:cs="Arial"/>
                <w:sz w:val="20"/>
                <w:szCs w:val="20"/>
              </w:rPr>
              <w:t>Servicio Profesional Electoral Nacional.</w:t>
            </w:r>
          </w:p>
        </w:tc>
      </w:tr>
    </w:tbl>
    <w:p w14:paraId="36737C85" w14:textId="77777777" w:rsidR="00A26384" w:rsidRPr="007857E6" w:rsidRDefault="00A26384" w:rsidP="00A26384">
      <w:pPr>
        <w:pStyle w:val="Ttulo1"/>
        <w:rPr>
          <w:rFonts w:ascii="Arial" w:hAnsi="Arial" w:cs="Arial"/>
          <w:sz w:val="24"/>
          <w:szCs w:val="24"/>
        </w:rPr>
      </w:pPr>
      <w:r w:rsidRPr="007857E6">
        <w:rPr>
          <w:rFonts w:ascii="Arial" w:hAnsi="Arial" w:cs="Arial"/>
          <w:sz w:val="24"/>
          <w:szCs w:val="24"/>
        </w:rPr>
        <w:t>Antecedentes</w:t>
      </w:r>
    </w:p>
    <w:p w14:paraId="162E14F7" w14:textId="77777777" w:rsidR="00EC30F1" w:rsidRPr="007857E6" w:rsidRDefault="00EC30F1" w:rsidP="00EC30F1">
      <w:pPr>
        <w:pStyle w:val="Ttulo2"/>
        <w:rPr>
          <w:rFonts w:ascii="Arial" w:hAnsi="Arial" w:cs="Arial"/>
          <w:sz w:val="22"/>
        </w:rPr>
      </w:pPr>
      <w:r w:rsidRPr="007857E6">
        <w:rPr>
          <w:rFonts w:ascii="Arial" w:hAnsi="Arial" w:cs="Arial"/>
          <w:sz w:val="22"/>
        </w:rPr>
        <w:t xml:space="preserve">Fines del Instituto </w:t>
      </w:r>
    </w:p>
    <w:p w14:paraId="0B8CD667" w14:textId="77777777" w:rsidR="006F5E26" w:rsidRPr="007857E6" w:rsidRDefault="006F5E26" w:rsidP="006F5E26">
      <w:pPr>
        <w:rPr>
          <w:rFonts w:ascii="Arial" w:hAnsi="Arial" w:cs="Arial"/>
          <w:sz w:val="22"/>
        </w:rPr>
      </w:pPr>
      <w:r w:rsidRPr="007857E6">
        <w:rPr>
          <w:rFonts w:ascii="Arial" w:hAnsi="Arial" w:cs="Arial"/>
          <w:sz w:val="22"/>
        </w:rPr>
        <w:t>De conformidad con el artículo 9, apartado “C”, base I, inciso a) de la Constitución Local, el Instituto es un organismo público local de carácter permanente, autónomo en su funcionamiento, independiente en sus decisiones y profesional en su desempeño, dotado de personalidad jurídica y patrimonio propio, cuyas actuaciones se rigen por los principios de certeza, legalidad, independencia, inclusión, imparcialidad, máxima publicidad, transparencia, rendición de cuentas, objetividad, paridad, interculturalidad y las realizarán con perspectiva de género y enfoque de derechos humanos.</w:t>
      </w:r>
    </w:p>
    <w:p w14:paraId="3509DECC" w14:textId="77777777" w:rsidR="006F5E26" w:rsidRPr="007857E6" w:rsidRDefault="006F5E26" w:rsidP="006F5E26">
      <w:pPr>
        <w:rPr>
          <w:rFonts w:ascii="Arial" w:hAnsi="Arial" w:cs="Arial"/>
          <w:sz w:val="22"/>
        </w:rPr>
      </w:pPr>
      <w:r w:rsidRPr="007857E6">
        <w:rPr>
          <w:rFonts w:ascii="Arial" w:hAnsi="Arial" w:cs="Arial"/>
          <w:sz w:val="22"/>
        </w:rPr>
        <w:t xml:space="preserve">Además, es responsable de la organización de las elecciones estatales, distritales y municipales, entre ellas la relativa a las personas titulares de las magistraturas del Tribunal de Disciplina Judicial y del Tribunal Superior de Justicia, así como de las Juezas y Jueces. </w:t>
      </w:r>
    </w:p>
    <w:p w14:paraId="3B61EDD8" w14:textId="2434DE6B" w:rsidR="00EC30F1" w:rsidRPr="007857E6" w:rsidRDefault="006F5E26" w:rsidP="006F5E26">
      <w:pPr>
        <w:rPr>
          <w:rFonts w:ascii="Arial" w:hAnsi="Arial" w:cs="Arial"/>
          <w:sz w:val="22"/>
        </w:rPr>
      </w:pPr>
      <w:r w:rsidRPr="007857E6">
        <w:rPr>
          <w:rFonts w:ascii="Arial" w:hAnsi="Arial" w:cs="Arial"/>
          <w:sz w:val="22"/>
        </w:rPr>
        <w:lastRenderedPageBreak/>
        <w:t xml:space="preserve">Las finalidades del Instituto, </w:t>
      </w:r>
      <w:r w:rsidR="00DA32D1" w:rsidRPr="007857E6">
        <w:rPr>
          <w:rFonts w:ascii="Arial" w:hAnsi="Arial" w:cs="Arial"/>
          <w:sz w:val="22"/>
        </w:rPr>
        <w:t xml:space="preserve">de acuerdo </w:t>
      </w:r>
      <w:r w:rsidRPr="007857E6">
        <w:rPr>
          <w:rFonts w:ascii="Arial" w:hAnsi="Arial" w:cs="Arial"/>
          <w:sz w:val="22"/>
        </w:rPr>
        <w:t>con el artículo 101 de la Ley Electoral son:  Contribuir al desarrollo de la vida pública y democrática en el estado de Tabasco, preservar el fortalecimiento del régimen de Partidos Políticos, asegurar a las ciudadanas y ciudadanos el ejercicio de sus derechos políticos electorales y vigilar el cumplimiento de sus obligaciones, garantizar la celebración periódica y pacífica de las elecciones para renovar a los integrantes de los poderes Legislativo, Ejecutivo, Judicial y los Ayuntamientos del Estado, velar por la autenticidad y efectividad del voto, llevar a cabo la promoción del voto y coadyuvar en la difusión de la educación cívica y de la cultura democrática, garantizar la paridad de género y el respeto de los derechos humanos de las mujeres en el ámbito político y electoral, y organizar o coadyuvar a la realización de los ejercicios de consultas populares y demás formas de participación ciudadana.</w:t>
      </w:r>
    </w:p>
    <w:p w14:paraId="4A2ECA69" w14:textId="77777777" w:rsidR="00EC30F1" w:rsidRPr="007857E6" w:rsidRDefault="00EC30F1" w:rsidP="00EC30F1">
      <w:pPr>
        <w:pStyle w:val="Ttulo2"/>
        <w:rPr>
          <w:rFonts w:ascii="Arial" w:hAnsi="Arial" w:cs="Arial"/>
          <w:sz w:val="22"/>
        </w:rPr>
      </w:pPr>
      <w:r w:rsidRPr="007857E6">
        <w:rPr>
          <w:rFonts w:ascii="Arial" w:hAnsi="Arial" w:cs="Arial"/>
          <w:sz w:val="22"/>
        </w:rPr>
        <w:t xml:space="preserve">Órgano Superior de Dirección del Instituto </w:t>
      </w:r>
    </w:p>
    <w:p w14:paraId="15113017" w14:textId="065E4AEA" w:rsidR="006F5E26" w:rsidRPr="007857E6" w:rsidRDefault="006F5E26" w:rsidP="006F5E26">
      <w:pPr>
        <w:rPr>
          <w:rFonts w:ascii="Arial" w:hAnsi="Arial" w:cs="Arial"/>
          <w:sz w:val="22"/>
        </w:rPr>
      </w:pPr>
      <w:r w:rsidRPr="007857E6">
        <w:rPr>
          <w:rFonts w:ascii="Arial" w:hAnsi="Arial" w:cs="Arial"/>
          <w:sz w:val="22"/>
        </w:rPr>
        <w:t xml:space="preserve">En términos del artículo 106 de la Ley Electoral, el Consejo Estatal es el </w:t>
      </w:r>
      <w:r w:rsidR="00DA32D1" w:rsidRPr="007857E6">
        <w:rPr>
          <w:rFonts w:ascii="Arial" w:hAnsi="Arial" w:cs="Arial"/>
          <w:sz w:val="22"/>
        </w:rPr>
        <w:t>órgano superior de dirección</w:t>
      </w:r>
      <w:r w:rsidRPr="007857E6">
        <w:rPr>
          <w:rFonts w:ascii="Arial" w:hAnsi="Arial" w:cs="Arial"/>
          <w:sz w:val="22"/>
        </w:rPr>
        <w:t>, responsable de vigilar el cumplimiento de las disposiciones constitucionales y legales en materia electoral, así como de velar porque los principios de certeza, legalidad, independencia, máxima publicidad, imparcialidad, objetividad y paridad de género, guíen todas las actividades del Instituto.</w:t>
      </w:r>
    </w:p>
    <w:p w14:paraId="2694A0DF" w14:textId="47D17D46" w:rsidR="00EC30F1" w:rsidRPr="007857E6" w:rsidRDefault="006F5E26" w:rsidP="00EC30F1">
      <w:pPr>
        <w:rPr>
          <w:rFonts w:ascii="Arial" w:hAnsi="Arial" w:cs="Arial"/>
          <w:sz w:val="22"/>
        </w:rPr>
      </w:pPr>
      <w:r w:rsidRPr="007857E6">
        <w:rPr>
          <w:rFonts w:ascii="Arial" w:hAnsi="Arial" w:cs="Arial"/>
          <w:sz w:val="22"/>
        </w:rPr>
        <w:t xml:space="preserve">Dicho órgano electoral, de conformidad con los artículos 99 </w:t>
      </w:r>
      <w:r w:rsidR="00CF67A8" w:rsidRPr="007857E6">
        <w:rPr>
          <w:rFonts w:ascii="Arial" w:hAnsi="Arial" w:cs="Arial"/>
          <w:sz w:val="22"/>
        </w:rPr>
        <w:t xml:space="preserve">numeral </w:t>
      </w:r>
      <w:r w:rsidR="00DC0C78" w:rsidRPr="007857E6">
        <w:rPr>
          <w:rFonts w:ascii="Arial" w:hAnsi="Arial" w:cs="Arial"/>
          <w:sz w:val="22"/>
        </w:rPr>
        <w:t>1</w:t>
      </w:r>
      <w:r w:rsidR="00CF67A8" w:rsidRPr="007857E6">
        <w:rPr>
          <w:rFonts w:ascii="Arial" w:hAnsi="Arial" w:cs="Arial"/>
          <w:sz w:val="22"/>
        </w:rPr>
        <w:t xml:space="preserve"> </w:t>
      </w:r>
      <w:r w:rsidRPr="007857E6">
        <w:rPr>
          <w:rFonts w:ascii="Arial" w:hAnsi="Arial" w:cs="Arial"/>
          <w:sz w:val="22"/>
        </w:rPr>
        <w:t>de la Ley General y 107 numeral 1 de la Ley Electoral, se integrará por una Consejera o un Consejero Presidente y seis consejeras y consejeros electorales, con voz y voto; la Secretaria o el Secretario Ejecutivo y una o un representante por cada partido político con registro nacional o estatal, quienes concurrirán a las sesiones sólo con derecho a voz</w:t>
      </w:r>
      <w:r w:rsidR="00EC30F1" w:rsidRPr="007857E6">
        <w:rPr>
          <w:rFonts w:ascii="Arial" w:hAnsi="Arial" w:cs="Arial"/>
          <w:sz w:val="22"/>
        </w:rPr>
        <w:t>.</w:t>
      </w:r>
    </w:p>
    <w:p w14:paraId="077CD0DD" w14:textId="4C059F28" w:rsidR="00A26384" w:rsidRPr="007857E6" w:rsidRDefault="00A26384" w:rsidP="00A26384">
      <w:pPr>
        <w:pStyle w:val="Ttulo2"/>
        <w:rPr>
          <w:rFonts w:ascii="Arial" w:hAnsi="Arial" w:cs="Arial"/>
          <w:sz w:val="22"/>
        </w:rPr>
      </w:pPr>
      <w:r w:rsidRPr="007857E6">
        <w:rPr>
          <w:rFonts w:ascii="Arial" w:hAnsi="Arial" w:cs="Arial"/>
          <w:sz w:val="22"/>
        </w:rPr>
        <w:t>Lineamientos</w:t>
      </w:r>
    </w:p>
    <w:p w14:paraId="5A6559E4" w14:textId="0B66F273" w:rsidR="00A26384" w:rsidRDefault="00A26384" w:rsidP="00A26384">
      <w:pPr>
        <w:rPr>
          <w:rFonts w:ascii="Arial" w:hAnsi="Arial" w:cs="Arial"/>
          <w:sz w:val="22"/>
        </w:rPr>
      </w:pPr>
      <w:r w:rsidRPr="007857E6">
        <w:rPr>
          <w:rFonts w:ascii="Arial" w:hAnsi="Arial" w:cs="Arial"/>
          <w:sz w:val="22"/>
        </w:rPr>
        <w:t>El 19 de marzo de 2021, la Junta General del INE aprobó el acuerdo INE/JGE53/2021, emitiendo los Lineamientos para el otorgamiento de Incentivos al personal del Servicio Profesional Electoral Nacional en el Sistema de los Organismos Públicos Locales Electorales.</w:t>
      </w:r>
    </w:p>
    <w:p w14:paraId="076FEB3D" w14:textId="67C84CE3" w:rsidR="007857E6" w:rsidRDefault="007857E6" w:rsidP="00A26384">
      <w:pPr>
        <w:rPr>
          <w:rFonts w:ascii="Arial" w:hAnsi="Arial" w:cs="Arial"/>
          <w:sz w:val="22"/>
        </w:rPr>
      </w:pPr>
    </w:p>
    <w:p w14:paraId="0A3A7BF5" w14:textId="77777777" w:rsidR="007857E6" w:rsidRPr="007857E6" w:rsidRDefault="007857E6" w:rsidP="00A26384">
      <w:pPr>
        <w:rPr>
          <w:rFonts w:ascii="Arial" w:hAnsi="Arial" w:cs="Arial"/>
          <w:sz w:val="22"/>
        </w:rPr>
      </w:pPr>
    </w:p>
    <w:p w14:paraId="7D367516" w14:textId="77777777" w:rsidR="00A26384" w:rsidRPr="007857E6" w:rsidRDefault="00A26384" w:rsidP="00A26384">
      <w:pPr>
        <w:pStyle w:val="Ttulo2"/>
        <w:rPr>
          <w:rFonts w:ascii="Arial" w:hAnsi="Arial" w:cs="Arial"/>
          <w:sz w:val="22"/>
        </w:rPr>
      </w:pPr>
      <w:r w:rsidRPr="007857E6">
        <w:rPr>
          <w:rFonts w:ascii="Arial" w:hAnsi="Arial" w:cs="Arial"/>
          <w:sz w:val="22"/>
        </w:rPr>
        <w:lastRenderedPageBreak/>
        <w:t>Programa de incentivos</w:t>
      </w:r>
    </w:p>
    <w:p w14:paraId="2D36D776" w14:textId="23F41B45" w:rsidR="007857E6" w:rsidRDefault="00A26384" w:rsidP="00A26384">
      <w:pPr>
        <w:rPr>
          <w:rFonts w:ascii="Arial" w:hAnsi="Arial" w:cs="Arial"/>
          <w:sz w:val="22"/>
        </w:rPr>
      </w:pPr>
      <w:r w:rsidRPr="007857E6">
        <w:rPr>
          <w:rFonts w:ascii="Arial" w:hAnsi="Arial" w:cs="Arial"/>
          <w:sz w:val="22"/>
        </w:rPr>
        <w:t>El 26 de agosto de 2021, mediante acuerdo CE/2021/080, el Consejo Estatal aprobó el Programa de Incentivos a partir del 2022, para el ejercicio valorado 2021 y los subsecuentes, que corresponde al personal del Servicio Profesi</w:t>
      </w:r>
      <w:r w:rsidR="00824FC3" w:rsidRPr="007857E6">
        <w:rPr>
          <w:rFonts w:ascii="Arial" w:hAnsi="Arial" w:cs="Arial"/>
          <w:sz w:val="22"/>
        </w:rPr>
        <w:t>onal de este Instituto</w:t>
      </w:r>
      <w:r w:rsidRPr="007857E6">
        <w:rPr>
          <w:rFonts w:ascii="Arial" w:hAnsi="Arial" w:cs="Arial"/>
          <w:sz w:val="22"/>
        </w:rPr>
        <w:t>.</w:t>
      </w:r>
    </w:p>
    <w:p w14:paraId="607E7279" w14:textId="78EA92C6" w:rsidR="00A26384" w:rsidRPr="007857E6" w:rsidRDefault="00284B85" w:rsidP="00A26384">
      <w:pPr>
        <w:pStyle w:val="Ttulo2"/>
        <w:rPr>
          <w:rFonts w:ascii="Arial" w:hAnsi="Arial" w:cs="Arial"/>
          <w:sz w:val="22"/>
        </w:rPr>
      </w:pPr>
      <w:r w:rsidRPr="007857E6">
        <w:rPr>
          <w:rFonts w:ascii="Arial" w:hAnsi="Arial" w:cs="Arial"/>
          <w:sz w:val="22"/>
        </w:rPr>
        <w:t>I</w:t>
      </w:r>
      <w:r w:rsidR="00A26384" w:rsidRPr="007857E6">
        <w:rPr>
          <w:rFonts w:ascii="Arial" w:hAnsi="Arial" w:cs="Arial"/>
          <w:sz w:val="22"/>
        </w:rPr>
        <w:t>ntegración de la Comisión de Seguimiento</w:t>
      </w:r>
    </w:p>
    <w:p w14:paraId="6DFA8749" w14:textId="019A9AF9" w:rsidR="00A26384" w:rsidRPr="007857E6" w:rsidRDefault="00A26384" w:rsidP="00A26384">
      <w:pPr>
        <w:rPr>
          <w:rFonts w:ascii="Arial" w:hAnsi="Arial" w:cs="Arial"/>
          <w:sz w:val="22"/>
        </w:rPr>
      </w:pPr>
      <w:r w:rsidRPr="007857E6">
        <w:rPr>
          <w:rFonts w:ascii="Arial" w:hAnsi="Arial" w:cs="Arial"/>
          <w:sz w:val="22"/>
        </w:rPr>
        <w:t>Que, el 4 de octubre de 2024 mediante acuerdo CE/2024/090, el Consejo Estatal modificó la conformación de las Comisiones Permanentes de Vinculación con el INE, de Organización Electoral y Educación Cívica, de Denuncias y Quejas, de Seguimiento al Servicio Profesional Electoral Nacional con carácter Administrativa, y de Igualdad de Género y No Discriminación del propio Instituto.</w:t>
      </w:r>
    </w:p>
    <w:p w14:paraId="3F24FAF9" w14:textId="35E557DC" w:rsidR="00A26384" w:rsidRPr="007857E6" w:rsidRDefault="00A26384" w:rsidP="00A26384">
      <w:pPr>
        <w:rPr>
          <w:rFonts w:ascii="Arial" w:hAnsi="Arial" w:cs="Arial"/>
          <w:sz w:val="22"/>
        </w:rPr>
      </w:pPr>
      <w:r w:rsidRPr="007857E6">
        <w:rPr>
          <w:rFonts w:ascii="Arial" w:hAnsi="Arial" w:cs="Arial"/>
          <w:sz w:val="22"/>
        </w:rPr>
        <w:t>La Comisión de Seguimiento qued</w:t>
      </w:r>
      <w:r w:rsidR="00284B85" w:rsidRPr="007857E6">
        <w:rPr>
          <w:rFonts w:ascii="Arial" w:hAnsi="Arial" w:cs="Arial"/>
          <w:sz w:val="22"/>
        </w:rPr>
        <w:t>ó</w:t>
      </w:r>
      <w:r w:rsidRPr="007857E6">
        <w:rPr>
          <w:rFonts w:ascii="Arial" w:hAnsi="Arial" w:cs="Arial"/>
          <w:sz w:val="22"/>
        </w:rPr>
        <w:t xml:space="preserve"> integrada por las Consejeras Electorales, Licda. María Elvia Magaña Sandoval, Licda. Monserrat Martínez </w:t>
      </w:r>
      <w:proofErr w:type="spellStart"/>
      <w:r w:rsidRPr="007857E6">
        <w:rPr>
          <w:rFonts w:ascii="Arial" w:hAnsi="Arial" w:cs="Arial"/>
          <w:sz w:val="22"/>
        </w:rPr>
        <w:t>Beaurregard</w:t>
      </w:r>
      <w:proofErr w:type="spellEnd"/>
      <w:r w:rsidRPr="007857E6">
        <w:rPr>
          <w:rFonts w:ascii="Arial" w:hAnsi="Arial" w:cs="Arial"/>
          <w:sz w:val="22"/>
        </w:rPr>
        <w:t xml:space="preserve"> y Licda. Ángela Guadalupe Araujo Segura, quien funge como Presidenta de la Comisión.</w:t>
      </w:r>
    </w:p>
    <w:p w14:paraId="34824244" w14:textId="13EAAECF" w:rsidR="004B505B" w:rsidRPr="007857E6" w:rsidRDefault="004B505B" w:rsidP="00A26384">
      <w:pPr>
        <w:pStyle w:val="Ttulo2"/>
        <w:rPr>
          <w:rFonts w:ascii="Arial" w:hAnsi="Arial" w:cs="Arial"/>
          <w:sz w:val="22"/>
        </w:rPr>
      </w:pPr>
      <w:r w:rsidRPr="007857E6">
        <w:rPr>
          <w:rFonts w:ascii="Arial" w:hAnsi="Arial" w:cs="Arial"/>
          <w:sz w:val="22"/>
        </w:rPr>
        <w:t>Remisión de dictámenes</w:t>
      </w:r>
    </w:p>
    <w:p w14:paraId="2DEEE195" w14:textId="32BE2F83" w:rsidR="004B505B" w:rsidRPr="007857E6" w:rsidRDefault="004B505B" w:rsidP="004B505B">
      <w:pPr>
        <w:rPr>
          <w:rFonts w:ascii="Arial" w:hAnsi="Arial" w:cs="Arial"/>
          <w:sz w:val="22"/>
        </w:rPr>
      </w:pPr>
      <w:r w:rsidRPr="007857E6">
        <w:rPr>
          <w:rFonts w:ascii="Arial" w:hAnsi="Arial" w:cs="Arial"/>
          <w:sz w:val="22"/>
        </w:rPr>
        <w:t>El 25 de julio de 2025 con fundamento en el artículo 15, inciso g) y 54 de los Lineamientos,</w:t>
      </w:r>
      <w:r w:rsidRPr="007857E6">
        <w:rPr>
          <w:rFonts w:ascii="Arial" w:hAnsi="Arial" w:cs="Arial"/>
          <w:color w:val="000000" w:themeColor="text1"/>
          <w:sz w:val="22"/>
        </w:rPr>
        <w:t xml:space="preserve"> mediante oficio OESPEN/SE/058/2025, la titular del Órgano de Enlace remitió a la DESPEN del INE, la versión final de los dictámenes para el otorgamiento de Incentivos 2025, correspondientes al ejercicio valorado 2024 con la evidencia documental correspondiente, para su visto bueno.</w:t>
      </w:r>
    </w:p>
    <w:p w14:paraId="08BCFB40" w14:textId="07507417" w:rsidR="00A26384" w:rsidRPr="007857E6" w:rsidRDefault="004B505B" w:rsidP="00A26384">
      <w:pPr>
        <w:pStyle w:val="Ttulo2"/>
        <w:rPr>
          <w:rFonts w:ascii="Arial" w:hAnsi="Arial" w:cs="Arial"/>
          <w:sz w:val="22"/>
        </w:rPr>
      </w:pPr>
      <w:r w:rsidRPr="007857E6">
        <w:rPr>
          <w:rFonts w:ascii="Arial" w:hAnsi="Arial" w:cs="Arial"/>
          <w:sz w:val="22"/>
        </w:rPr>
        <w:t>Visto bueno a los dictámenes</w:t>
      </w:r>
    </w:p>
    <w:p w14:paraId="54FF8317" w14:textId="572F88B7" w:rsidR="00A26384" w:rsidRDefault="00802761" w:rsidP="00A26384">
      <w:pPr>
        <w:rPr>
          <w:rFonts w:ascii="Arial" w:hAnsi="Arial" w:cs="Arial"/>
          <w:sz w:val="22"/>
        </w:rPr>
      </w:pPr>
      <w:r w:rsidRPr="007857E6">
        <w:rPr>
          <w:rFonts w:ascii="Arial" w:hAnsi="Arial" w:cs="Arial"/>
          <w:sz w:val="22"/>
        </w:rPr>
        <w:t>El 11 de agosto de 2025</w:t>
      </w:r>
      <w:r w:rsidR="00A26384" w:rsidRPr="007857E6">
        <w:rPr>
          <w:rFonts w:ascii="Arial" w:hAnsi="Arial" w:cs="Arial"/>
          <w:sz w:val="22"/>
        </w:rPr>
        <w:t xml:space="preserve">, el </w:t>
      </w:r>
      <w:r w:rsidR="00284B85" w:rsidRPr="007857E6">
        <w:rPr>
          <w:rFonts w:ascii="Arial" w:hAnsi="Arial" w:cs="Arial"/>
          <w:sz w:val="22"/>
        </w:rPr>
        <w:t>e</w:t>
      </w:r>
      <w:r w:rsidR="00A26384" w:rsidRPr="007857E6">
        <w:rPr>
          <w:rFonts w:ascii="Arial" w:hAnsi="Arial" w:cs="Arial"/>
          <w:sz w:val="22"/>
        </w:rPr>
        <w:t xml:space="preserve">ncargado de </w:t>
      </w:r>
      <w:r w:rsidRPr="007857E6">
        <w:rPr>
          <w:rFonts w:ascii="Arial" w:hAnsi="Arial" w:cs="Arial"/>
          <w:sz w:val="22"/>
        </w:rPr>
        <w:t>d</w:t>
      </w:r>
      <w:r w:rsidR="00A26384" w:rsidRPr="007857E6">
        <w:rPr>
          <w:rFonts w:ascii="Arial" w:hAnsi="Arial" w:cs="Arial"/>
          <w:sz w:val="22"/>
        </w:rPr>
        <w:t xml:space="preserve">espacho de la </w:t>
      </w:r>
      <w:r w:rsidR="00284B85" w:rsidRPr="007857E6">
        <w:rPr>
          <w:rFonts w:ascii="Arial" w:hAnsi="Arial" w:cs="Arial"/>
          <w:sz w:val="22"/>
        </w:rPr>
        <w:t>DESPEN</w:t>
      </w:r>
      <w:r w:rsidR="004B505B" w:rsidRPr="007857E6">
        <w:rPr>
          <w:rFonts w:ascii="Arial" w:hAnsi="Arial" w:cs="Arial"/>
          <w:sz w:val="22"/>
        </w:rPr>
        <w:t>,</w:t>
      </w:r>
      <w:r w:rsidR="00A26384" w:rsidRPr="007857E6">
        <w:rPr>
          <w:rFonts w:ascii="Arial" w:hAnsi="Arial" w:cs="Arial"/>
          <w:sz w:val="22"/>
        </w:rPr>
        <w:t xml:space="preserve"> </w:t>
      </w:r>
      <w:r w:rsidR="004B505B" w:rsidRPr="007857E6">
        <w:rPr>
          <w:rFonts w:ascii="Arial" w:hAnsi="Arial" w:cs="Arial"/>
          <w:sz w:val="22"/>
        </w:rPr>
        <w:t xml:space="preserve">mediante oficio INE/ED/DESPEN/0243/2025, </w:t>
      </w:r>
      <w:r w:rsidRPr="007857E6">
        <w:rPr>
          <w:rFonts w:ascii="Arial" w:hAnsi="Arial" w:cs="Arial"/>
          <w:sz w:val="22"/>
        </w:rPr>
        <w:t>comunicó al titular del Órgano de Enlace con el Servicio Profesional</w:t>
      </w:r>
      <w:r w:rsidR="00A26384" w:rsidRPr="007857E6">
        <w:rPr>
          <w:rFonts w:ascii="Arial" w:hAnsi="Arial" w:cs="Arial"/>
          <w:sz w:val="22"/>
        </w:rPr>
        <w:t xml:space="preserve"> del Instituto</w:t>
      </w:r>
      <w:r w:rsidRPr="007857E6">
        <w:rPr>
          <w:rFonts w:ascii="Arial" w:hAnsi="Arial" w:cs="Arial"/>
          <w:sz w:val="22"/>
        </w:rPr>
        <w:t xml:space="preserve">, que dicha </w:t>
      </w:r>
      <w:r w:rsidR="00DA32D1" w:rsidRPr="007857E6">
        <w:rPr>
          <w:rFonts w:ascii="Arial" w:hAnsi="Arial" w:cs="Arial"/>
          <w:sz w:val="22"/>
        </w:rPr>
        <w:t>D</w:t>
      </w:r>
      <w:r w:rsidRPr="007857E6">
        <w:rPr>
          <w:rFonts w:ascii="Arial" w:hAnsi="Arial" w:cs="Arial"/>
          <w:sz w:val="22"/>
        </w:rPr>
        <w:t xml:space="preserve">irección otorga el visto bueno a la versión final de los dictámenes correspondientes </w:t>
      </w:r>
      <w:r w:rsidR="00DA32D1" w:rsidRPr="007857E6">
        <w:rPr>
          <w:rFonts w:ascii="Arial" w:hAnsi="Arial" w:cs="Arial"/>
          <w:sz w:val="22"/>
        </w:rPr>
        <w:t>para el</w:t>
      </w:r>
      <w:r w:rsidRPr="007857E6">
        <w:rPr>
          <w:rFonts w:ascii="Arial" w:hAnsi="Arial" w:cs="Arial"/>
          <w:sz w:val="22"/>
        </w:rPr>
        <w:t xml:space="preserve"> otorgamiento de incentivos por rendimiento y por la obtención de grado académico, a efectuar en 2025 y relativos al ejercicio valorado 2024</w:t>
      </w:r>
      <w:r w:rsidR="00A26384" w:rsidRPr="007857E6">
        <w:rPr>
          <w:rFonts w:ascii="Arial" w:hAnsi="Arial" w:cs="Arial"/>
          <w:sz w:val="22"/>
        </w:rPr>
        <w:t>.</w:t>
      </w:r>
    </w:p>
    <w:p w14:paraId="559CCA0B" w14:textId="19D0CC31" w:rsidR="007857E6" w:rsidRDefault="007857E6" w:rsidP="00A26384">
      <w:pPr>
        <w:rPr>
          <w:rFonts w:ascii="Arial" w:hAnsi="Arial" w:cs="Arial"/>
          <w:sz w:val="22"/>
        </w:rPr>
      </w:pPr>
    </w:p>
    <w:p w14:paraId="7A362480" w14:textId="77777777" w:rsidR="007857E6" w:rsidRPr="007857E6" w:rsidRDefault="007857E6" w:rsidP="00A26384">
      <w:pPr>
        <w:rPr>
          <w:rFonts w:ascii="Arial" w:hAnsi="Arial" w:cs="Arial"/>
          <w:sz w:val="22"/>
        </w:rPr>
      </w:pPr>
    </w:p>
    <w:p w14:paraId="6954F613" w14:textId="534B97E3" w:rsidR="00A26384" w:rsidRPr="007857E6" w:rsidRDefault="00CF67A8" w:rsidP="00A26384">
      <w:pPr>
        <w:pStyle w:val="Ttulo2"/>
        <w:rPr>
          <w:rFonts w:ascii="Arial" w:hAnsi="Arial" w:cs="Arial"/>
          <w:sz w:val="22"/>
        </w:rPr>
      </w:pPr>
      <w:r w:rsidRPr="007857E6">
        <w:rPr>
          <w:rFonts w:ascii="Arial" w:hAnsi="Arial" w:cs="Arial"/>
          <w:sz w:val="22"/>
        </w:rPr>
        <w:lastRenderedPageBreak/>
        <w:t>Aprobación de la Comisión de Seguimiento</w:t>
      </w:r>
    </w:p>
    <w:p w14:paraId="7B71263E" w14:textId="13A44C12" w:rsidR="00A26384" w:rsidRDefault="00A26384" w:rsidP="00A26384">
      <w:pPr>
        <w:rPr>
          <w:rFonts w:ascii="Arial" w:hAnsi="Arial" w:cs="Arial"/>
          <w:sz w:val="22"/>
        </w:rPr>
      </w:pPr>
      <w:r w:rsidRPr="007857E6">
        <w:rPr>
          <w:rFonts w:ascii="Arial" w:hAnsi="Arial" w:cs="Arial"/>
          <w:sz w:val="22"/>
        </w:rPr>
        <w:t xml:space="preserve">El </w:t>
      </w:r>
      <w:r w:rsidR="004B505B" w:rsidRPr="007857E6">
        <w:rPr>
          <w:rFonts w:ascii="Arial" w:hAnsi="Arial" w:cs="Arial"/>
          <w:sz w:val="22"/>
        </w:rPr>
        <w:t>22</w:t>
      </w:r>
      <w:r w:rsidRPr="007857E6">
        <w:rPr>
          <w:rFonts w:ascii="Arial" w:hAnsi="Arial" w:cs="Arial"/>
          <w:sz w:val="22"/>
        </w:rPr>
        <w:t xml:space="preserve"> de </w:t>
      </w:r>
      <w:r w:rsidR="004B505B" w:rsidRPr="007857E6">
        <w:rPr>
          <w:rFonts w:ascii="Arial" w:hAnsi="Arial" w:cs="Arial"/>
          <w:sz w:val="22"/>
        </w:rPr>
        <w:t>agosto de 2025</w:t>
      </w:r>
      <w:r w:rsidRPr="007857E6">
        <w:rPr>
          <w:rFonts w:ascii="Arial" w:hAnsi="Arial" w:cs="Arial"/>
          <w:sz w:val="22"/>
        </w:rPr>
        <w:t xml:space="preserve">, la Comisión de Seguimiento </w:t>
      </w:r>
      <w:r w:rsidR="004B505B" w:rsidRPr="007857E6">
        <w:rPr>
          <w:rFonts w:ascii="Arial" w:hAnsi="Arial" w:cs="Arial"/>
          <w:sz w:val="22"/>
        </w:rPr>
        <w:t xml:space="preserve">autorizó </w:t>
      </w:r>
      <w:r w:rsidR="004B505B" w:rsidRPr="007857E6">
        <w:rPr>
          <w:rFonts w:ascii="Arial" w:hAnsi="Arial" w:cs="Arial"/>
          <w:color w:val="000000" w:themeColor="text1"/>
          <w:sz w:val="22"/>
        </w:rPr>
        <w:t>los dictámenes para el otorgamiento de Incentivos por rendimiento y obtención de grado académico 2025, correspondiente al ejercicio valorado 2024</w:t>
      </w:r>
      <w:r w:rsidR="00EC30F1" w:rsidRPr="007857E6">
        <w:rPr>
          <w:rFonts w:ascii="Arial" w:hAnsi="Arial" w:cs="Arial"/>
          <w:sz w:val="22"/>
        </w:rPr>
        <w:t xml:space="preserve"> y comunicó a la Presidencia del Consejo Estatal </w:t>
      </w:r>
      <w:r w:rsidRPr="007857E6">
        <w:rPr>
          <w:rFonts w:ascii="Arial" w:hAnsi="Arial" w:cs="Arial"/>
          <w:sz w:val="22"/>
        </w:rPr>
        <w:t xml:space="preserve">para </w:t>
      </w:r>
      <w:r w:rsidR="004B505B" w:rsidRPr="007857E6">
        <w:rPr>
          <w:rFonts w:ascii="Arial" w:hAnsi="Arial" w:cs="Arial"/>
          <w:sz w:val="22"/>
        </w:rPr>
        <w:t xml:space="preserve">que se </w:t>
      </w:r>
      <w:r w:rsidR="004B505B" w:rsidRPr="007857E6">
        <w:rPr>
          <w:rFonts w:ascii="Arial" w:hAnsi="Arial" w:cs="Arial"/>
          <w:color w:val="000000" w:themeColor="text1"/>
          <w:sz w:val="22"/>
        </w:rPr>
        <w:t>someta al análisis, discusión y determinación</w:t>
      </w:r>
      <w:r w:rsidR="00EC30F1" w:rsidRPr="007857E6">
        <w:rPr>
          <w:rFonts w:ascii="Arial" w:hAnsi="Arial" w:cs="Arial"/>
          <w:color w:val="000000" w:themeColor="text1"/>
          <w:sz w:val="22"/>
        </w:rPr>
        <w:t xml:space="preserve"> de</w:t>
      </w:r>
      <w:r w:rsidR="009C2D11" w:rsidRPr="007857E6">
        <w:rPr>
          <w:rFonts w:ascii="Arial" w:hAnsi="Arial" w:cs="Arial"/>
          <w:color w:val="000000" w:themeColor="text1"/>
          <w:sz w:val="22"/>
        </w:rPr>
        <w:t>l</w:t>
      </w:r>
      <w:r w:rsidR="00EC30F1" w:rsidRPr="007857E6">
        <w:rPr>
          <w:rFonts w:ascii="Arial" w:hAnsi="Arial" w:cs="Arial"/>
          <w:color w:val="000000" w:themeColor="text1"/>
          <w:sz w:val="22"/>
        </w:rPr>
        <w:t xml:space="preserve"> Órgano Superior de Dirección</w:t>
      </w:r>
      <w:r w:rsidRPr="007857E6">
        <w:rPr>
          <w:rFonts w:ascii="Arial" w:hAnsi="Arial" w:cs="Arial"/>
          <w:sz w:val="22"/>
        </w:rPr>
        <w:t>.</w:t>
      </w:r>
    </w:p>
    <w:p w14:paraId="3ED51594" w14:textId="77777777" w:rsidR="00A26384" w:rsidRPr="007857E6" w:rsidRDefault="00A26384" w:rsidP="00A26384">
      <w:pPr>
        <w:pStyle w:val="Ttulo1"/>
        <w:rPr>
          <w:rFonts w:ascii="Arial" w:hAnsi="Arial" w:cs="Arial"/>
          <w:sz w:val="24"/>
          <w:szCs w:val="24"/>
        </w:rPr>
      </w:pPr>
      <w:r w:rsidRPr="007857E6">
        <w:rPr>
          <w:rFonts w:ascii="Arial" w:hAnsi="Arial" w:cs="Arial"/>
          <w:sz w:val="24"/>
          <w:szCs w:val="24"/>
        </w:rPr>
        <w:t>Considerando</w:t>
      </w:r>
    </w:p>
    <w:p w14:paraId="02FCD1ED" w14:textId="77777777" w:rsidR="006F5E26" w:rsidRPr="007857E6" w:rsidRDefault="006F5E26" w:rsidP="006F5E26">
      <w:pPr>
        <w:pStyle w:val="Ttulo2"/>
        <w:rPr>
          <w:rFonts w:ascii="Arial" w:hAnsi="Arial" w:cs="Arial"/>
          <w:sz w:val="22"/>
        </w:rPr>
      </w:pPr>
      <w:r w:rsidRPr="007857E6">
        <w:rPr>
          <w:rFonts w:ascii="Arial" w:hAnsi="Arial" w:cs="Arial"/>
          <w:sz w:val="22"/>
        </w:rPr>
        <w:t xml:space="preserve">Competencia del Consejo Estatal </w:t>
      </w:r>
    </w:p>
    <w:p w14:paraId="58AC0437" w14:textId="1E3E5F81" w:rsidR="005171B3" w:rsidRPr="007857E6" w:rsidRDefault="005171B3" w:rsidP="005171B3">
      <w:pPr>
        <w:rPr>
          <w:rFonts w:ascii="Arial" w:hAnsi="Arial" w:cs="Arial"/>
          <w:sz w:val="22"/>
        </w:rPr>
      </w:pPr>
      <w:r w:rsidRPr="007857E6">
        <w:rPr>
          <w:rFonts w:ascii="Arial" w:hAnsi="Arial" w:cs="Arial"/>
          <w:sz w:val="22"/>
        </w:rPr>
        <w:t xml:space="preserve">Los artículos 1 y 4 de la Ley General prevén que dicho ordenamiento es de orden público y de observancia general en el territorio nacional; además, </w:t>
      </w:r>
      <w:r w:rsidR="009C2D11" w:rsidRPr="007857E6">
        <w:rPr>
          <w:rFonts w:ascii="Arial" w:hAnsi="Arial" w:cs="Arial"/>
          <w:sz w:val="22"/>
        </w:rPr>
        <w:t xml:space="preserve">que </w:t>
      </w:r>
      <w:r w:rsidRPr="007857E6">
        <w:rPr>
          <w:rFonts w:ascii="Arial" w:hAnsi="Arial" w:cs="Arial"/>
          <w:sz w:val="22"/>
        </w:rPr>
        <w:t>tiene por objeto, entre otros, establecer la distribución de competencias entre la Federación y las entidades federativas, así como la relación entre el INE y los organismos electorales.</w:t>
      </w:r>
    </w:p>
    <w:p w14:paraId="380E16A3" w14:textId="3658815C" w:rsidR="006F5E26" w:rsidRPr="007857E6" w:rsidRDefault="009C2D11" w:rsidP="006F5E26">
      <w:pPr>
        <w:rPr>
          <w:rFonts w:ascii="Arial" w:hAnsi="Arial" w:cs="Arial"/>
          <w:sz w:val="22"/>
        </w:rPr>
      </w:pPr>
      <w:r w:rsidRPr="007857E6">
        <w:rPr>
          <w:rFonts w:ascii="Arial" w:hAnsi="Arial" w:cs="Arial"/>
          <w:sz w:val="22"/>
        </w:rPr>
        <w:t>Por su parte,</w:t>
      </w:r>
      <w:r w:rsidR="006F5E26" w:rsidRPr="007857E6">
        <w:rPr>
          <w:rFonts w:ascii="Arial" w:hAnsi="Arial" w:cs="Arial"/>
          <w:sz w:val="22"/>
        </w:rPr>
        <w:t xml:space="preserve"> el artículo 115 numeral 1 fracción I en relación con el artículo 160 numeral 2 de la Ley Electoral,</w:t>
      </w:r>
      <w:r w:rsidRPr="007857E6">
        <w:rPr>
          <w:rFonts w:ascii="Arial" w:hAnsi="Arial" w:cs="Arial"/>
          <w:sz w:val="22"/>
        </w:rPr>
        <w:t xml:space="preserve"> dispone que</w:t>
      </w:r>
      <w:r w:rsidR="006F5E26" w:rsidRPr="007857E6">
        <w:rPr>
          <w:rFonts w:ascii="Arial" w:hAnsi="Arial" w:cs="Arial"/>
          <w:sz w:val="22"/>
        </w:rPr>
        <w:t xml:space="preserve"> el Consejo Estatal es competente para aplicar las disposiciones generales, reglas, lineamientos, criterios y formatos que, en ejercicio de las facultades que le confieren la Constitución Federal y la Ley General, establezca el INE; entre ellas lo relativo al Servicio Profesional.</w:t>
      </w:r>
    </w:p>
    <w:p w14:paraId="0F874522" w14:textId="13DBB124" w:rsidR="006F5E26" w:rsidRPr="007857E6" w:rsidRDefault="005171B3" w:rsidP="006F5E26">
      <w:pPr>
        <w:rPr>
          <w:rFonts w:ascii="Arial" w:hAnsi="Arial" w:cs="Arial"/>
          <w:sz w:val="22"/>
        </w:rPr>
      </w:pPr>
      <w:r w:rsidRPr="007857E6">
        <w:rPr>
          <w:rFonts w:ascii="Arial" w:hAnsi="Arial" w:cs="Arial"/>
          <w:sz w:val="22"/>
        </w:rPr>
        <w:t>Asimismo</w:t>
      </w:r>
      <w:r w:rsidR="006F5E26" w:rsidRPr="007857E6">
        <w:rPr>
          <w:rFonts w:ascii="Arial" w:hAnsi="Arial" w:cs="Arial"/>
          <w:sz w:val="22"/>
        </w:rPr>
        <w:t>, el artículo 115 numeral 2 de la Ley Electoral señala que, para el debido ejercicio de las facultades y atribuciones del Instituto, derivados de caso fortuito o causa de fuerza mayor; o en situaciones de falta o insuficiencia de previsión normativa o reglamentaria, el Consejo Estatal podrá dictar los acuerdos necesarios que resulten pertinentes para garantizar el oportuno y adecuado cumplimiento de las funciones que corresponda, siempre en apego a sus facultades y a los principios rectores de la función electoral.</w:t>
      </w:r>
    </w:p>
    <w:p w14:paraId="0974DA47" w14:textId="3BE1B36A" w:rsidR="005171B3" w:rsidRDefault="005171B3" w:rsidP="005171B3">
      <w:pPr>
        <w:rPr>
          <w:rFonts w:ascii="Arial" w:hAnsi="Arial" w:cs="Arial"/>
          <w:sz w:val="22"/>
        </w:rPr>
      </w:pPr>
      <w:r w:rsidRPr="007857E6">
        <w:rPr>
          <w:rFonts w:ascii="Arial" w:hAnsi="Arial" w:cs="Arial"/>
          <w:sz w:val="22"/>
        </w:rPr>
        <w:t>Por su parte, el artículo 376 fracción II del Estatuto dispone que corresponde al Consejo Estatal determinar la integración de la Comisión de Seguimiento, que será responsable de garantizar la correcta implementación y funcionamiento de los mecanismos del Servicio Profesional, bajo la rectoría del Instituto y conforme las disposiciones de la Constitución y demás ordenamientos aplicables.</w:t>
      </w:r>
    </w:p>
    <w:p w14:paraId="5CACB209" w14:textId="77777777" w:rsidR="007857E6" w:rsidRPr="007857E6" w:rsidRDefault="007857E6" w:rsidP="005171B3">
      <w:pPr>
        <w:rPr>
          <w:rFonts w:ascii="Arial" w:hAnsi="Arial" w:cs="Arial"/>
          <w:sz w:val="22"/>
        </w:rPr>
      </w:pPr>
    </w:p>
    <w:p w14:paraId="3DD425CB" w14:textId="77777777" w:rsidR="00A26384" w:rsidRPr="007857E6" w:rsidRDefault="00A26384" w:rsidP="00A26384">
      <w:pPr>
        <w:pStyle w:val="Ttulo2"/>
        <w:rPr>
          <w:rFonts w:ascii="Arial" w:hAnsi="Arial" w:cs="Arial"/>
          <w:sz w:val="22"/>
        </w:rPr>
      </w:pPr>
      <w:r w:rsidRPr="007857E6">
        <w:rPr>
          <w:rFonts w:ascii="Arial" w:hAnsi="Arial" w:cs="Arial"/>
          <w:sz w:val="22"/>
        </w:rPr>
        <w:lastRenderedPageBreak/>
        <w:t>Comisiones del Instituto</w:t>
      </w:r>
    </w:p>
    <w:p w14:paraId="0EBAB863" w14:textId="12D33679" w:rsidR="00A26384" w:rsidRPr="007857E6" w:rsidRDefault="005171B3" w:rsidP="00A26384">
      <w:pPr>
        <w:rPr>
          <w:rFonts w:ascii="Arial" w:hAnsi="Arial" w:cs="Arial"/>
          <w:sz w:val="22"/>
        </w:rPr>
      </w:pPr>
      <w:r w:rsidRPr="007857E6">
        <w:rPr>
          <w:rFonts w:ascii="Arial" w:hAnsi="Arial" w:cs="Arial"/>
          <w:sz w:val="22"/>
        </w:rPr>
        <w:t>En ese orden de ideas,</w:t>
      </w:r>
      <w:r w:rsidR="00A26384" w:rsidRPr="007857E6">
        <w:rPr>
          <w:rFonts w:ascii="Arial" w:hAnsi="Arial" w:cs="Arial"/>
          <w:sz w:val="22"/>
        </w:rPr>
        <w:t xml:space="preserve"> </w:t>
      </w:r>
      <w:r w:rsidR="009C2D11" w:rsidRPr="007857E6">
        <w:rPr>
          <w:rFonts w:ascii="Arial" w:hAnsi="Arial" w:cs="Arial"/>
          <w:sz w:val="22"/>
        </w:rPr>
        <w:t xml:space="preserve">en </w:t>
      </w:r>
      <w:r w:rsidR="00A26384" w:rsidRPr="007857E6">
        <w:rPr>
          <w:rFonts w:ascii="Arial" w:hAnsi="Arial" w:cs="Arial"/>
          <w:sz w:val="22"/>
        </w:rPr>
        <w:t xml:space="preserve">el artículo 113 numeral 1 de la Ley Electoral </w:t>
      </w:r>
      <w:r w:rsidR="009C2D11" w:rsidRPr="007857E6">
        <w:rPr>
          <w:rFonts w:ascii="Arial" w:hAnsi="Arial" w:cs="Arial"/>
          <w:sz w:val="22"/>
        </w:rPr>
        <w:t>se encuentre previsto</w:t>
      </w:r>
      <w:r w:rsidR="00A26384" w:rsidRPr="007857E6">
        <w:rPr>
          <w:rFonts w:ascii="Arial" w:hAnsi="Arial" w:cs="Arial"/>
          <w:sz w:val="22"/>
        </w:rPr>
        <w:t xml:space="preserve"> que el Consejo Estatal constituirá las comisiones permanentes de Vinculación con el INE, de Organización Electoral y Educación Cívica, de Denuncias y Quejas, y de Igualdad de Género y no Discriminación; así como las comisiones temporales que considere pertinentes para el desempeño de sus atribuciones, las que siempre serán presididas por una Consejera o un Consejero Electoral, salvo la de Vinculación con el INE, que será presidida por la Consejera o el Consejero Presidente.</w:t>
      </w:r>
    </w:p>
    <w:p w14:paraId="3DBE9406" w14:textId="77777777" w:rsidR="00A26384" w:rsidRPr="007857E6" w:rsidRDefault="00A26384" w:rsidP="00A26384">
      <w:pPr>
        <w:pStyle w:val="Ttulo2"/>
        <w:rPr>
          <w:rFonts w:ascii="Arial" w:hAnsi="Arial" w:cs="Arial"/>
          <w:sz w:val="22"/>
        </w:rPr>
      </w:pPr>
      <w:r w:rsidRPr="007857E6">
        <w:rPr>
          <w:rFonts w:ascii="Arial" w:hAnsi="Arial" w:cs="Arial"/>
          <w:sz w:val="22"/>
        </w:rPr>
        <w:t>Comisión de Seguimiento</w:t>
      </w:r>
    </w:p>
    <w:p w14:paraId="53418165" w14:textId="72D1DACA" w:rsidR="00A26384" w:rsidRPr="007857E6" w:rsidRDefault="001D268D" w:rsidP="00A26384">
      <w:pPr>
        <w:rPr>
          <w:rFonts w:ascii="Arial" w:hAnsi="Arial" w:cs="Arial"/>
          <w:sz w:val="22"/>
        </w:rPr>
      </w:pPr>
      <w:r w:rsidRPr="007857E6">
        <w:rPr>
          <w:rFonts w:ascii="Arial" w:hAnsi="Arial" w:cs="Arial"/>
          <w:sz w:val="22"/>
        </w:rPr>
        <w:t>En concordancia</w:t>
      </w:r>
      <w:r w:rsidR="00A26384" w:rsidRPr="007857E6">
        <w:rPr>
          <w:rFonts w:ascii="Arial" w:hAnsi="Arial" w:cs="Arial"/>
          <w:sz w:val="22"/>
        </w:rPr>
        <w:t xml:space="preserve"> con los artículos 376 fracción II del Estatuto y 16 del Reglamento de Comisiones, la función principal de la Comisión de Seguimiento es garantizar la correcta implementación y funcionamiento de los mecanismos del propio Servicio Profesional, bajo la rectoría del INE y conforme a las disposiciones de la Constitución Federal, la Ley General y el propio Estatuto mencionado. </w:t>
      </w:r>
    </w:p>
    <w:p w14:paraId="130DEA05" w14:textId="77777777" w:rsidR="00A26384" w:rsidRPr="007857E6" w:rsidRDefault="00A26384" w:rsidP="00A26384">
      <w:pPr>
        <w:rPr>
          <w:rFonts w:ascii="Arial" w:hAnsi="Arial" w:cs="Arial"/>
          <w:sz w:val="22"/>
        </w:rPr>
      </w:pPr>
      <w:r w:rsidRPr="007857E6">
        <w:rPr>
          <w:rFonts w:ascii="Arial" w:hAnsi="Arial" w:cs="Arial"/>
          <w:sz w:val="22"/>
        </w:rPr>
        <w:t>Para ello, cuenta con la facultad de proponer la participación de instituciones de educación superior y profesionales, en la ejecución de los programas de ingreso, formación, desarrollo y actualización profesional; promover la coordinación de actividades y, en su caso, la celebración de convenios de cooperación técnica con instituciones, con la finalidad de apoyar los programas institucionales, someter la propuesta de modificación a la estructura organizacional del Servicio Profesional en los términos del Estatuto y, entre otras, la de proponer al Consejo Estatal los incentivos y promociones que habrán de otorgarse al personal perteneciente al Servicio Profesional.</w:t>
      </w:r>
    </w:p>
    <w:p w14:paraId="17D76BA1" w14:textId="77777777" w:rsidR="00A26384" w:rsidRPr="007857E6" w:rsidRDefault="00A26384" w:rsidP="00A26384">
      <w:pPr>
        <w:pStyle w:val="Ttulo2"/>
        <w:rPr>
          <w:rFonts w:ascii="Arial" w:hAnsi="Arial" w:cs="Arial"/>
          <w:sz w:val="22"/>
        </w:rPr>
      </w:pPr>
      <w:r w:rsidRPr="007857E6">
        <w:rPr>
          <w:rFonts w:ascii="Arial" w:hAnsi="Arial" w:cs="Arial"/>
          <w:sz w:val="22"/>
        </w:rPr>
        <w:t xml:space="preserve">Servicio Profesional </w:t>
      </w:r>
    </w:p>
    <w:p w14:paraId="3E48C09A" w14:textId="271CABBE" w:rsidR="00A26384" w:rsidRPr="007857E6" w:rsidRDefault="001D268D" w:rsidP="00A26384">
      <w:pPr>
        <w:rPr>
          <w:rFonts w:ascii="Arial" w:hAnsi="Arial" w:cs="Arial"/>
          <w:sz w:val="22"/>
        </w:rPr>
      </w:pPr>
      <w:r w:rsidRPr="007857E6">
        <w:rPr>
          <w:rFonts w:ascii="Arial" w:hAnsi="Arial" w:cs="Arial"/>
          <w:sz w:val="22"/>
        </w:rPr>
        <w:t>Tal como</w:t>
      </w:r>
      <w:r w:rsidR="00A26384" w:rsidRPr="007857E6">
        <w:rPr>
          <w:rFonts w:ascii="Arial" w:hAnsi="Arial" w:cs="Arial"/>
          <w:sz w:val="22"/>
        </w:rPr>
        <w:t xml:space="preserve"> lo dispone el artículo 41 Base V, apartado “D” de la Constitución Federal, el Servicio Profesional comprende la selección, ingreso, capacitación, profesionalización, promoción, evaluación, rotación, permanencia y disciplina, de los servidores públicos de los órganos ejecutivos y técnicos del INE y de los organismos electorales de las entidades federativas. </w:t>
      </w:r>
    </w:p>
    <w:p w14:paraId="473FB754" w14:textId="663AE519" w:rsidR="00A26384" w:rsidRPr="007857E6" w:rsidRDefault="00F8402A" w:rsidP="00A26384">
      <w:pPr>
        <w:rPr>
          <w:rFonts w:ascii="Arial" w:hAnsi="Arial" w:cs="Arial"/>
          <w:sz w:val="22"/>
        </w:rPr>
      </w:pPr>
      <w:r w:rsidRPr="007857E6">
        <w:rPr>
          <w:rFonts w:ascii="Arial" w:hAnsi="Arial" w:cs="Arial"/>
          <w:sz w:val="22"/>
        </w:rPr>
        <w:t>En relación a</w:t>
      </w:r>
      <w:r w:rsidR="009C2D11" w:rsidRPr="007857E6">
        <w:rPr>
          <w:rFonts w:ascii="Arial" w:hAnsi="Arial" w:cs="Arial"/>
          <w:sz w:val="22"/>
        </w:rPr>
        <w:t xml:space="preserve"> ello,</w:t>
      </w:r>
      <w:r w:rsidR="001D268D" w:rsidRPr="007857E6">
        <w:rPr>
          <w:rFonts w:ascii="Arial" w:hAnsi="Arial" w:cs="Arial"/>
          <w:sz w:val="22"/>
        </w:rPr>
        <w:t xml:space="preserve"> </w:t>
      </w:r>
      <w:r w:rsidR="00A26384" w:rsidRPr="007857E6">
        <w:rPr>
          <w:rFonts w:ascii="Arial" w:hAnsi="Arial" w:cs="Arial"/>
          <w:sz w:val="22"/>
        </w:rPr>
        <w:t xml:space="preserve">el artículo 202, numerales 1 y 2 de la Ley General </w:t>
      </w:r>
      <w:r w:rsidR="001D268D" w:rsidRPr="007857E6">
        <w:rPr>
          <w:rFonts w:ascii="Arial" w:hAnsi="Arial" w:cs="Arial"/>
          <w:sz w:val="22"/>
        </w:rPr>
        <w:t>prevé</w:t>
      </w:r>
      <w:r w:rsidRPr="007857E6">
        <w:rPr>
          <w:rFonts w:ascii="Arial" w:hAnsi="Arial" w:cs="Arial"/>
          <w:sz w:val="22"/>
        </w:rPr>
        <w:t xml:space="preserve"> </w:t>
      </w:r>
      <w:r w:rsidR="001D268D" w:rsidRPr="007857E6">
        <w:rPr>
          <w:rFonts w:ascii="Arial" w:hAnsi="Arial" w:cs="Arial"/>
          <w:sz w:val="22"/>
        </w:rPr>
        <w:t xml:space="preserve">que </w:t>
      </w:r>
      <w:r w:rsidRPr="007857E6">
        <w:rPr>
          <w:rFonts w:ascii="Arial" w:hAnsi="Arial" w:cs="Arial"/>
          <w:sz w:val="22"/>
        </w:rPr>
        <w:t xml:space="preserve">éste </w:t>
      </w:r>
      <w:r w:rsidR="00A26384" w:rsidRPr="007857E6">
        <w:rPr>
          <w:rFonts w:ascii="Arial" w:hAnsi="Arial" w:cs="Arial"/>
          <w:sz w:val="22"/>
        </w:rPr>
        <w:t xml:space="preserve">se integra por las y los servidores públicos de los órganos ejecutivos y técnicos del INE y de los organismos electorales, mismo que contará con dos sistemas: uno para el INE y otro para los organismos electorales; y para su adecuado funcionamiento, el INE regulará la </w:t>
      </w:r>
      <w:r w:rsidR="00A26384" w:rsidRPr="007857E6">
        <w:rPr>
          <w:rFonts w:ascii="Arial" w:hAnsi="Arial" w:cs="Arial"/>
          <w:sz w:val="22"/>
        </w:rPr>
        <w:lastRenderedPageBreak/>
        <w:t>organización y aplicará los distintos mecanismos del Servicio de conformidad con lo dispuesto en el apartado D de la Base V, del artículo 41 de la Constitución Federal.</w:t>
      </w:r>
    </w:p>
    <w:p w14:paraId="7C53A077" w14:textId="02BE82EA" w:rsidR="001D268D" w:rsidRPr="007857E6" w:rsidRDefault="00F8402A" w:rsidP="001D268D">
      <w:pPr>
        <w:rPr>
          <w:rFonts w:ascii="Arial" w:hAnsi="Arial" w:cs="Arial"/>
          <w:sz w:val="22"/>
        </w:rPr>
      </w:pPr>
      <w:r w:rsidRPr="007857E6">
        <w:rPr>
          <w:rFonts w:ascii="Arial" w:hAnsi="Arial" w:cs="Arial"/>
          <w:sz w:val="22"/>
        </w:rPr>
        <w:t xml:space="preserve">En ese mismo orden de ideas, los artículos 160 y 161 de la Ley Electoral establecen que para asegurar el desempeño profesional de las actividades del Instituto, </w:t>
      </w:r>
      <w:r w:rsidR="001D268D" w:rsidRPr="007857E6">
        <w:rPr>
          <w:rFonts w:ascii="Arial" w:hAnsi="Arial" w:cs="Arial"/>
          <w:sz w:val="22"/>
        </w:rPr>
        <w:t xml:space="preserve">el INE regulará la organización y funcionamiento del Servicio Profesional, </w:t>
      </w:r>
      <w:r w:rsidRPr="007857E6">
        <w:rPr>
          <w:rFonts w:ascii="Arial" w:hAnsi="Arial" w:cs="Arial"/>
          <w:sz w:val="22"/>
        </w:rPr>
        <w:t>de conformidad con el</w:t>
      </w:r>
      <w:r w:rsidR="001D268D" w:rsidRPr="007857E6">
        <w:rPr>
          <w:rFonts w:ascii="Arial" w:hAnsi="Arial" w:cs="Arial"/>
          <w:sz w:val="22"/>
        </w:rPr>
        <w:t xml:space="preserve"> </w:t>
      </w:r>
      <w:r w:rsidRPr="007857E6">
        <w:rPr>
          <w:rFonts w:ascii="Arial" w:hAnsi="Arial" w:cs="Arial"/>
          <w:sz w:val="22"/>
        </w:rPr>
        <w:t>artículo</w:t>
      </w:r>
      <w:r w:rsidR="001D268D" w:rsidRPr="007857E6">
        <w:rPr>
          <w:rFonts w:ascii="Arial" w:hAnsi="Arial" w:cs="Arial"/>
          <w:sz w:val="22"/>
        </w:rPr>
        <w:t xml:space="preserve"> 41 de la Constitución Federal;</w:t>
      </w:r>
      <w:r w:rsidR="0016026A" w:rsidRPr="007857E6">
        <w:rPr>
          <w:rFonts w:ascii="Arial" w:hAnsi="Arial" w:cs="Arial"/>
          <w:sz w:val="22"/>
        </w:rPr>
        <w:t xml:space="preserve"> </w:t>
      </w:r>
      <w:r w:rsidR="001D268D" w:rsidRPr="007857E6">
        <w:rPr>
          <w:rFonts w:ascii="Arial" w:hAnsi="Arial" w:cs="Arial"/>
          <w:sz w:val="22"/>
        </w:rPr>
        <w:t>ademá</w:t>
      </w:r>
      <w:r w:rsidRPr="007857E6">
        <w:rPr>
          <w:rFonts w:ascii="Arial" w:hAnsi="Arial" w:cs="Arial"/>
          <w:sz w:val="22"/>
        </w:rPr>
        <w:t>s que</w:t>
      </w:r>
      <w:r w:rsidR="001D268D" w:rsidRPr="007857E6">
        <w:rPr>
          <w:rFonts w:ascii="Arial" w:hAnsi="Arial" w:cs="Arial"/>
          <w:sz w:val="22"/>
        </w:rPr>
        <w:t xml:space="preserve"> la organización del Servicio Profesional será regulada por las normas establecidas por la Ley General y por las del Estatuto que apruebe el Consejo General, en lo relativo al sistema correspondiente a los organismos electorales.</w:t>
      </w:r>
    </w:p>
    <w:p w14:paraId="7268E881" w14:textId="77777777" w:rsidR="00A26384" w:rsidRPr="007857E6" w:rsidRDefault="00A26384" w:rsidP="00A26384">
      <w:pPr>
        <w:pStyle w:val="Ttulo2"/>
        <w:rPr>
          <w:rFonts w:ascii="Arial" w:hAnsi="Arial" w:cs="Arial"/>
          <w:sz w:val="22"/>
        </w:rPr>
      </w:pPr>
      <w:r w:rsidRPr="007857E6">
        <w:rPr>
          <w:rFonts w:ascii="Arial" w:hAnsi="Arial" w:cs="Arial"/>
          <w:sz w:val="22"/>
        </w:rPr>
        <w:t>Funcionamiento del Servicio Profesional del Sistema de Organismos Electorales</w:t>
      </w:r>
    </w:p>
    <w:p w14:paraId="3DAC98A5" w14:textId="61B0F56A" w:rsidR="00A26384" w:rsidRPr="007857E6" w:rsidRDefault="00011C7A" w:rsidP="00A26384">
      <w:pPr>
        <w:rPr>
          <w:rFonts w:ascii="Arial" w:hAnsi="Arial" w:cs="Arial"/>
          <w:sz w:val="22"/>
        </w:rPr>
      </w:pPr>
      <w:r w:rsidRPr="007857E6">
        <w:rPr>
          <w:rFonts w:ascii="Arial" w:hAnsi="Arial" w:cs="Arial"/>
          <w:sz w:val="22"/>
        </w:rPr>
        <w:t>Por su parte,</w:t>
      </w:r>
      <w:r w:rsidR="00A26384" w:rsidRPr="007857E6">
        <w:rPr>
          <w:rFonts w:ascii="Arial" w:hAnsi="Arial" w:cs="Arial"/>
          <w:sz w:val="22"/>
        </w:rPr>
        <w:t xml:space="preserve"> el artículo 30 numeral 3 de la Ley General, prevé entre otras cosas que, para el desempeño de </w:t>
      </w:r>
      <w:r w:rsidR="00F8402A" w:rsidRPr="007857E6">
        <w:rPr>
          <w:rFonts w:ascii="Arial" w:hAnsi="Arial" w:cs="Arial"/>
          <w:sz w:val="22"/>
        </w:rPr>
        <w:t>sus</w:t>
      </w:r>
      <w:r w:rsidR="00A26384" w:rsidRPr="007857E6">
        <w:rPr>
          <w:rFonts w:ascii="Arial" w:hAnsi="Arial" w:cs="Arial"/>
          <w:sz w:val="22"/>
        </w:rPr>
        <w:t xml:space="preserve"> actividades</w:t>
      </w:r>
      <w:r w:rsidR="00F8402A" w:rsidRPr="007857E6">
        <w:rPr>
          <w:rFonts w:ascii="Arial" w:hAnsi="Arial" w:cs="Arial"/>
          <w:sz w:val="22"/>
        </w:rPr>
        <w:t xml:space="preserve">, </w:t>
      </w:r>
      <w:r w:rsidR="00A26384" w:rsidRPr="007857E6">
        <w:rPr>
          <w:rFonts w:ascii="Arial" w:hAnsi="Arial" w:cs="Arial"/>
          <w:sz w:val="22"/>
        </w:rPr>
        <w:t xml:space="preserve">los organismos electorales contarán con un cuerpo de servidores públicos en sus órganos ejecutivos y técnicos, integrados en un Servicio Profesional que se regirá por el Estatuto que al efecto apruebe el Consejo General. </w:t>
      </w:r>
      <w:r w:rsidRPr="007857E6">
        <w:rPr>
          <w:rFonts w:ascii="Arial" w:hAnsi="Arial" w:cs="Arial"/>
          <w:sz w:val="22"/>
        </w:rPr>
        <w:t>Incluso</w:t>
      </w:r>
      <w:r w:rsidR="00A26384" w:rsidRPr="007857E6">
        <w:rPr>
          <w:rFonts w:ascii="Arial" w:hAnsi="Arial" w:cs="Arial"/>
          <w:sz w:val="22"/>
        </w:rPr>
        <w:t>,</w:t>
      </w:r>
      <w:r w:rsidRPr="007857E6">
        <w:rPr>
          <w:rFonts w:ascii="Arial" w:hAnsi="Arial" w:cs="Arial"/>
          <w:sz w:val="22"/>
        </w:rPr>
        <w:t xml:space="preserve"> </w:t>
      </w:r>
      <w:r w:rsidR="00A26384" w:rsidRPr="007857E6">
        <w:rPr>
          <w:rFonts w:ascii="Arial" w:hAnsi="Arial" w:cs="Arial"/>
          <w:sz w:val="22"/>
        </w:rPr>
        <w:t>el</w:t>
      </w:r>
      <w:r w:rsidRPr="007857E6">
        <w:rPr>
          <w:rFonts w:ascii="Arial" w:hAnsi="Arial" w:cs="Arial"/>
          <w:sz w:val="22"/>
        </w:rPr>
        <w:t xml:space="preserve"> sistema del</w:t>
      </w:r>
      <w:r w:rsidR="00A26384" w:rsidRPr="007857E6">
        <w:rPr>
          <w:rFonts w:ascii="Arial" w:hAnsi="Arial" w:cs="Arial"/>
          <w:sz w:val="22"/>
        </w:rPr>
        <w:t xml:space="preserve"> Servicio Profesional</w:t>
      </w:r>
      <w:r w:rsidRPr="007857E6">
        <w:rPr>
          <w:rFonts w:ascii="Arial" w:hAnsi="Arial" w:cs="Arial"/>
          <w:sz w:val="22"/>
        </w:rPr>
        <w:t xml:space="preserve"> para </w:t>
      </w:r>
      <w:r w:rsidR="00A26384" w:rsidRPr="007857E6">
        <w:rPr>
          <w:rFonts w:ascii="Arial" w:hAnsi="Arial" w:cs="Arial"/>
          <w:sz w:val="22"/>
        </w:rPr>
        <w:t>los organismos electorales, contendrá lo respectivo</w:t>
      </w:r>
      <w:r w:rsidRPr="007857E6">
        <w:rPr>
          <w:rFonts w:ascii="Arial" w:hAnsi="Arial" w:cs="Arial"/>
          <w:sz w:val="22"/>
        </w:rPr>
        <w:t xml:space="preserve"> a</w:t>
      </w:r>
      <w:r w:rsidR="00A26384" w:rsidRPr="007857E6">
        <w:rPr>
          <w:rFonts w:ascii="Arial" w:hAnsi="Arial" w:cs="Arial"/>
          <w:sz w:val="22"/>
        </w:rPr>
        <w:t xml:space="preserve"> mecanismos de selección, ingreso, capacitación, profesionalización, promoción, evaluación, rotación, permanencia y disciplina, así como el catálogo general de los cargos y puestos del personal ejecutivo y técnico, correspondiendo su regulación, organización, funcionamiento y rectoría al INE.</w:t>
      </w:r>
    </w:p>
    <w:p w14:paraId="2168CE7B" w14:textId="77777777" w:rsidR="00A26384" w:rsidRPr="007857E6" w:rsidRDefault="00A26384" w:rsidP="00A26384">
      <w:pPr>
        <w:pStyle w:val="Ttulo2"/>
        <w:rPr>
          <w:rFonts w:ascii="Arial" w:hAnsi="Arial" w:cs="Arial"/>
          <w:sz w:val="22"/>
        </w:rPr>
      </w:pPr>
      <w:r w:rsidRPr="007857E6">
        <w:rPr>
          <w:rFonts w:ascii="Arial" w:hAnsi="Arial" w:cs="Arial"/>
          <w:sz w:val="22"/>
        </w:rPr>
        <w:t xml:space="preserve">Incentivos para el personal del Servicio Profesional </w:t>
      </w:r>
    </w:p>
    <w:p w14:paraId="4CC604AC" w14:textId="6545EC66" w:rsidR="00A26384" w:rsidRPr="007857E6" w:rsidRDefault="00186809" w:rsidP="00A26384">
      <w:pPr>
        <w:rPr>
          <w:rFonts w:ascii="Arial" w:hAnsi="Arial" w:cs="Arial"/>
          <w:sz w:val="22"/>
        </w:rPr>
      </w:pPr>
      <w:r w:rsidRPr="007857E6">
        <w:rPr>
          <w:rFonts w:ascii="Arial" w:hAnsi="Arial" w:cs="Arial"/>
          <w:sz w:val="22"/>
        </w:rPr>
        <w:t>Una forma de reconocimiento al personal del Instituto es el otorgamiento de incentivos</w:t>
      </w:r>
      <w:r w:rsidR="00011C7A" w:rsidRPr="007857E6">
        <w:rPr>
          <w:rFonts w:ascii="Arial" w:hAnsi="Arial" w:cs="Arial"/>
          <w:sz w:val="22"/>
        </w:rPr>
        <w:t>,</w:t>
      </w:r>
      <w:r w:rsidR="00A26384" w:rsidRPr="007857E6">
        <w:rPr>
          <w:rFonts w:ascii="Arial" w:hAnsi="Arial" w:cs="Arial"/>
          <w:sz w:val="22"/>
        </w:rPr>
        <w:t xml:space="preserve"> </w:t>
      </w:r>
      <w:r w:rsidRPr="007857E6">
        <w:rPr>
          <w:rFonts w:ascii="Arial" w:hAnsi="Arial" w:cs="Arial"/>
          <w:sz w:val="22"/>
        </w:rPr>
        <w:t xml:space="preserve">al respecto </w:t>
      </w:r>
      <w:r w:rsidR="00A26384" w:rsidRPr="007857E6">
        <w:rPr>
          <w:rFonts w:ascii="Arial" w:hAnsi="Arial" w:cs="Arial"/>
          <w:sz w:val="22"/>
        </w:rPr>
        <w:t>los artículos 438 del Estatuto y 16 de los Lineamientos refieren que son los reconocimientos, beneficios o remuneraciones, individuales o colectivos, que el organismo electoral podrá otorgar al personal del Servicio Profesional que cumpla los méritos y requisitos establecidos.</w:t>
      </w:r>
    </w:p>
    <w:p w14:paraId="63AE18F8" w14:textId="77777777" w:rsidR="00A26384" w:rsidRPr="007857E6" w:rsidRDefault="00A26384" w:rsidP="00A26384">
      <w:pPr>
        <w:rPr>
          <w:rFonts w:ascii="Arial" w:hAnsi="Arial" w:cs="Arial"/>
          <w:sz w:val="22"/>
        </w:rPr>
      </w:pPr>
      <w:r w:rsidRPr="007857E6">
        <w:rPr>
          <w:rFonts w:ascii="Arial" w:hAnsi="Arial" w:cs="Arial"/>
          <w:sz w:val="22"/>
        </w:rPr>
        <w:t>El otorgamiento de incentivos estará supeditado al presupuesto disponible y se basará en los principios de méritos y de igualdad de oportunidades. Además, serán independientes de la promoción en rangos, así como de las remuneraciones correspondientes al cargo o puesto que se ocupe, de conformidad con el artículo 439 del Estatuto.</w:t>
      </w:r>
    </w:p>
    <w:p w14:paraId="2900BDCF" w14:textId="00A44B4A" w:rsidR="00A26384" w:rsidRPr="007857E6" w:rsidRDefault="00186809" w:rsidP="00A26384">
      <w:pPr>
        <w:rPr>
          <w:rFonts w:ascii="Arial" w:hAnsi="Arial" w:cs="Arial"/>
          <w:sz w:val="22"/>
        </w:rPr>
      </w:pPr>
      <w:r w:rsidRPr="007857E6">
        <w:rPr>
          <w:rFonts w:ascii="Arial" w:hAnsi="Arial" w:cs="Arial"/>
          <w:sz w:val="22"/>
        </w:rPr>
        <w:t>En ese contexto</w:t>
      </w:r>
      <w:r w:rsidR="00A26384" w:rsidRPr="007857E6">
        <w:rPr>
          <w:rFonts w:ascii="Arial" w:hAnsi="Arial" w:cs="Arial"/>
          <w:sz w:val="22"/>
        </w:rPr>
        <w:t>, el artículo 440 del Estatuto</w:t>
      </w:r>
      <w:r w:rsidR="00A81965" w:rsidRPr="007857E6">
        <w:rPr>
          <w:rFonts w:ascii="Arial" w:hAnsi="Arial" w:cs="Arial"/>
          <w:sz w:val="22"/>
        </w:rPr>
        <w:t xml:space="preserve"> establece que </w:t>
      </w:r>
      <w:r w:rsidR="00A26384" w:rsidRPr="007857E6">
        <w:rPr>
          <w:rFonts w:ascii="Arial" w:hAnsi="Arial" w:cs="Arial"/>
          <w:sz w:val="22"/>
        </w:rPr>
        <w:t xml:space="preserve">el órgano superior de dirección en cada organismo electoral aprobará los tipos de incentivos, sus características, los méritos y requisitos para su obtención, el tipo de reconocimientos, beneficios, remuneraciones, </w:t>
      </w:r>
      <w:r w:rsidR="00A26384" w:rsidRPr="007857E6">
        <w:rPr>
          <w:rFonts w:ascii="Arial" w:hAnsi="Arial" w:cs="Arial"/>
          <w:sz w:val="22"/>
        </w:rPr>
        <w:lastRenderedPageBreak/>
        <w:t>criterios de desempate con perspectiva de igualdad de género, así como los procedimientos correspondientes.</w:t>
      </w:r>
    </w:p>
    <w:p w14:paraId="1C7E6E44" w14:textId="31894B31" w:rsidR="00A26384" w:rsidRPr="007857E6" w:rsidRDefault="00A81965" w:rsidP="00A26384">
      <w:pPr>
        <w:rPr>
          <w:rFonts w:ascii="Arial" w:hAnsi="Arial" w:cs="Arial"/>
          <w:sz w:val="22"/>
        </w:rPr>
      </w:pPr>
      <w:r w:rsidRPr="007857E6">
        <w:rPr>
          <w:rFonts w:ascii="Arial" w:hAnsi="Arial" w:cs="Arial"/>
          <w:sz w:val="22"/>
        </w:rPr>
        <w:t>L</w:t>
      </w:r>
      <w:r w:rsidR="00011C7A" w:rsidRPr="007857E6">
        <w:rPr>
          <w:rFonts w:ascii="Arial" w:hAnsi="Arial" w:cs="Arial"/>
          <w:sz w:val="22"/>
        </w:rPr>
        <w:t>a</w:t>
      </w:r>
      <w:r w:rsidR="00A26384" w:rsidRPr="007857E6">
        <w:rPr>
          <w:rFonts w:ascii="Arial" w:hAnsi="Arial" w:cs="Arial"/>
          <w:sz w:val="22"/>
        </w:rPr>
        <w:t xml:space="preserve"> entrega de incentivos</w:t>
      </w:r>
      <w:r w:rsidRPr="007857E6">
        <w:rPr>
          <w:rFonts w:ascii="Arial" w:hAnsi="Arial" w:cs="Arial"/>
          <w:sz w:val="22"/>
        </w:rPr>
        <w:t xml:space="preserve"> está condicionada a</w:t>
      </w:r>
      <w:r w:rsidR="00A26384" w:rsidRPr="007857E6">
        <w:rPr>
          <w:rFonts w:ascii="Arial" w:hAnsi="Arial" w:cs="Arial"/>
          <w:sz w:val="22"/>
        </w:rPr>
        <w:t xml:space="preserve"> que el personal del Servicio Profesional se mantenga en el organismo electoral al momento de su otorgamiento.</w:t>
      </w:r>
    </w:p>
    <w:p w14:paraId="3958E5CB" w14:textId="77777777" w:rsidR="00A26384" w:rsidRPr="007857E6" w:rsidRDefault="00A26384" w:rsidP="00A26384">
      <w:pPr>
        <w:pStyle w:val="Ttulo2"/>
        <w:rPr>
          <w:rFonts w:ascii="Arial" w:hAnsi="Arial" w:cs="Arial"/>
          <w:sz w:val="22"/>
        </w:rPr>
      </w:pPr>
      <w:r w:rsidRPr="007857E6">
        <w:rPr>
          <w:rFonts w:ascii="Arial" w:hAnsi="Arial" w:cs="Arial"/>
          <w:sz w:val="22"/>
        </w:rPr>
        <w:t>Tipos de incentivos</w:t>
      </w:r>
    </w:p>
    <w:p w14:paraId="22747457" w14:textId="756D2475" w:rsidR="00A26384" w:rsidRPr="007857E6" w:rsidRDefault="0016026A" w:rsidP="00A26384">
      <w:pPr>
        <w:rPr>
          <w:rFonts w:ascii="Arial" w:hAnsi="Arial" w:cs="Arial"/>
          <w:sz w:val="22"/>
        </w:rPr>
      </w:pPr>
      <w:r w:rsidRPr="007857E6">
        <w:rPr>
          <w:rFonts w:ascii="Arial" w:hAnsi="Arial" w:cs="Arial"/>
          <w:sz w:val="22"/>
        </w:rPr>
        <w:t>De acuerdo con el artículo 25 de los Lineamientos y el</w:t>
      </w:r>
      <w:r w:rsidR="00A26384" w:rsidRPr="007857E6">
        <w:rPr>
          <w:rFonts w:ascii="Arial" w:hAnsi="Arial" w:cs="Arial"/>
          <w:sz w:val="22"/>
        </w:rPr>
        <w:t xml:space="preserve"> Programa de Incentivos, los tipos de incentivos que se otorgarán a las y los miembros que reúnan los requisitos que señalen los Lineamientos y el propio programa, serán: </w:t>
      </w:r>
    </w:p>
    <w:p w14:paraId="689FEE0B" w14:textId="77777777" w:rsidR="00A26384" w:rsidRPr="007857E6" w:rsidRDefault="00A26384" w:rsidP="00A26384">
      <w:pPr>
        <w:pStyle w:val="Prrafodelista"/>
        <w:numPr>
          <w:ilvl w:val="0"/>
          <w:numId w:val="1"/>
        </w:numPr>
        <w:rPr>
          <w:rFonts w:ascii="Arial" w:hAnsi="Arial" w:cs="Arial"/>
          <w:sz w:val="22"/>
        </w:rPr>
      </w:pPr>
      <w:r w:rsidRPr="007857E6">
        <w:rPr>
          <w:rFonts w:ascii="Arial" w:hAnsi="Arial" w:cs="Arial"/>
          <w:sz w:val="22"/>
        </w:rPr>
        <w:t xml:space="preserve">Por rendimiento, con periodicidad anual y con carácter obligatorio; </w:t>
      </w:r>
    </w:p>
    <w:p w14:paraId="5A7BFDED" w14:textId="77777777" w:rsidR="00A26384" w:rsidRPr="007857E6" w:rsidRDefault="00A26384" w:rsidP="00A26384">
      <w:pPr>
        <w:pStyle w:val="Prrafodelista"/>
        <w:numPr>
          <w:ilvl w:val="0"/>
          <w:numId w:val="1"/>
        </w:numPr>
        <w:rPr>
          <w:rFonts w:ascii="Arial" w:hAnsi="Arial" w:cs="Arial"/>
          <w:sz w:val="22"/>
        </w:rPr>
      </w:pPr>
      <w:r w:rsidRPr="007857E6">
        <w:rPr>
          <w:rFonts w:ascii="Arial" w:hAnsi="Arial" w:cs="Arial"/>
          <w:sz w:val="22"/>
        </w:rPr>
        <w:t xml:space="preserve">Por la obtención de grados académicos, con periodicidad anual; y </w:t>
      </w:r>
    </w:p>
    <w:p w14:paraId="61C95672" w14:textId="77777777" w:rsidR="00A26384" w:rsidRPr="007857E6" w:rsidRDefault="00A26384" w:rsidP="00A26384">
      <w:pPr>
        <w:pStyle w:val="Prrafodelista"/>
        <w:numPr>
          <w:ilvl w:val="0"/>
          <w:numId w:val="1"/>
        </w:numPr>
        <w:rPr>
          <w:rFonts w:ascii="Arial" w:hAnsi="Arial" w:cs="Arial"/>
          <w:sz w:val="22"/>
        </w:rPr>
      </w:pPr>
      <w:r w:rsidRPr="007857E6">
        <w:rPr>
          <w:rFonts w:ascii="Arial" w:hAnsi="Arial" w:cs="Arial"/>
          <w:sz w:val="22"/>
        </w:rPr>
        <w:t>Por excelencia en el desempeño, con periodicidad trianual.</w:t>
      </w:r>
    </w:p>
    <w:p w14:paraId="72F9FFE7" w14:textId="77777777" w:rsidR="00D960AF" w:rsidRPr="007857E6" w:rsidRDefault="00D960AF" w:rsidP="00D960AF">
      <w:pPr>
        <w:pStyle w:val="Ttulo2"/>
        <w:rPr>
          <w:rFonts w:ascii="Arial" w:hAnsi="Arial" w:cs="Arial"/>
          <w:sz w:val="22"/>
        </w:rPr>
      </w:pPr>
      <w:r w:rsidRPr="007857E6">
        <w:rPr>
          <w:rFonts w:ascii="Arial" w:hAnsi="Arial" w:cs="Arial"/>
          <w:sz w:val="22"/>
        </w:rPr>
        <w:t>Incentivo por rendimiento</w:t>
      </w:r>
    </w:p>
    <w:p w14:paraId="03CB0D78" w14:textId="2E82D4AE" w:rsidR="00D960AF" w:rsidRPr="007857E6" w:rsidRDefault="0016026A" w:rsidP="00D960AF">
      <w:pPr>
        <w:rPr>
          <w:rFonts w:ascii="Arial" w:hAnsi="Arial" w:cs="Arial"/>
          <w:sz w:val="22"/>
        </w:rPr>
      </w:pPr>
      <w:r w:rsidRPr="007857E6">
        <w:rPr>
          <w:rFonts w:ascii="Arial" w:hAnsi="Arial" w:cs="Arial"/>
          <w:sz w:val="22"/>
        </w:rPr>
        <w:t>Conforme al artículo 26 de los Lineamientos, e</w:t>
      </w:r>
      <w:r w:rsidR="00D960AF" w:rsidRPr="007857E6">
        <w:rPr>
          <w:rFonts w:ascii="Arial" w:hAnsi="Arial" w:cs="Arial"/>
          <w:sz w:val="22"/>
        </w:rPr>
        <w:t>l incentivo por rendimiento es el estímulo que tiene como propósito reconocer los méritos en el desempeño de las y los miembros del Servicio Profesional en sus funciones durante el ejercicio valorado.</w:t>
      </w:r>
    </w:p>
    <w:p w14:paraId="1FD07615" w14:textId="77777777" w:rsidR="00D960AF" w:rsidRPr="007857E6" w:rsidRDefault="00D960AF" w:rsidP="00D960AF">
      <w:pPr>
        <w:rPr>
          <w:rFonts w:ascii="Arial" w:hAnsi="Arial" w:cs="Arial"/>
          <w:sz w:val="22"/>
        </w:rPr>
      </w:pPr>
      <w:r w:rsidRPr="007857E6">
        <w:rPr>
          <w:rFonts w:ascii="Arial" w:hAnsi="Arial" w:cs="Arial"/>
          <w:sz w:val="22"/>
        </w:rPr>
        <w:t>Para efectos de este incentivo se seleccionará, como máximo, hasta el 20% tomando como base la totalidad del personal del Servicio Profesional que haya sido evaluado y obtenido las mejores calificaciones, de conformidad con la evaluación integral establecida en el artículo 27 de los Lineamientos, y consistirá en una retribución de $25,000.00 (veinticinco mil pesos 00/100 m. n.) menos impuestos para los miembros del Servicio Profesional con categoría de Coordinador y $20,000.00 (veinte mil pesos 00/100 m. n.) menos impuestos, para aquellas o aquellos con cargo de Asistencia Técnica.</w:t>
      </w:r>
    </w:p>
    <w:p w14:paraId="526BE905" w14:textId="07DB3DD8" w:rsidR="00D960AF" w:rsidRPr="007857E6" w:rsidRDefault="00A26384" w:rsidP="00DE1C72">
      <w:pPr>
        <w:pStyle w:val="Ttulo2"/>
        <w:rPr>
          <w:rFonts w:ascii="Arial" w:hAnsi="Arial" w:cs="Arial"/>
          <w:sz w:val="22"/>
        </w:rPr>
      </w:pPr>
      <w:r w:rsidRPr="007857E6">
        <w:rPr>
          <w:rFonts w:ascii="Arial" w:hAnsi="Arial" w:cs="Arial"/>
          <w:sz w:val="22"/>
        </w:rPr>
        <w:t xml:space="preserve">Incentivo por </w:t>
      </w:r>
      <w:r w:rsidR="00D960AF" w:rsidRPr="007857E6">
        <w:rPr>
          <w:rFonts w:ascii="Arial" w:hAnsi="Arial" w:cs="Arial"/>
          <w:sz w:val="22"/>
        </w:rPr>
        <w:t>la obtención de grados académicos</w:t>
      </w:r>
    </w:p>
    <w:p w14:paraId="3453BE58" w14:textId="527AAA14" w:rsidR="00DE1C72" w:rsidRPr="007857E6" w:rsidRDefault="00DE1C72" w:rsidP="00DE1C72">
      <w:pPr>
        <w:rPr>
          <w:rFonts w:ascii="Arial" w:hAnsi="Arial" w:cs="Arial"/>
          <w:sz w:val="22"/>
        </w:rPr>
      </w:pPr>
      <w:r w:rsidRPr="007857E6">
        <w:rPr>
          <w:rFonts w:ascii="Arial" w:hAnsi="Arial" w:cs="Arial"/>
          <w:sz w:val="22"/>
        </w:rPr>
        <w:t>Por otra parte, el personal del Servicio Profesional que obtenga un grado académico, definido como la conclusión de algún programa de estudios de nivel licenciatura, especialidad, maestría o doctorado, podrá recibir el beneficio de 5 días de descanso</w:t>
      </w:r>
      <w:r w:rsidR="0016026A" w:rsidRPr="007857E6">
        <w:rPr>
          <w:rFonts w:ascii="Arial" w:hAnsi="Arial" w:cs="Arial"/>
          <w:sz w:val="22"/>
        </w:rPr>
        <w:t>, lo anterior acorde al artículo 38 de los Lineamientos</w:t>
      </w:r>
      <w:r w:rsidRPr="007857E6">
        <w:rPr>
          <w:rFonts w:ascii="Arial" w:hAnsi="Arial" w:cs="Arial"/>
          <w:sz w:val="22"/>
        </w:rPr>
        <w:t>.</w:t>
      </w:r>
    </w:p>
    <w:p w14:paraId="0BBA1701" w14:textId="77777777" w:rsidR="00DE1C72" w:rsidRPr="007857E6" w:rsidRDefault="00DE1C72" w:rsidP="00DE1C72">
      <w:pPr>
        <w:rPr>
          <w:rFonts w:ascii="Arial" w:hAnsi="Arial" w:cs="Arial"/>
          <w:sz w:val="22"/>
        </w:rPr>
      </w:pPr>
      <w:r w:rsidRPr="007857E6">
        <w:rPr>
          <w:rFonts w:ascii="Arial" w:hAnsi="Arial" w:cs="Arial"/>
          <w:sz w:val="22"/>
        </w:rPr>
        <w:lastRenderedPageBreak/>
        <w:t>Para efectos de este incentivo, cada grado académico que obtenga el personal del Servicio Profesional sólo será considerado en una única ocasión. En caso de que se realice una segunda licenciatura, especialidad, maestría o doctorado, se considerará como un nuevo grado y se podrá hacer la valoración correspondiente.</w:t>
      </w:r>
    </w:p>
    <w:p w14:paraId="2D0889E5" w14:textId="2DC30DC6" w:rsidR="00D960AF" w:rsidRPr="007857E6" w:rsidRDefault="00D960AF" w:rsidP="00A26384">
      <w:pPr>
        <w:pStyle w:val="Ttulo2"/>
        <w:rPr>
          <w:rFonts w:ascii="Arial" w:hAnsi="Arial" w:cs="Arial"/>
          <w:sz w:val="22"/>
        </w:rPr>
      </w:pPr>
      <w:r w:rsidRPr="007857E6">
        <w:rPr>
          <w:rFonts w:ascii="Arial" w:hAnsi="Arial" w:cs="Arial"/>
          <w:sz w:val="22"/>
        </w:rPr>
        <w:t>Procedimiento para otorgar los incentivos</w:t>
      </w:r>
    </w:p>
    <w:p w14:paraId="7A0D95F6" w14:textId="5FDC240E" w:rsidR="00D960AF" w:rsidRPr="007857E6" w:rsidRDefault="00D960AF" w:rsidP="00D960AF">
      <w:pPr>
        <w:rPr>
          <w:rFonts w:ascii="Arial" w:hAnsi="Arial" w:cs="Arial"/>
          <w:sz w:val="22"/>
        </w:rPr>
      </w:pPr>
      <w:r w:rsidRPr="007857E6">
        <w:rPr>
          <w:rFonts w:ascii="Arial" w:hAnsi="Arial" w:cs="Arial"/>
          <w:sz w:val="22"/>
        </w:rPr>
        <w:t xml:space="preserve">El procedimiento para otorgar los incentivos se rigen conforme al artículo 160 de la Ley Electoral, en el que se establecen las condiciones respecto de la regularización y permanencia de los servidores públicos en el Servicio Profesional Electoral Nacional del propio instituto, </w:t>
      </w:r>
      <w:r w:rsidR="00A81965" w:rsidRPr="007857E6">
        <w:rPr>
          <w:rFonts w:ascii="Arial" w:hAnsi="Arial" w:cs="Arial"/>
          <w:sz w:val="22"/>
        </w:rPr>
        <w:t>el cual debe ser acorde a las disposiciones en la materia previstas en</w:t>
      </w:r>
      <w:r w:rsidRPr="007857E6">
        <w:rPr>
          <w:rFonts w:ascii="Arial" w:hAnsi="Arial" w:cs="Arial"/>
          <w:sz w:val="22"/>
        </w:rPr>
        <w:t xml:space="preserve"> el Manual de Remuneraciones de los Servidores Públicos del Instituto, así como el Manual de Normas Presupuestarias y Administrativas para el Control del Ejercicio Presupuestal.</w:t>
      </w:r>
    </w:p>
    <w:p w14:paraId="529E0315" w14:textId="1385D729" w:rsidR="00A81965" w:rsidRPr="007857E6" w:rsidRDefault="00D960AF" w:rsidP="00D960AF">
      <w:pPr>
        <w:rPr>
          <w:rFonts w:ascii="Arial" w:hAnsi="Arial" w:cs="Arial"/>
          <w:sz w:val="22"/>
        </w:rPr>
      </w:pPr>
      <w:r w:rsidRPr="007857E6">
        <w:rPr>
          <w:rFonts w:ascii="Arial" w:hAnsi="Arial" w:cs="Arial"/>
          <w:sz w:val="22"/>
        </w:rPr>
        <w:t>Por su parte</w:t>
      </w:r>
      <w:r w:rsidR="00677787" w:rsidRPr="007857E6">
        <w:rPr>
          <w:rFonts w:ascii="Arial" w:hAnsi="Arial" w:cs="Arial"/>
          <w:sz w:val="22"/>
        </w:rPr>
        <w:t xml:space="preserve">, </w:t>
      </w:r>
      <w:r w:rsidR="00A81965" w:rsidRPr="007857E6">
        <w:rPr>
          <w:rFonts w:ascii="Arial" w:hAnsi="Arial" w:cs="Arial"/>
          <w:sz w:val="22"/>
        </w:rPr>
        <w:t xml:space="preserve">en </w:t>
      </w:r>
      <w:r w:rsidR="00677787" w:rsidRPr="007857E6">
        <w:rPr>
          <w:rFonts w:ascii="Arial" w:hAnsi="Arial" w:cs="Arial"/>
          <w:sz w:val="22"/>
        </w:rPr>
        <w:t>los artículos del 27 al 43 de los Lineamientos y el nu</w:t>
      </w:r>
      <w:r w:rsidRPr="007857E6">
        <w:rPr>
          <w:rFonts w:ascii="Arial" w:hAnsi="Arial" w:cs="Arial"/>
          <w:sz w:val="22"/>
        </w:rPr>
        <w:t>meral</w:t>
      </w:r>
      <w:r w:rsidR="00677787" w:rsidRPr="007857E6">
        <w:rPr>
          <w:rFonts w:ascii="Arial" w:hAnsi="Arial" w:cs="Arial"/>
          <w:sz w:val="22"/>
        </w:rPr>
        <w:t>es</w:t>
      </w:r>
      <w:r w:rsidRPr="007857E6">
        <w:rPr>
          <w:rFonts w:ascii="Arial" w:hAnsi="Arial" w:cs="Arial"/>
          <w:sz w:val="22"/>
        </w:rPr>
        <w:t xml:space="preserve"> 7 del Programa de Incentivos </w:t>
      </w:r>
      <w:r w:rsidR="00A81965" w:rsidRPr="007857E6">
        <w:rPr>
          <w:rFonts w:ascii="Arial" w:hAnsi="Arial" w:cs="Arial"/>
          <w:sz w:val="22"/>
        </w:rPr>
        <w:t xml:space="preserve">se </w:t>
      </w:r>
      <w:r w:rsidR="00677787" w:rsidRPr="007857E6">
        <w:rPr>
          <w:rFonts w:ascii="Arial" w:hAnsi="Arial" w:cs="Arial"/>
          <w:sz w:val="22"/>
        </w:rPr>
        <w:t>establecen</w:t>
      </w:r>
      <w:r w:rsidRPr="007857E6">
        <w:rPr>
          <w:rFonts w:ascii="Arial" w:hAnsi="Arial" w:cs="Arial"/>
          <w:sz w:val="22"/>
        </w:rPr>
        <w:t xml:space="preserve"> los requisitos y criterios </w:t>
      </w:r>
      <w:r w:rsidR="00677787" w:rsidRPr="007857E6">
        <w:rPr>
          <w:rFonts w:ascii="Arial" w:hAnsi="Arial" w:cs="Arial"/>
          <w:sz w:val="22"/>
        </w:rPr>
        <w:t xml:space="preserve">que deben tomarse en cuenta para </w:t>
      </w:r>
      <w:r w:rsidR="00A81965" w:rsidRPr="007857E6">
        <w:rPr>
          <w:rFonts w:ascii="Arial" w:hAnsi="Arial" w:cs="Arial"/>
          <w:sz w:val="22"/>
        </w:rPr>
        <w:t>el</w:t>
      </w:r>
      <w:r w:rsidR="00677787" w:rsidRPr="007857E6">
        <w:rPr>
          <w:rFonts w:ascii="Arial" w:hAnsi="Arial" w:cs="Arial"/>
          <w:sz w:val="22"/>
        </w:rPr>
        <w:t xml:space="preserve"> otorgamiento</w:t>
      </w:r>
      <w:r w:rsidR="00A81965" w:rsidRPr="007857E6">
        <w:rPr>
          <w:rFonts w:ascii="Arial" w:hAnsi="Arial" w:cs="Arial"/>
          <w:sz w:val="22"/>
        </w:rPr>
        <w:t xml:space="preserve"> que cada uno de los incentivos</w:t>
      </w:r>
      <w:r w:rsidR="00677787" w:rsidRPr="007857E6">
        <w:rPr>
          <w:rFonts w:ascii="Arial" w:hAnsi="Arial" w:cs="Arial"/>
          <w:sz w:val="22"/>
        </w:rPr>
        <w:t>, al igual que los supuestos en los que el personal no será considerados para su otorgamiento.</w:t>
      </w:r>
    </w:p>
    <w:p w14:paraId="2771DAFA" w14:textId="77777777" w:rsidR="00287A59" w:rsidRPr="007857E6" w:rsidRDefault="00287A59" w:rsidP="00287A59">
      <w:pPr>
        <w:rPr>
          <w:rFonts w:ascii="Arial" w:hAnsi="Arial" w:cs="Arial"/>
          <w:sz w:val="22"/>
        </w:rPr>
      </w:pPr>
      <w:r w:rsidRPr="007857E6">
        <w:rPr>
          <w:rFonts w:ascii="Arial" w:hAnsi="Arial" w:cs="Arial"/>
          <w:sz w:val="22"/>
        </w:rPr>
        <w:t>En cuanto a la existencia de</w:t>
      </w:r>
      <w:r w:rsidR="00677787" w:rsidRPr="007857E6">
        <w:rPr>
          <w:rFonts w:ascii="Arial" w:hAnsi="Arial" w:cs="Arial"/>
          <w:sz w:val="22"/>
        </w:rPr>
        <w:t xml:space="preserve"> empate</w:t>
      </w:r>
      <w:r w:rsidRPr="007857E6">
        <w:rPr>
          <w:rFonts w:ascii="Arial" w:hAnsi="Arial" w:cs="Arial"/>
          <w:sz w:val="22"/>
        </w:rPr>
        <w:t xml:space="preserve">, </w:t>
      </w:r>
      <w:r w:rsidR="00677787" w:rsidRPr="007857E6">
        <w:rPr>
          <w:rFonts w:ascii="Arial" w:hAnsi="Arial" w:cs="Arial"/>
          <w:sz w:val="22"/>
        </w:rPr>
        <w:t>el numeral 8 del Programa de Incentivos</w:t>
      </w:r>
      <w:r w:rsidRPr="007857E6">
        <w:rPr>
          <w:rFonts w:ascii="Arial" w:hAnsi="Arial" w:cs="Arial"/>
          <w:sz w:val="22"/>
        </w:rPr>
        <w:t xml:space="preserve"> prevé que se considerará que hay empate cuando en el límite inferior de los resultados de la ponderación señalada en el artículo 27 de los Lineamientos, se ubiquen dos o más miembros del Servicio con el mismo resultado. </w:t>
      </w:r>
    </w:p>
    <w:p w14:paraId="1CCF2B2B" w14:textId="77777777" w:rsidR="00287A59" w:rsidRPr="007857E6" w:rsidRDefault="00287A59" w:rsidP="00287A59">
      <w:pPr>
        <w:spacing w:before="120" w:after="120"/>
        <w:rPr>
          <w:rFonts w:ascii="Arial" w:hAnsi="Arial" w:cs="Arial"/>
          <w:sz w:val="22"/>
        </w:rPr>
      </w:pPr>
      <w:r w:rsidRPr="007857E6">
        <w:rPr>
          <w:rFonts w:ascii="Arial" w:hAnsi="Arial" w:cs="Arial"/>
          <w:sz w:val="22"/>
        </w:rPr>
        <w:t xml:space="preserve">Los criterios de desempate que se aplicarán serán: </w:t>
      </w:r>
    </w:p>
    <w:p w14:paraId="7279FBC1" w14:textId="77777777" w:rsidR="00287A59" w:rsidRPr="007857E6" w:rsidRDefault="00287A59" w:rsidP="00287A59">
      <w:pPr>
        <w:spacing w:before="120" w:after="120"/>
        <w:rPr>
          <w:rFonts w:ascii="Arial" w:hAnsi="Arial" w:cs="Arial"/>
          <w:sz w:val="22"/>
        </w:rPr>
      </w:pPr>
      <w:r w:rsidRPr="007857E6">
        <w:rPr>
          <w:rFonts w:ascii="Arial" w:hAnsi="Arial" w:cs="Arial"/>
          <w:sz w:val="22"/>
        </w:rPr>
        <w:t xml:space="preserve">I. El mayor resultado de la evaluación del desempeño del ejercicio valorado; </w:t>
      </w:r>
    </w:p>
    <w:p w14:paraId="6711E883" w14:textId="77777777" w:rsidR="00287A59" w:rsidRPr="007857E6" w:rsidRDefault="00287A59" w:rsidP="00287A59">
      <w:pPr>
        <w:spacing w:before="120" w:after="120"/>
        <w:rPr>
          <w:rFonts w:ascii="Arial" w:hAnsi="Arial" w:cs="Arial"/>
          <w:sz w:val="22"/>
        </w:rPr>
      </w:pPr>
      <w:r w:rsidRPr="007857E6">
        <w:rPr>
          <w:rFonts w:ascii="Arial" w:hAnsi="Arial" w:cs="Arial"/>
          <w:sz w:val="22"/>
        </w:rPr>
        <w:t xml:space="preserve">II. El mayor resultado en la calificación final promedio que obtiene el personal del Servicio en el periodo o los periodos académicos del programa de formación cursados en el ejercicio valorado; </w:t>
      </w:r>
    </w:p>
    <w:p w14:paraId="0AAA8947" w14:textId="77777777" w:rsidR="00287A59" w:rsidRPr="007857E6" w:rsidRDefault="00287A59" w:rsidP="00287A59">
      <w:pPr>
        <w:spacing w:before="120" w:after="120"/>
        <w:rPr>
          <w:rFonts w:ascii="Arial" w:hAnsi="Arial" w:cs="Arial"/>
          <w:sz w:val="22"/>
        </w:rPr>
      </w:pPr>
      <w:r w:rsidRPr="007857E6">
        <w:rPr>
          <w:rFonts w:ascii="Arial" w:hAnsi="Arial" w:cs="Arial"/>
          <w:sz w:val="22"/>
        </w:rPr>
        <w:t xml:space="preserve">III.- Antigüedad dentro del SPEN en el sistema OPLE; </w:t>
      </w:r>
    </w:p>
    <w:p w14:paraId="65B1C9D1" w14:textId="77777777" w:rsidR="00287A59" w:rsidRPr="007857E6" w:rsidRDefault="00287A59" w:rsidP="00287A59">
      <w:pPr>
        <w:spacing w:before="120" w:after="120"/>
        <w:rPr>
          <w:rFonts w:ascii="Arial" w:hAnsi="Arial" w:cs="Arial"/>
          <w:sz w:val="22"/>
        </w:rPr>
      </w:pPr>
      <w:r w:rsidRPr="007857E6">
        <w:rPr>
          <w:rFonts w:ascii="Arial" w:hAnsi="Arial" w:cs="Arial"/>
          <w:sz w:val="22"/>
        </w:rPr>
        <w:t xml:space="preserve">IV.- Antigüedad laboral en el OPLE; </w:t>
      </w:r>
    </w:p>
    <w:p w14:paraId="59EE3499" w14:textId="0CD7C3D8" w:rsidR="00677787" w:rsidRDefault="00287A59" w:rsidP="00287A59">
      <w:pPr>
        <w:spacing w:before="120" w:after="120"/>
        <w:rPr>
          <w:rFonts w:ascii="Arial" w:hAnsi="Arial" w:cs="Arial"/>
          <w:sz w:val="22"/>
        </w:rPr>
      </w:pPr>
      <w:r w:rsidRPr="007857E6">
        <w:rPr>
          <w:rFonts w:ascii="Arial" w:hAnsi="Arial" w:cs="Arial"/>
          <w:sz w:val="22"/>
        </w:rPr>
        <w:t>V.- Grado académico.</w:t>
      </w:r>
    </w:p>
    <w:p w14:paraId="4C80E3C6" w14:textId="1CE93ECD" w:rsidR="007857E6" w:rsidRDefault="007857E6" w:rsidP="00287A59">
      <w:pPr>
        <w:spacing w:before="120" w:after="120"/>
        <w:rPr>
          <w:rFonts w:ascii="Arial" w:hAnsi="Arial" w:cs="Arial"/>
          <w:sz w:val="22"/>
        </w:rPr>
      </w:pPr>
    </w:p>
    <w:p w14:paraId="3B1B055B" w14:textId="77777777" w:rsidR="007857E6" w:rsidRPr="007857E6" w:rsidRDefault="007857E6" w:rsidP="00287A59">
      <w:pPr>
        <w:spacing w:before="120" w:after="120"/>
        <w:rPr>
          <w:rFonts w:ascii="Arial" w:hAnsi="Arial" w:cs="Arial"/>
          <w:sz w:val="22"/>
        </w:rPr>
      </w:pPr>
    </w:p>
    <w:p w14:paraId="50F9D818" w14:textId="24FDB183" w:rsidR="00A26384" w:rsidRPr="007857E6" w:rsidRDefault="00A26384" w:rsidP="00A26384">
      <w:pPr>
        <w:pStyle w:val="Ttulo2"/>
        <w:rPr>
          <w:rFonts w:ascii="Arial" w:hAnsi="Arial" w:cs="Arial"/>
          <w:sz w:val="22"/>
        </w:rPr>
      </w:pPr>
      <w:r w:rsidRPr="007857E6">
        <w:rPr>
          <w:rFonts w:ascii="Arial" w:hAnsi="Arial" w:cs="Arial"/>
          <w:sz w:val="22"/>
        </w:rPr>
        <w:lastRenderedPageBreak/>
        <w:t>Presentación de la propuesta de dictámenes</w:t>
      </w:r>
    </w:p>
    <w:p w14:paraId="76E5A1F6" w14:textId="65104C9D" w:rsidR="00287A59" w:rsidRPr="007857E6" w:rsidRDefault="00A81965" w:rsidP="00287A59">
      <w:pPr>
        <w:rPr>
          <w:rFonts w:ascii="Arial" w:hAnsi="Arial" w:cs="Arial"/>
          <w:color w:val="000000" w:themeColor="text1"/>
          <w:sz w:val="22"/>
        </w:rPr>
      </w:pPr>
      <w:r w:rsidRPr="007857E6">
        <w:rPr>
          <w:rFonts w:ascii="Arial" w:hAnsi="Arial" w:cs="Arial"/>
          <w:color w:val="000000" w:themeColor="text1"/>
          <w:sz w:val="22"/>
        </w:rPr>
        <w:t>Con base en los criterios previstos en la normativa aplicable, se realizó el análisis y propuesta para el personal que cumplió con los parámetros requeridos, en consecuencia el</w:t>
      </w:r>
      <w:r w:rsidR="00287A59" w:rsidRPr="007857E6">
        <w:rPr>
          <w:rFonts w:ascii="Arial" w:hAnsi="Arial" w:cs="Arial"/>
          <w:color w:val="000000" w:themeColor="text1"/>
          <w:sz w:val="22"/>
        </w:rPr>
        <w:t xml:space="preserve"> 14 de julio de </w:t>
      </w:r>
      <w:r w:rsidRPr="007857E6">
        <w:rPr>
          <w:rFonts w:ascii="Arial" w:hAnsi="Arial" w:cs="Arial"/>
          <w:color w:val="000000" w:themeColor="text1"/>
          <w:sz w:val="22"/>
        </w:rPr>
        <w:t>2025</w:t>
      </w:r>
      <w:r w:rsidR="00287A59" w:rsidRPr="007857E6">
        <w:rPr>
          <w:rFonts w:ascii="Arial" w:hAnsi="Arial" w:cs="Arial"/>
          <w:color w:val="000000" w:themeColor="text1"/>
          <w:sz w:val="22"/>
        </w:rPr>
        <w:t>, la titular del Órgano de Enlace, mediante correo electrónico institucional, remitió a la Subdirección de Titularidad, Promociones e Incentivos de la DESPEN, los dictámenes preliminares de Incentivos 2025, correspondientes al ejercicio valorado 2024 y la evidencia documental correspondiente, para su análisis y validación.</w:t>
      </w:r>
    </w:p>
    <w:p w14:paraId="62835CAA" w14:textId="55CEC671" w:rsidR="00287A59" w:rsidRPr="007857E6" w:rsidRDefault="00287A59" w:rsidP="00287A59">
      <w:pPr>
        <w:rPr>
          <w:rFonts w:ascii="Arial" w:hAnsi="Arial" w:cs="Arial"/>
          <w:color w:val="000000" w:themeColor="text1"/>
          <w:sz w:val="22"/>
        </w:rPr>
      </w:pPr>
      <w:r w:rsidRPr="007857E6">
        <w:rPr>
          <w:rFonts w:ascii="Arial" w:hAnsi="Arial" w:cs="Arial"/>
          <w:color w:val="000000" w:themeColor="text1"/>
          <w:sz w:val="22"/>
        </w:rPr>
        <w:t xml:space="preserve">En </w:t>
      </w:r>
      <w:r w:rsidR="00824FC3" w:rsidRPr="007857E6">
        <w:rPr>
          <w:rFonts w:ascii="Arial" w:hAnsi="Arial" w:cs="Arial"/>
          <w:color w:val="000000" w:themeColor="text1"/>
          <w:sz w:val="22"/>
        </w:rPr>
        <w:t>misma fecha</w:t>
      </w:r>
      <w:r w:rsidRPr="007857E6">
        <w:rPr>
          <w:rFonts w:ascii="Arial" w:hAnsi="Arial" w:cs="Arial"/>
          <w:color w:val="000000" w:themeColor="text1"/>
          <w:sz w:val="22"/>
        </w:rPr>
        <w:t>, la titular del Órgano de Enlace, mediante correo electrónico institucional, recibió de la Subdirección de Titularidad, Promociones e Incentivos SPEN de la DESPEN, la validación de los dictámenes preliminares de Incentivos 2025, correspondientes al ejercicio valorado 2024 así como de la evidencia documental correspondiente.</w:t>
      </w:r>
    </w:p>
    <w:p w14:paraId="6486E12A" w14:textId="29423EC3" w:rsidR="00287A59" w:rsidRPr="007857E6" w:rsidRDefault="00287A59" w:rsidP="00287A59">
      <w:pPr>
        <w:rPr>
          <w:rFonts w:ascii="Arial" w:hAnsi="Arial" w:cs="Arial"/>
          <w:color w:val="000000" w:themeColor="text1"/>
          <w:sz w:val="22"/>
        </w:rPr>
      </w:pPr>
      <w:r w:rsidRPr="007857E6">
        <w:rPr>
          <w:rFonts w:ascii="Arial" w:hAnsi="Arial" w:cs="Arial"/>
          <w:color w:val="000000" w:themeColor="text1"/>
          <w:sz w:val="22"/>
        </w:rPr>
        <w:t>Por lo que,</w:t>
      </w:r>
      <w:r w:rsidR="0051025C" w:rsidRPr="007857E6">
        <w:rPr>
          <w:rFonts w:ascii="Arial" w:hAnsi="Arial" w:cs="Arial"/>
          <w:color w:val="000000" w:themeColor="text1"/>
          <w:sz w:val="22"/>
        </w:rPr>
        <w:t xml:space="preserve"> en atención a lo previsto en el artículo 15, inciso g) y 54 de los Lineamientos,</w:t>
      </w:r>
      <w:r w:rsidRPr="007857E6">
        <w:rPr>
          <w:rFonts w:ascii="Arial" w:hAnsi="Arial" w:cs="Arial"/>
          <w:color w:val="000000" w:themeColor="text1"/>
          <w:sz w:val="22"/>
        </w:rPr>
        <w:t xml:space="preserve"> el 24 de julio de 2025, la titular del Órgano de Enlace mediante oficio OESPEN/SE/058/2025, remitió a la DESPEN del Instituto Nacional Electoral, la versión final de los dictámenes para el otorgamiento de Incentivos 2025, correspondientes al ejercicio valorado 2024 y la evidencia documental correspondiente, para su visto bueno.</w:t>
      </w:r>
    </w:p>
    <w:p w14:paraId="68E02F49" w14:textId="77777777" w:rsidR="00A26384" w:rsidRPr="007857E6" w:rsidRDefault="00A26384" w:rsidP="00A26384">
      <w:pPr>
        <w:pStyle w:val="Ttulo2"/>
        <w:rPr>
          <w:rFonts w:ascii="Arial" w:hAnsi="Arial" w:cs="Arial"/>
          <w:sz w:val="22"/>
        </w:rPr>
      </w:pPr>
      <w:r w:rsidRPr="007857E6">
        <w:rPr>
          <w:rFonts w:ascii="Arial" w:hAnsi="Arial" w:cs="Arial"/>
          <w:sz w:val="22"/>
        </w:rPr>
        <w:t>Visto bueno a los dictámenes</w:t>
      </w:r>
    </w:p>
    <w:p w14:paraId="7B82F123" w14:textId="01B79442" w:rsidR="00A26384" w:rsidRDefault="0051025C" w:rsidP="00A26384">
      <w:pPr>
        <w:rPr>
          <w:rFonts w:ascii="Arial" w:hAnsi="Arial" w:cs="Arial"/>
          <w:sz w:val="22"/>
        </w:rPr>
      </w:pPr>
      <w:r w:rsidRPr="007857E6">
        <w:rPr>
          <w:rFonts w:ascii="Arial" w:hAnsi="Arial" w:cs="Arial"/>
          <w:sz w:val="22"/>
        </w:rPr>
        <w:t>Consecuentemente</w:t>
      </w:r>
      <w:r w:rsidR="00A26384" w:rsidRPr="007857E6">
        <w:rPr>
          <w:rFonts w:ascii="Arial" w:hAnsi="Arial" w:cs="Arial"/>
          <w:sz w:val="22"/>
        </w:rPr>
        <w:t xml:space="preserve">, el </w:t>
      </w:r>
      <w:r w:rsidR="001D4E40" w:rsidRPr="007857E6">
        <w:rPr>
          <w:rFonts w:ascii="Arial" w:hAnsi="Arial" w:cs="Arial"/>
          <w:sz w:val="22"/>
        </w:rPr>
        <w:t>11</w:t>
      </w:r>
      <w:r w:rsidR="00A26384" w:rsidRPr="007857E6">
        <w:rPr>
          <w:rFonts w:ascii="Arial" w:hAnsi="Arial" w:cs="Arial"/>
          <w:sz w:val="22"/>
        </w:rPr>
        <w:t xml:space="preserve"> de </w:t>
      </w:r>
      <w:r w:rsidR="001D4E40" w:rsidRPr="007857E6">
        <w:rPr>
          <w:rFonts w:ascii="Arial" w:hAnsi="Arial" w:cs="Arial"/>
          <w:sz w:val="22"/>
        </w:rPr>
        <w:t>agosto</w:t>
      </w:r>
      <w:r w:rsidR="00A26384" w:rsidRPr="007857E6">
        <w:rPr>
          <w:rFonts w:ascii="Arial" w:hAnsi="Arial" w:cs="Arial"/>
          <w:sz w:val="22"/>
        </w:rPr>
        <w:t xml:space="preserve"> de 202</w:t>
      </w:r>
      <w:r w:rsidR="001D4E40" w:rsidRPr="007857E6">
        <w:rPr>
          <w:rFonts w:ascii="Arial" w:hAnsi="Arial" w:cs="Arial"/>
          <w:sz w:val="22"/>
        </w:rPr>
        <w:t>5</w:t>
      </w:r>
      <w:r w:rsidR="00A26384" w:rsidRPr="007857E6">
        <w:rPr>
          <w:rFonts w:ascii="Arial" w:hAnsi="Arial" w:cs="Arial"/>
          <w:sz w:val="22"/>
        </w:rPr>
        <w:t xml:space="preserve">, el encargado de despacho de la DESPEN del INE mediante oficio </w:t>
      </w:r>
      <w:r w:rsidR="001D4E40" w:rsidRPr="007857E6">
        <w:rPr>
          <w:rFonts w:ascii="Arial" w:hAnsi="Arial" w:cs="Arial"/>
          <w:color w:val="000000" w:themeColor="text1"/>
          <w:sz w:val="22"/>
        </w:rPr>
        <w:t>INE/ED/DESPEN/0243/2025</w:t>
      </w:r>
      <w:r w:rsidR="00A26384" w:rsidRPr="007857E6">
        <w:rPr>
          <w:rFonts w:ascii="Arial" w:hAnsi="Arial" w:cs="Arial"/>
          <w:sz w:val="22"/>
        </w:rPr>
        <w:t>, comunicó a</w:t>
      </w:r>
      <w:r w:rsidR="001D4E40" w:rsidRPr="007857E6">
        <w:rPr>
          <w:rFonts w:ascii="Arial" w:hAnsi="Arial" w:cs="Arial"/>
          <w:sz w:val="22"/>
        </w:rPr>
        <w:t xml:space="preserve"> la</w:t>
      </w:r>
      <w:r w:rsidR="00A26384" w:rsidRPr="007857E6">
        <w:rPr>
          <w:rFonts w:ascii="Arial" w:hAnsi="Arial" w:cs="Arial"/>
          <w:sz w:val="22"/>
        </w:rPr>
        <w:t xml:space="preserve"> titular </w:t>
      </w:r>
      <w:r w:rsidR="001D4E40" w:rsidRPr="007857E6">
        <w:rPr>
          <w:rFonts w:ascii="Arial" w:hAnsi="Arial" w:cs="Arial"/>
          <w:color w:val="000000" w:themeColor="text1"/>
          <w:sz w:val="22"/>
        </w:rPr>
        <w:t>del Órgano de Enlace que procedió a hacer la revisión de la información relativa a los dictámenes enviados y evidencias documentales, teniendo como resultado que, en ejercicio de la atribución que le confiere el artículo 12, inciso e) de los Lineamientos, otorg</w:t>
      </w:r>
      <w:r w:rsidRPr="007857E6">
        <w:rPr>
          <w:rFonts w:ascii="Arial" w:hAnsi="Arial" w:cs="Arial"/>
          <w:color w:val="000000" w:themeColor="text1"/>
          <w:sz w:val="22"/>
        </w:rPr>
        <w:t>a</w:t>
      </w:r>
      <w:r w:rsidR="001D4E40" w:rsidRPr="007857E6">
        <w:rPr>
          <w:rFonts w:ascii="Arial" w:hAnsi="Arial" w:cs="Arial"/>
          <w:color w:val="000000" w:themeColor="text1"/>
          <w:sz w:val="22"/>
        </w:rPr>
        <w:t xml:space="preserve"> el visto bueno a la versión final de los dictámenes para el otorgamiento de Incentivos por rendimiento a efectuar en 2025, correspondiente al ejercicio valorado 2024, del personal del Servicio Profesional de este Instituto</w:t>
      </w:r>
      <w:r w:rsidRPr="007857E6">
        <w:rPr>
          <w:rFonts w:ascii="Arial" w:hAnsi="Arial" w:cs="Arial"/>
          <w:color w:val="000000" w:themeColor="text1"/>
          <w:sz w:val="22"/>
        </w:rPr>
        <w:t xml:space="preserve">, </w:t>
      </w:r>
      <w:r w:rsidR="001D4E40" w:rsidRPr="007857E6">
        <w:rPr>
          <w:rFonts w:ascii="Arial" w:hAnsi="Arial" w:cs="Arial"/>
          <w:color w:val="000000" w:themeColor="text1"/>
          <w:sz w:val="22"/>
        </w:rPr>
        <w:t>que a continuación se enlista</w:t>
      </w:r>
      <w:r w:rsidR="00A26384" w:rsidRPr="007857E6">
        <w:rPr>
          <w:rFonts w:ascii="Arial" w:hAnsi="Arial" w:cs="Arial"/>
          <w:sz w:val="22"/>
        </w:rPr>
        <w:t>:</w:t>
      </w:r>
    </w:p>
    <w:p w14:paraId="7ABF53CE" w14:textId="655A86CF" w:rsidR="007857E6" w:rsidRDefault="007857E6" w:rsidP="00A26384">
      <w:pPr>
        <w:rPr>
          <w:rFonts w:ascii="Arial" w:hAnsi="Arial" w:cs="Arial"/>
          <w:sz w:val="22"/>
        </w:rPr>
      </w:pPr>
    </w:p>
    <w:p w14:paraId="5CF2A4F0" w14:textId="0CEB56AE" w:rsidR="007857E6" w:rsidRDefault="007857E6" w:rsidP="00A26384">
      <w:pPr>
        <w:rPr>
          <w:rFonts w:ascii="Arial" w:hAnsi="Arial" w:cs="Arial"/>
          <w:sz w:val="22"/>
        </w:rPr>
      </w:pPr>
    </w:p>
    <w:p w14:paraId="3B69194B" w14:textId="5332D665" w:rsidR="007857E6" w:rsidRDefault="007857E6" w:rsidP="00A26384">
      <w:pPr>
        <w:rPr>
          <w:rFonts w:ascii="Arial" w:hAnsi="Arial" w:cs="Arial"/>
          <w:sz w:val="22"/>
        </w:rPr>
      </w:pPr>
    </w:p>
    <w:p w14:paraId="6057C28C" w14:textId="77777777" w:rsidR="007857E6" w:rsidRPr="007857E6" w:rsidRDefault="007857E6" w:rsidP="00A26384">
      <w:pPr>
        <w:rPr>
          <w:rFonts w:ascii="Arial" w:hAnsi="Arial" w:cs="Arial"/>
          <w:sz w:val="22"/>
        </w:rPr>
      </w:pPr>
    </w:p>
    <w:tbl>
      <w:tblPr>
        <w:tblStyle w:val="Tablaconcuadrcula1"/>
        <w:tblW w:w="0" w:type="auto"/>
        <w:tblInd w:w="-5" w:type="dxa"/>
        <w:tblLook w:val="04A0" w:firstRow="1" w:lastRow="0" w:firstColumn="1" w:lastColumn="0" w:noHBand="0" w:noVBand="1"/>
      </w:tblPr>
      <w:tblGrid>
        <w:gridCol w:w="2835"/>
        <w:gridCol w:w="1701"/>
        <w:gridCol w:w="2552"/>
        <w:gridCol w:w="1559"/>
      </w:tblGrid>
      <w:tr w:rsidR="00A26384" w:rsidRPr="007857E6" w14:paraId="50A812E2" w14:textId="77777777" w:rsidTr="001D4E40">
        <w:trPr>
          <w:trHeight w:val="430"/>
        </w:trPr>
        <w:tc>
          <w:tcPr>
            <w:tcW w:w="2835" w:type="dxa"/>
            <w:tcBorders>
              <w:left w:val="single" w:sz="4" w:space="0" w:color="auto"/>
            </w:tcBorders>
            <w:shd w:val="clear" w:color="auto" w:fill="993366"/>
            <w:vAlign w:val="center"/>
          </w:tcPr>
          <w:p w14:paraId="6969C1F3" w14:textId="77777777" w:rsidR="00A26384" w:rsidRPr="007857E6" w:rsidRDefault="00A26384" w:rsidP="00460DD6">
            <w:pPr>
              <w:widowControl w:val="0"/>
              <w:spacing w:before="60" w:after="60" w:line="240" w:lineRule="auto"/>
              <w:jc w:val="center"/>
              <w:rPr>
                <w:rFonts w:ascii="Arial" w:hAnsi="Arial" w:cs="Arial"/>
                <w:b/>
                <w:color w:val="FFFFFF" w:themeColor="background1"/>
                <w:kern w:val="2"/>
                <w:sz w:val="18"/>
                <w:szCs w:val="18"/>
                <w14:ligatures w14:val="standardContextual"/>
              </w:rPr>
            </w:pPr>
            <w:bookmarkStart w:id="1" w:name="_Hlk207015286"/>
            <w:r w:rsidRPr="007857E6">
              <w:rPr>
                <w:rFonts w:ascii="Arial" w:hAnsi="Arial" w:cs="Arial"/>
                <w:b/>
                <w:color w:val="FFFFFF" w:themeColor="background1"/>
                <w:kern w:val="2"/>
                <w:sz w:val="18"/>
                <w:szCs w:val="18"/>
                <w14:ligatures w14:val="standardContextual"/>
              </w:rPr>
              <w:lastRenderedPageBreak/>
              <w:t>Nombre</w:t>
            </w:r>
          </w:p>
        </w:tc>
        <w:tc>
          <w:tcPr>
            <w:tcW w:w="1701" w:type="dxa"/>
            <w:shd w:val="clear" w:color="auto" w:fill="993366"/>
            <w:vAlign w:val="center"/>
          </w:tcPr>
          <w:p w14:paraId="19427965" w14:textId="77777777" w:rsidR="00A26384" w:rsidRPr="007857E6" w:rsidRDefault="00A26384" w:rsidP="00460DD6">
            <w:pPr>
              <w:widowControl w:val="0"/>
              <w:spacing w:before="60" w:after="60" w:line="240" w:lineRule="auto"/>
              <w:jc w:val="center"/>
              <w:rPr>
                <w:rFonts w:ascii="Arial" w:hAnsi="Arial" w:cs="Arial"/>
                <w:b/>
                <w:color w:val="FFFFFF" w:themeColor="background1"/>
                <w:kern w:val="2"/>
                <w:sz w:val="18"/>
                <w:szCs w:val="18"/>
                <w14:ligatures w14:val="standardContextual"/>
              </w:rPr>
            </w:pPr>
            <w:r w:rsidRPr="007857E6">
              <w:rPr>
                <w:rFonts w:ascii="Arial" w:hAnsi="Arial" w:cs="Arial"/>
                <w:b/>
                <w:color w:val="FFFFFF" w:themeColor="background1"/>
                <w:kern w:val="2"/>
                <w:sz w:val="18"/>
                <w:szCs w:val="18"/>
                <w14:ligatures w14:val="standardContextual"/>
              </w:rPr>
              <w:t>Tipo de incentivo a otorgar</w:t>
            </w:r>
          </w:p>
        </w:tc>
        <w:tc>
          <w:tcPr>
            <w:tcW w:w="2552" w:type="dxa"/>
            <w:shd w:val="clear" w:color="auto" w:fill="993366"/>
            <w:vAlign w:val="center"/>
          </w:tcPr>
          <w:p w14:paraId="2637E3AC" w14:textId="77777777" w:rsidR="00A26384" w:rsidRPr="007857E6" w:rsidRDefault="00A26384" w:rsidP="00460DD6">
            <w:pPr>
              <w:widowControl w:val="0"/>
              <w:spacing w:before="60" w:after="60" w:line="240" w:lineRule="auto"/>
              <w:jc w:val="center"/>
              <w:rPr>
                <w:rFonts w:ascii="Arial" w:hAnsi="Arial" w:cs="Arial"/>
                <w:b/>
                <w:color w:val="FFFFFF" w:themeColor="background1"/>
                <w:kern w:val="2"/>
                <w:sz w:val="18"/>
                <w:szCs w:val="18"/>
                <w14:ligatures w14:val="standardContextual"/>
              </w:rPr>
            </w:pPr>
            <w:r w:rsidRPr="007857E6">
              <w:rPr>
                <w:rFonts w:ascii="Arial" w:hAnsi="Arial" w:cs="Arial"/>
                <w:b/>
                <w:color w:val="FFFFFF" w:themeColor="background1"/>
                <w:kern w:val="2"/>
                <w:sz w:val="18"/>
                <w:szCs w:val="18"/>
                <w14:ligatures w14:val="standardContextual"/>
              </w:rPr>
              <w:t>Cargo</w:t>
            </w:r>
          </w:p>
        </w:tc>
        <w:tc>
          <w:tcPr>
            <w:tcW w:w="1559" w:type="dxa"/>
            <w:shd w:val="clear" w:color="auto" w:fill="993366"/>
            <w:vAlign w:val="center"/>
          </w:tcPr>
          <w:p w14:paraId="487E0174" w14:textId="77777777" w:rsidR="001D4E40" w:rsidRPr="007857E6" w:rsidRDefault="00A26384" w:rsidP="00460DD6">
            <w:pPr>
              <w:widowControl w:val="0"/>
              <w:spacing w:before="60" w:after="60" w:line="240" w:lineRule="auto"/>
              <w:jc w:val="center"/>
              <w:rPr>
                <w:rFonts w:ascii="Arial" w:hAnsi="Arial" w:cs="Arial"/>
                <w:b/>
                <w:color w:val="FFFFFF" w:themeColor="background1"/>
                <w:kern w:val="2"/>
                <w:sz w:val="18"/>
                <w:szCs w:val="18"/>
                <w14:ligatures w14:val="standardContextual"/>
              </w:rPr>
            </w:pPr>
            <w:r w:rsidRPr="007857E6">
              <w:rPr>
                <w:rFonts w:ascii="Arial" w:hAnsi="Arial" w:cs="Arial"/>
                <w:b/>
                <w:color w:val="FFFFFF" w:themeColor="background1"/>
                <w:kern w:val="2"/>
                <w:sz w:val="18"/>
                <w:szCs w:val="18"/>
                <w14:ligatures w14:val="standardContextual"/>
              </w:rPr>
              <w:t xml:space="preserve">Retribución y/o beneficio </w:t>
            </w:r>
          </w:p>
          <w:p w14:paraId="4925F801" w14:textId="724E7F7E" w:rsidR="00A26384" w:rsidRPr="007857E6" w:rsidRDefault="00A26384" w:rsidP="00460DD6">
            <w:pPr>
              <w:widowControl w:val="0"/>
              <w:spacing w:before="60" w:after="60" w:line="240" w:lineRule="auto"/>
              <w:jc w:val="center"/>
              <w:rPr>
                <w:rFonts w:ascii="Arial" w:hAnsi="Arial" w:cs="Arial"/>
                <w:b/>
                <w:color w:val="FFFFFF" w:themeColor="background1"/>
                <w:kern w:val="2"/>
                <w:sz w:val="18"/>
                <w:szCs w:val="18"/>
                <w14:ligatures w14:val="standardContextual"/>
              </w:rPr>
            </w:pPr>
            <w:r w:rsidRPr="007857E6">
              <w:rPr>
                <w:rFonts w:ascii="Arial" w:hAnsi="Arial" w:cs="Arial"/>
                <w:b/>
                <w:color w:val="FFFFFF" w:themeColor="background1"/>
                <w:kern w:val="2"/>
                <w:sz w:val="18"/>
                <w:szCs w:val="18"/>
                <w14:ligatures w14:val="standardContextual"/>
              </w:rPr>
              <w:t>(monto bruto)</w:t>
            </w:r>
          </w:p>
        </w:tc>
      </w:tr>
      <w:tr w:rsidR="001D4E40" w:rsidRPr="007857E6" w14:paraId="0DBBFECB" w14:textId="77777777" w:rsidTr="001D4E40">
        <w:trPr>
          <w:trHeight w:val="326"/>
        </w:trPr>
        <w:tc>
          <w:tcPr>
            <w:tcW w:w="2835" w:type="dxa"/>
            <w:vAlign w:val="center"/>
          </w:tcPr>
          <w:p w14:paraId="5AE93DBE" w14:textId="019AFA27" w:rsidR="001D4E40" w:rsidRPr="007857E6" w:rsidRDefault="001D4E40" w:rsidP="001D4E40">
            <w:pPr>
              <w:widowControl w:val="0"/>
              <w:spacing w:before="60" w:after="60" w:line="240" w:lineRule="auto"/>
              <w:rPr>
                <w:rFonts w:ascii="Arial" w:hAnsi="Arial" w:cs="Arial"/>
                <w:kern w:val="2"/>
                <w:sz w:val="18"/>
                <w:szCs w:val="18"/>
                <w14:ligatures w14:val="standardContextual"/>
              </w:rPr>
            </w:pPr>
            <w:r w:rsidRPr="007857E6">
              <w:rPr>
                <w:rFonts w:ascii="Arial" w:hAnsi="Arial" w:cs="Arial"/>
                <w:color w:val="000000" w:themeColor="text1"/>
                <w:sz w:val="18"/>
                <w:szCs w:val="18"/>
              </w:rPr>
              <w:t>Ricardo Alfredo Rosique Román</w:t>
            </w:r>
          </w:p>
        </w:tc>
        <w:tc>
          <w:tcPr>
            <w:tcW w:w="1701" w:type="dxa"/>
            <w:vAlign w:val="center"/>
          </w:tcPr>
          <w:p w14:paraId="40F29377" w14:textId="639C41EF" w:rsidR="001D4E40" w:rsidRPr="007857E6" w:rsidRDefault="001D4E40" w:rsidP="001D4E40">
            <w:pPr>
              <w:widowControl w:val="0"/>
              <w:spacing w:before="60" w:after="60" w:line="240" w:lineRule="auto"/>
              <w:jc w:val="center"/>
              <w:rPr>
                <w:rFonts w:ascii="Arial" w:hAnsi="Arial" w:cs="Arial"/>
                <w:kern w:val="2"/>
                <w:sz w:val="18"/>
                <w:szCs w:val="18"/>
                <w14:ligatures w14:val="standardContextual"/>
              </w:rPr>
            </w:pPr>
            <w:r w:rsidRPr="007857E6">
              <w:rPr>
                <w:rFonts w:ascii="Arial" w:hAnsi="Arial" w:cs="Arial"/>
                <w:color w:val="000000" w:themeColor="text1"/>
                <w:sz w:val="18"/>
                <w:szCs w:val="18"/>
              </w:rPr>
              <w:t>Rendimiento</w:t>
            </w:r>
          </w:p>
        </w:tc>
        <w:tc>
          <w:tcPr>
            <w:tcW w:w="2552" w:type="dxa"/>
            <w:vAlign w:val="center"/>
          </w:tcPr>
          <w:p w14:paraId="35101638" w14:textId="47C2EF0C" w:rsidR="001D4E40" w:rsidRPr="007857E6" w:rsidRDefault="001D4E40" w:rsidP="001D4E40">
            <w:pPr>
              <w:widowControl w:val="0"/>
              <w:spacing w:before="60" w:after="60" w:line="240" w:lineRule="auto"/>
              <w:jc w:val="center"/>
              <w:rPr>
                <w:rFonts w:ascii="Arial" w:hAnsi="Arial" w:cs="Arial"/>
                <w:kern w:val="2"/>
                <w:sz w:val="18"/>
                <w:szCs w:val="18"/>
                <w14:ligatures w14:val="standardContextual"/>
              </w:rPr>
            </w:pPr>
            <w:r w:rsidRPr="007857E6">
              <w:rPr>
                <w:rFonts w:ascii="Arial" w:hAnsi="Arial" w:cs="Arial"/>
                <w:color w:val="000000" w:themeColor="text1"/>
                <w:sz w:val="18"/>
                <w:szCs w:val="18"/>
              </w:rPr>
              <w:t>Coordinador de Participación Ciudadana</w:t>
            </w:r>
          </w:p>
        </w:tc>
        <w:tc>
          <w:tcPr>
            <w:tcW w:w="1559" w:type="dxa"/>
            <w:vAlign w:val="center"/>
          </w:tcPr>
          <w:p w14:paraId="453141F4" w14:textId="6F8A3396" w:rsidR="001D4E40" w:rsidRPr="007857E6" w:rsidRDefault="001D4E40" w:rsidP="001D4E40">
            <w:pPr>
              <w:widowControl w:val="0"/>
              <w:spacing w:before="60" w:after="60" w:line="240" w:lineRule="auto"/>
              <w:jc w:val="center"/>
              <w:rPr>
                <w:rFonts w:ascii="Arial" w:hAnsi="Arial" w:cs="Arial"/>
                <w:kern w:val="2"/>
                <w:sz w:val="18"/>
                <w:szCs w:val="18"/>
                <w14:ligatures w14:val="standardContextual"/>
              </w:rPr>
            </w:pPr>
            <w:r w:rsidRPr="007857E6">
              <w:rPr>
                <w:rFonts w:ascii="Arial" w:hAnsi="Arial" w:cs="Arial"/>
                <w:color w:val="000000" w:themeColor="text1"/>
                <w:sz w:val="18"/>
                <w:szCs w:val="18"/>
              </w:rPr>
              <w:t xml:space="preserve">$25,000.00 </w:t>
            </w:r>
          </w:p>
        </w:tc>
      </w:tr>
      <w:tr w:rsidR="001D4E40" w:rsidRPr="007857E6" w14:paraId="56894F5D" w14:textId="77777777" w:rsidTr="001D4E40">
        <w:trPr>
          <w:trHeight w:val="326"/>
        </w:trPr>
        <w:tc>
          <w:tcPr>
            <w:tcW w:w="2835" w:type="dxa"/>
            <w:vMerge w:val="restart"/>
            <w:vAlign w:val="center"/>
          </w:tcPr>
          <w:p w14:paraId="089EED94" w14:textId="121FE87E" w:rsidR="001D4E40" w:rsidRPr="007857E6" w:rsidRDefault="001D4E40" w:rsidP="001D4E40">
            <w:pPr>
              <w:widowControl w:val="0"/>
              <w:spacing w:before="60" w:after="60" w:line="240" w:lineRule="auto"/>
              <w:rPr>
                <w:rFonts w:ascii="Arial" w:hAnsi="Arial" w:cs="Arial"/>
                <w:kern w:val="2"/>
                <w:sz w:val="18"/>
                <w:szCs w:val="18"/>
                <w14:ligatures w14:val="standardContextual"/>
              </w:rPr>
            </w:pPr>
            <w:r w:rsidRPr="007857E6">
              <w:rPr>
                <w:rFonts w:ascii="Arial" w:hAnsi="Arial" w:cs="Arial"/>
                <w:color w:val="000000" w:themeColor="text1"/>
                <w:sz w:val="18"/>
                <w:szCs w:val="18"/>
              </w:rPr>
              <w:t xml:space="preserve">Jorge Alberto </w:t>
            </w:r>
            <w:proofErr w:type="spellStart"/>
            <w:r w:rsidRPr="007857E6">
              <w:rPr>
                <w:rFonts w:ascii="Arial" w:hAnsi="Arial" w:cs="Arial"/>
                <w:color w:val="000000" w:themeColor="text1"/>
                <w:sz w:val="18"/>
                <w:szCs w:val="18"/>
              </w:rPr>
              <w:t>Saraoz</w:t>
            </w:r>
            <w:proofErr w:type="spellEnd"/>
            <w:r w:rsidRPr="007857E6">
              <w:rPr>
                <w:rFonts w:ascii="Arial" w:hAnsi="Arial" w:cs="Arial"/>
                <w:color w:val="000000" w:themeColor="text1"/>
                <w:sz w:val="18"/>
                <w:szCs w:val="18"/>
              </w:rPr>
              <w:t xml:space="preserve"> </w:t>
            </w:r>
            <w:proofErr w:type="spellStart"/>
            <w:r w:rsidRPr="007857E6">
              <w:rPr>
                <w:rFonts w:ascii="Arial" w:hAnsi="Arial" w:cs="Arial"/>
                <w:color w:val="000000" w:themeColor="text1"/>
                <w:sz w:val="18"/>
                <w:szCs w:val="18"/>
              </w:rPr>
              <w:t>Dozal</w:t>
            </w:r>
            <w:proofErr w:type="spellEnd"/>
          </w:p>
        </w:tc>
        <w:tc>
          <w:tcPr>
            <w:tcW w:w="1701" w:type="dxa"/>
            <w:vAlign w:val="center"/>
          </w:tcPr>
          <w:p w14:paraId="540D0808" w14:textId="6D26E650" w:rsidR="001D4E40" w:rsidRPr="007857E6" w:rsidRDefault="001D4E40" w:rsidP="001D4E40">
            <w:pPr>
              <w:widowControl w:val="0"/>
              <w:spacing w:before="60" w:after="60" w:line="240" w:lineRule="auto"/>
              <w:jc w:val="center"/>
              <w:rPr>
                <w:rFonts w:ascii="Arial" w:hAnsi="Arial" w:cs="Arial"/>
                <w:kern w:val="2"/>
                <w:sz w:val="18"/>
                <w:szCs w:val="18"/>
                <w14:ligatures w14:val="standardContextual"/>
              </w:rPr>
            </w:pPr>
            <w:r w:rsidRPr="007857E6">
              <w:rPr>
                <w:rFonts w:ascii="Arial" w:hAnsi="Arial" w:cs="Arial"/>
                <w:color w:val="000000" w:themeColor="text1"/>
                <w:sz w:val="18"/>
                <w:szCs w:val="18"/>
              </w:rPr>
              <w:t>Rendimiento</w:t>
            </w:r>
          </w:p>
        </w:tc>
        <w:tc>
          <w:tcPr>
            <w:tcW w:w="2552" w:type="dxa"/>
            <w:vMerge w:val="restart"/>
            <w:vAlign w:val="center"/>
          </w:tcPr>
          <w:p w14:paraId="12F9ED65" w14:textId="085E8247" w:rsidR="001D4E40" w:rsidRPr="007857E6" w:rsidRDefault="001D4E40" w:rsidP="001D4E40">
            <w:pPr>
              <w:widowControl w:val="0"/>
              <w:spacing w:before="60" w:after="60" w:line="240" w:lineRule="auto"/>
              <w:jc w:val="center"/>
              <w:rPr>
                <w:rFonts w:ascii="Arial" w:hAnsi="Arial" w:cs="Arial"/>
                <w:kern w:val="2"/>
                <w:sz w:val="18"/>
                <w:szCs w:val="18"/>
                <w14:ligatures w14:val="standardContextual"/>
              </w:rPr>
            </w:pPr>
            <w:r w:rsidRPr="007857E6">
              <w:rPr>
                <w:rFonts w:ascii="Arial" w:hAnsi="Arial" w:cs="Arial"/>
                <w:color w:val="000000" w:themeColor="text1"/>
                <w:sz w:val="18"/>
                <w:szCs w:val="18"/>
              </w:rPr>
              <w:t>Asistencia Técnica de Participación Ciudadana</w:t>
            </w:r>
          </w:p>
        </w:tc>
        <w:tc>
          <w:tcPr>
            <w:tcW w:w="1559" w:type="dxa"/>
            <w:vAlign w:val="center"/>
          </w:tcPr>
          <w:p w14:paraId="191505B9" w14:textId="23EA03CB" w:rsidR="001D4E40" w:rsidRPr="007857E6" w:rsidRDefault="001D4E40" w:rsidP="001D4E40">
            <w:pPr>
              <w:widowControl w:val="0"/>
              <w:spacing w:before="60" w:after="60" w:line="240" w:lineRule="auto"/>
              <w:jc w:val="center"/>
              <w:rPr>
                <w:rFonts w:ascii="Arial" w:hAnsi="Arial" w:cs="Arial"/>
                <w:kern w:val="2"/>
                <w:sz w:val="18"/>
                <w:szCs w:val="18"/>
                <w14:ligatures w14:val="standardContextual"/>
              </w:rPr>
            </w:pPr>
            <w:r w:rsidRPr="007857E6">
              <w:rPr>
                <w:rFonts w:ascii="Arial" w:hAnsi="Arial" w:cs="Arial"/>
                <w:color w:val="000000" w:themeColor="text1"/>
                <w:sz w:val="18"/>
                <w:szCs w:val="18"/>
              </w:rPr>
              <w:t xml:space="preserve">$20,000.00 </w:t>
            </w:r>
          </w:p>
        </w:tc>
      </w:tr>
      <w:tr w:rsidR="001D4E40" w:rsidRPr="007857E6" w14:paraId="4AB3EC68" w14:textId="77777777" w:rsidTr="001D4E40">
        <w:trPr>
          <w:trHeight w:val="326"/>
        </w:trPr>
        <w:tc>
          <w:tcPr>
            <w:tcW w:w="2835" w:type="dxa"/>
            <w:vMerge/>
            <w:vAlign w:val="center"/>
          </w:tcPr>
          <w:p w14:paraId="6F278064" w14:textId="77777777" w:rsidR="001D4E40" w:rsidRPr="007857E6" w:rsidRDefault="001D4E40" w:rsidP="001D4E40">
            <w:pPr>
              <w:widowControl w:val="0"/>
              <w:spacing w:before="60" w:after="60" w:line="240" w:lineRule="auto"/>
              <w:rPr>
                <w:rFonts w:ascii="Arial" w:hAnsi="Arial" w:cs="Arial"/>
                <w:color w:val="000000" w:themeColor="text1"/>
                <w:sz w:val="18"/>
                <w:szCs w:val="18"/>
              </w:rPr>
            </w:pPr>
          </w:p>
        </w:tc>
        <w:tc>
          <w:tcPr>
            <w:tcW w:w="1701" w:type="dxa"/>
            <w:vAlign w:val="center"/>
          </w:tcPr>
          <w:p w14:paraId="59756DD8" w14:textId="4745FEC6" w:rsidR="001D4E40" w:rsidRPr="007857E6" w:rsidRDefault="001D4E40" w:rsidP="001D4E40">
            <w:pPr>
              <w:widowControl w:val="0"/>
              <w:spacing w:before="60" w:after="60" w:line="240" w:lineRule="auto"/>
              <w:jc w:val="center"/>
              <w:rPr>
                <w:rFonts w:ascii="Arial" w:hAnsi="Arial" w:cs="Arial"/>
                <w:color w:val="000000" w:themeColor="text1"/>
                <w:sz w:val="18"/>
                <w:szCs w:val="18"/>
              </w:rPr>
            </w:pPr>
            <w:r w:rsidRPr="007857E6">
              <w:rPr>
                <w:rFonts w:ascii="Arial" w:hAnsi="Arial" w:cs="Arial"/>
                <w:color w:val="000000" w:themeColor="text1"/>
                <w:sz w:val="18"/>
                <w:szCs w:val="18"/>
              </w:rPr>
              <w:t>Obtención de Grado Académico</w:t>
            </w:r>
          </w:p>
        </w:tc>
        <w:tc>
          <w:tcPr>
            <w:tcW w:w="2552" w:type="dxa"/>
            <w:vMerge/>
            <w:vAlign w:val="center"/>
          </w:tcPr>
          <w:p w14:paraId="0903D881" w14:textId="77777777" w:rsidR="001D4E40" w:rsidRPr="007857E6" w:rsidRDefault="001D4E40" w:rsidP="001D4E40">
            <w:pPr>
              <w:widowControl w:val="0"/>
              <w:spacing w:before="60" w:after="60" w:line="240" w:lineRule="auto"/>
              <w:jc w:val="center"/>
              <w:rPr>
                <w:rFonts w:ascii="Arial" w:hAnsi="Arial" w:cs="Arial"/>
                <w:color w:val="000000" w:themeColor="text1"/>
                <w:sz w:val="18"/>
                <w:szCs w:val="18"/>
              </w:rPr>
            </w:pPr>
          </w:p>
        </w:tc>
        <w:tc>
          <w:tcPr>
            <w:tcW w:w="1559" w:type="dxa"/>
            <w:vAlign w:val="center"/>
          </w:tcPr>
          <w:p w14:paraId="739588F4" w14:textId="2B65AE1F" w:rsidR="001D4E40" w:rsidRPr="007857E6" w:rsidRDefault="001D4E40" w:rsidP="001D4E40">
            <w:pPr>
              <w:widowControl w:val="0"/>
              <w:spacing w:before="60" w:after="60" w:line="240" w:lineRule="auto"/>
              <w:jc w:val="center"/>
              <w:rPr>
                <w:rFonts w:ascii="Arial" w:hAnsi="Arial" w:cs="Arial"/>
                <w:color w:val="000000" w:themeColor="text1"/>
                <w:sz w:val="18"/>
                <w:szCs w:val="18"/>
              </w:rPr>
            </w:pPr>
            <w:r w:rsidRPr="007857E6">
              <w:rPr>
                <w:rFonts w:ascii="Arial" w:hAnsi="Arial" w:cs="Arial"/>
                <w:color w:val="000000" w:themeColor="text1"/>
                <w:sz w:val="18"/>
                <w:szCs w:val="18"/>
              </w:rPr>
              <w:t>5 días de descanso</w:t>
            </w:r>
          </w:p>
        </w:tc>
      </w:tr>
      <w:tr w:rsidR="001D4E40" w:rsidRPr="007857E6" w14:paraId="2E58CBF9" w14:textId="77777777" w:rsidTr="001D4E40">
        <w:trPr>
          <w:trHeight w:val="351"/>
        </w:trPr>
        <w:tc>
          <w:tcPr>
            <w:tcW w:w="2835" w:type="dxa"/>
            <w:vAlign w:val="center"/>
          </w:tcPr>
          <w:p w14:paraId="002A5A5D" w14:textId="77777777" w:rsidR="001D4E40" w:rsidRPr="007857E6" w:rsidRDefault="001D4E40" w:rsidP="001D4E40">
            <w:pPr>
              <w:widowControl w:val="0"/>
              <w:spacing w:before="60" w:after="60" w:line="240" w:lineRule="auto"/>
              <w:rPr>
                <w:rFonts w:ascii="Arial" w:hAnsi="Arial" w:cs="Arial"/>
                <w:kern w:val="2"/>
                <w:sz w:val="18"/>
                <w:szCs w:val="18"/>
                <w14:ligatures w14:val="standardContextual"/>
              </w:rPr>
            </w:pPr>
            <w:proofErr w:type="spellStart"/>
            <w:r w:rsidRPr="007857E6">
              <w:rPr>
                <w:rFonts w:ascii="Arial" w:hAnsi="Arial" w:cs="Arial"/>
                <w:kern w:val="2"/>
                <w:sz w:val="18"/>
                <w:szCs w:val="18"/>
                <w14:ligatures w14:val="standardContextual"/>
              </w:rPr>
              <w:t>Hiber</w:t>
            </w:r>
            <w:proofErr w:type="spellEnd"/>
            <w:r w:rsidRPr="007857E6">
              <w:rPr>
                <w:rFonts w:ascii="Arial" w:hAnsi="Arial" w:cs="Arial"/>
                <w:kern w:val="2"/>
                <w:sz w:val="18"/>
                <w:szCs w:val="18"/>
                <w14:ligatures w14:val="standardContextual"/>
              </w:rPr>
              <w:t xml:space="preserve"> Antonio Pérez Pablo</w:t>
            </w:r>
          </w:p>
        </w:tc>
        <w:tc>
          <w:tcPr>
            <w:tcW w:w="1701" w:type="dxa"/>
            <w:vAlign w:val="center"/>
          </w:tcPr>
          <w:p w14:paraId="73D94021" w14:textId="3820FF8B" w:rsidR="001D4E40" w:rsidRPr="007857E6" w:rsidRDefault="001D4E40" w:rsidP="001D4E40">
            <w:pPr>
              <w:widowControl w:val="0"/>
              <w:spacing w:before="60" w:after="60" w:line="240" w:lineRule="auto"/>
              <w:jc w:val="center"/>
              <w:rPr>
                <w:rFonts w:ascii="Arial" w:hAnsi="Arial" w:cs="Arial"/>
                <w:kern w:val="2"/>
                <w:sz w:val="18"/>
                <w:szCs w:val="18"/>
                <w14:ligatures w14:val="standardContextual"/>
              </w:rPr>
            </w:pPr>
            <w:r w:rsidRPr="007857E6">
              <w:rPr>
                <w:rFonts w:ascii="Arial" w:hAnsi="Arial" w:cs="Arial"/>
                <w:color w:val="000000" w:themeColor="text1"/>
                <w:sz w:val="18"/>
                <w:szCs w:val="18"/>
              </w:rPr>
              <w:t>Rendimiento</w:t>
            </w:r>
          </w:p>
        </w:tc>
        <w:tc>
          <w:tcPr>
            <w:tcW w:w="2552" w:type="dxa"/>
            <w:vAlign w:val="center"/>
          </w:tcPr>
          <w:p w14:paraId="707E217B" w14:textId="6CC2589A" w:rsidR="001D4E40" w:rsidRPr="007857E6" w:rsidRDefault="001D4E40" w:rsidP="001D4E40">
            <w:pPr>
              <w:widowControl w:val="0"/>
              <w:spacing w:before="60" w:after="60" w:line="240" w:lineRule="auto"/>
              <w:jc w:val="center"/>
              <w:rPr>
                <w:rFonts w:ascii="Arial" w:hAnsi="Arial" w:cs="Arial"/>
                <w:kern w:val="2"/>
                <w:sz w:val="18"/>
                <w:szCs w:val="18"/>
                <w14:ligatures w14:val="standardContextual"/>
              </w:rPr>
            </w:pPr>
            <w:r w:rsidRPr="007857E6">
              <w:rPr>
                <w:rFonts w:ascii="Arial" w:hAnsi="Arial" w:cs="Arial"/>
                <w:color w:val="000000" w:themeColor="text1"/>
                <w:sz w:val="18"/>
                <w:szCs w:val="18"/>
              </w:rPr>
              <w:t>Coordinador de lo Contencioso Electoral</w:t>
            </w:r>
          </w:p>
        </w:tc>
        <w:tc>
          <w:tcPr>
            <w:tcW w:w="1559" w:type="dxa"/>
            <w:vAlign w:val="center"/>
          </w:tcPr>
          <w:p w14:paraId="31D75EB3" w14:textId="7655DDD6" w:rsidR="001D4E40" w:rsidRPr="007857E6" w:rsidRDefault="001D4E40" w:rsidP="0051025C">
            <w:pPr>
              <w:pStyle w:val="Sinespaciado"/>
              <w:jc w:val="center"/>
              <w:rPr>
                <w:rFonts w:cs="Arial"/>
                <w:color w:val="000000" w:themeColor="text1"/>
                <w:sz w:val="18"/>
                <w:szCs w:val="18"/>
              </w:rPr>
            </w:pPr>
            <w:r w:rsidRPr="007857E6">
              <w:rPr>
                <w:rFonts w:cs="Arial"/>
                <w:color w:val="000000" w:themeColor="text1"/>
                <w:sz w:val="18"/>
                <w:szCs w:val="18"/>
              </w:rPr>
              <w:t>$25,000.00</w:t>
            </w:r>
          </w:p>
        </w:tc>
      </w:tr>
    </w:tbl>
    <w:bookmarkEnd w:id="1"/>
    <w:p w14:paraId="1F95EC38" w14:textId="41FEFBEF" w:rsidR="00A26384" w:rsidRPr="007857E6" w:rsidRDefault="00A26384" w:rsidP="00A26384">
      <w:pPr>
        <w:rPr>
          <w:rFonts w:ascii="Arial" w:hAnsi="Arial" w:cs="Arial"/>
          <w:sz w:val="22"/>
        </w:rPr>
      </w:pPr>
      <w:r w:rsidRPr="007857E6">
        <w:rPr>
          <w:rFonts w:ascii="Arial" w:hAnsi="Arial" w:cs="Arial"/>
          <w:sz w:val="22"/>
        </w:rPr>
        <w:t xml:space="preserve">Con lo anterior, los dictámenes para el otorgamiento de Incentivos </w:t>
      </w:r>
      <w:r w:rsidR="001D4E40" w:rsidRPr="007857E6">
        <w:rPr>
          <w:rFonts w:ascii="Arial" w:hAnsi="Arial" w:cs="Arial"/>
          <w:color w:val="000000" w:themeColor="text1"/>
          <w:sz w:val="22"/>
        </w:rPr>
        <w:t xml:space="preserve">2025, correspondiente al ejercicio valorado 2024, quedaron en posibilidad de presentarse al Consejo Estatal, para su </w:t>
      </w:r>
      <w:r w:rsidR="0051025C" w:rsidRPr="007857E6">
        <w:rPr>
          <w:rFonts w:ascii="Arial" w:hAnsi="Arial" w:cs="Arial"/>
          <w:color w:val="000000" w:themeColor="text1"/>
          <w:sz w:val="22"/>
        </w:rPr>
        <w:t xml:space="preserve">análisis y en su caso, la </w:t>
      </w:r>
      <w:r w:rsidR="001D4E40" w:rsidRPr="007857E6">
        <w:rPr>
          <w:rFonts w:ascii="Arial" w:hAnsi="Arial" w:cs="Arial"/>
          <w:color w:val="000000" w:themeColor="text1"/>
          <w:sz w:val="22"/>
        </w:rPr>
        <w:t xml:space="preserve">aprobación, </w:t>
      </w:r>
      <w:r w:rsidR="0051025C" w:rsidRPr="007857E6">
        <w:rPr>
          <w:rFonts w:ascii="Arial" w:hAnsi="Arial" w:cs="Arial"/>
          <w:color w:val="000000" w:themeColor="text1"/>
          <w:sz w:val="22"/>
        </w:rPr>
        <w:t>que previamente fueron</w:t>
      </w:r>
      <w:r w:rsidR="001D4E40" w:rsidRPr="007857E6">
        <w:rPr>
          <w:rFonts w:ascii="Arial" w:hAnsi="Arial" w:cs="Arial"/>
          <w:color w:val="000000" w:themeColor="text1"/>
          <w:sz w:val="22"/>
        </w:rPr>
        <w:t xml:space="preserve"> autoriza</w:t>
      </w:r>
      <w:r w:rsidR="0051025C" w:rsidRPr="007857E6">
        <w:rPr>
          <w:rFonts w:ascii="Arial" w:hAnsi="Arial" w:cs="Arial"/>
          <w:color w:val="000000" w:themeColor="text1"/>
          <w:sz w:val="22"/>
        </w:rPr>
        <w:t>dos por</w:t>
      </w:r>
      <w:r w:rsidR="001D4E40" w:rsidRPr="007857E6">
        <w:rPr>
          <w:rFonts w:ascii="Arial" w:hAnsi="Arial" w:cs="Arial"/>
          <w:color w:val="000000" w:themeColor="text1"/>
          <w:sz w:val="22"/>
        </w:rPr>
        <w:t xml:space="preserve"> la Comisión de Seguimiento</w:t>
      </w:r>
      <w:r w:rsidRPr="007857E6">
        <w:rPr>
          <w:rFonts w:ascii="Arial" w:hAnsi="Arial" w:cs="Arial"/>
          <w:sz w:val="22"/>
        </w:rPr>
        <w:t>.</w:t>
      </w:r>
    </w:p>
    <w:p w14:paraId="5593F53D" w14:textId="639D07AA" w:rsidR="00A26384" w:rsidRPr="007857E6" w:rsidRDefault="00A26384" w:rsidP="00A26384">
      <w:pPr>
        <w:rPr>
          <w:rFonts w:ascii="Arial" w:hAnsi="Arial" w:cs="Arial"/>
          <w:sz w:val="22"/>
        </w:rPr>
      </w:pPr>
      <w:r w:rsidRPr="007857E6">
        <w:rPr>
          <w:rFonts w:ascii="Arial" w:hAnsi="Arial" w:cs="Arial"/>
          <w:sz w:val="22"/>
        </w:rPr>
        <w:t>Sobre la base de las consideraciones señaladas, este Consejo Estatal emite el siguiente:</w:t>
      </w:r>
    </w:p>
    <w:p w14:paraId="1A3BF108" w14:textId="77777777" w:rsidR="007857E6" w:rsidRPr="007857E6" w:rsidRDefault="007857E6" w:rsidP="00A26384">
      <w:pPr>
        <w:rPr>
          <w:rFonts w:ascii="Arial" w:hAnsi="Arial" w:cs="Arial"/>
          <w:sz w:val="22"/>
        </w:rPr>
      </w:pPr>
    </w:p>
    <w:p w14:paraId="6CA261FD" w14:textId="77777777" w:rsidR="00A26384" w:rsidRPr="007857E6" w:rsidRDefault="00A26384" w:rsidP="00A26384">
      <w:pPr>
        <w:pStyle w:val="Ttulo1"/>
        <w:spacing w:before="0" w:after="0"/>
        <w:rPr>
          <w:rFonts w:ascii="Arial" w:hAnsi="Arial" w:cs="Arial"/>
          <w:sz w:val="24"/>
          <w:szCs w:val="24"/>
        </w:rPr>
      </w:pPr>
      <w:r w:rsidRPr="007857E6">
        <w:rPr>
          <w:rFonts w:ascii="Arial" w:hAnsi="Arial" w:cs="Arial"/>
          <w:sz w:val="24"/>
          <w:szCs w:val="24"/>
        </w:rPr>
        <w:t>Acuerdo</w:t>
      </w:r>
    </w:p>
    <w:p w14:paraId="0C300DCF" w14:textId="77777777" w:rsidR="0051025C" w:rsidRPr="007857E6" w:rsidRDefault="0051025C" w:rsidP="00A26384">
      <w:pPr>
        <w:spacing w:before="0" w:after="0"/>
        <w:rPr>
          <w:rFonts w:ascii="Arial" w:hAnsi="Arial" w:cs="Arial"/>
          <w:b/>
          <w:sz w:val="23"/>
          <w:szCs w:val="23"/>
        </w:rPr>
      </w:pPr>
    </w:p>
    <w:p w14:paraId="17B4F1DE" w14:textId="135CDE7A" w:rsidR="00A26384" w:rsidRPr="007857E6" w:rsidRDefault="00A26384" w:rsidP="00A26384">
      <w:pPr>
        <w:spacing w:before="0" w:after="0"/>
        <w:rPr>
          <w:rFonts w:ascii="Arial" w:hAnsi="Arial" w:cs="Arial"/>
          <w:sz w:val="22"/>
        </w:rPr>
      </w:pPr>
      <w:r w:rsidRPr="007857E6">
        <w:rPr>
          <w:rFonts w:ascii="Arial" w:hAnsi="Arial" w:cs="Arial"/>
          <w:b/>
          <w:sz w:val="22"/>
        </w:rPr>
        <w:t>Primero.</w:t>
      </w:r>
      <w:r w:rsidRPr="007857E6">
        <w:rPr>
          <w:rFonts w:ascii="Arial" w:hAnsi="Arial" w:cs="Arial"/>
          <w:sz w:val="22"/>
        </w:rPr>
        <w:t xml:space="preserve"> Se aprueban los dictámenes para el otorgamiento del incentivo por</w:t>
      </w:r>
      <w:r w:rsidR="00CF67A8" w:rsidRPr="007857E6">
        <w:rPr>
          <w:rFonts w:ascii="Arial" w:hAnsi="Arial" w:cs="Arial"/>
          <w:sz w:val="22"/>
        </w:rPr>
        <w:t xml:space="preserve"> rendimiento y obtención de grado académico 2025, correspondiente al ejercicio valorado 2024 </w:t>
      </w:r>
      <w:r w:rsidRPr="007857E6">
        <w:rPr>
          <w:rFonts w:ascii="Arial" w:hAnsi="Arial" w:cs="Arial"/>
          <w:sz w:val="22"/>
        </w:rPr>
        <w:t>a</w:t>
      </w:r>
      <w:r w:rsidR="00CF67A8" w:rsidRPr="007857E6">
        <w:rPr>
          <w:rFonts w:ascii="Arial" w:hAnsi="Arial" w:cs="Arial"/>
          <w:sz w:val="22"/>
        </w:rPr>
        <w:t>l</w:t>
      </w:r>
      <w:r w:rsidRPr="007857E6">
        <w:rPr>
          <w:rFonts w:ascii="Arial" w:hAnsi="Arial" w:cs="Arial"/>
          <w:sz w:val="22"/>
        </w:rPr>
        <w:t xml:space="preserve"> </w:t>
      </w:r>
      <w:r w:rsidR="00CF67A8" w:rsidRPr="007857E6">
        <w:rPr>
          <w:rFonts w:ascii="Arial" w:hAnsi="Arial" w:cs="Arial"/>
          <w:sz w:val="22"/>
        </w:rPr>
        <w:t>Personal</w:t>
      </w:r>
      <w:r w:rsidRPr="007857E6">
        <w:rPr>
          <w:rFonts w:ascii="Arial" w:hAnsi="Arial" w:cs="Arial"/>
          <w:sz w:val="22"/>
        </w:rPr>
        <w:t xml:space="preserve"> del Servicio Profesional Electoral Nacional, mismos que se anexan al presente acuerdo y que corresponden a las siguientes personas:</w:t>
      </w:r>
    </w:p>
    <w:p w14:paraId="6C0FA80F" w14:textId="77777777" w:rsidR="00824FC3" w:rsidRPr="007857E6" w:rsidRDefault="00824FC3" w:rsidP="00A26384">
      <w:pPr>
        <w:spacing w:before="0" w:after="0"/>
        <w:rPr>
          <w:rFonts w:ascii="Arial" w:hAnsi="Arial" w:cs="Arial"/>
          <w:sz w:val="23"/>
          <w:szCs w:val="23"/>
        </w:rPr>
      </w:pPr>
    </w:p>
    <w:tbl>
      <w:tblPr>
        <w:tblStyle w:val="Tablaconcuadrcula1"/>
        <w:tblW w:w="0" w:type="auto"/>
        <w:tblInd w:w="-5" w:type="dxa"/>
        <w:tblLook w:val="04A0" w:firstRow="1" w:lastRow="0" w:firstColumn="1" w:lastColumn="0" w:noHBand="0" w:noVBand="1"/>
      </w:tblPr>
      <w:tblGrid>
        <w:gridCol w:w="2835"/>
        <w:gridCol w:w="1701"/>
        <w:gridCol w:w="2552"/>
        <w:gridCol w:w="1559"/>
      </w:tblGrid>
      <w:tr w:rsidR="001D4E40" w:rsidRPr="007857E6" w14:paraId="61AB2FB7" w14:textId="77777777" w:rsidTr="00010EF8">
        <w:trPr>
          <w:trHeight w:val="430"/>
        </w:trPr>
        <w:tc>
          <w:tcPr>
            <w:tcW w:w="2835" w:type="dxa"/>
            <w:tcBorders>
              <w:left w:val="single" w:sz="4" w:space="0" w:color="auto"/>
            </w:tcBorders>
            <w:shd w:val="clear" w:color="auto" w:fill="993366"/>
            <w:vAlign w:val="center"/>
          </w:tcPr>
          <w:p w14:paraId="03C0137F" w14:textId="77777777" w:rsidR="001D4E40" w:rsidRPr="007857E6" w:rsidRDefault="001D4E40" w:rsidP="00010EF8">
            <w:pPr>
              <w:widowControl w:val="0"/>
              <w:spacing w:before="60" w:after="60" w:line="240" w:lineRule="auto"/>
              <w:jc w:val="center"/>
              <w:rPr>
                <w:rFonts w:ascii="Arial" w:hAnsi="Arial" w:cs="Arial"/>
                <w:b/>
                <w:color w:val="FFFFFF" w:themeColor="background1"/>
                <w:kern w:val="2"/>
                <w:sz w:val="16"/>
                <w:szCs w:val="20"/>
                <w14:ligatures w14:val="standardContextual"/>
              </w:rPr>
            </w:pPr>
            <w:r w:rsidRPr="007857E6">
              <w:rPr>
                <w:rFonts w:ascii="Arial" w:hAnsi="Arial" w:cs="Arial"/>
                <w:b/>
                <w:color w:val="FFFFFF" w:themeColor="background1"/>
                <w:kern w:val="2"/>
                <w:sz w:val="16"/>
                <w:szCs w:val="20"/>
                <w14:ligatures w14:val="standardContextual"/>
              </w:rPr>
              <w:t>Nombre</w:t>
            </w:r>
          </w:p>
        </w:tc>
        <w:tc>
          <w:tcPr>
            <w:tcW w:w="1701" w:type="dxa"/>
            <w:shd w:val="clear" w:color="auto" w:fill="993366"/>
            <w:vAlign w:val="center"/>
          </w:tcPr>
          <w:p w14:paraId="7AB89738" w14:textId="77777777" w:rsidR="001D4E40" w:rsidRPr="007857E6" w:rsidRDefault="001D4E40" w:rsidP="00010EF8">
            <w:pPr>
              <w:widowControl w:val="0"/>
              <w:spacing w:before="60" w:after="60" w:line="240" w:lineRule="auto"/>
              <w:jc w:val="center"/>
              <w:rPr>
                <w:rFonts w:ascii="Arial" w:hAnsi="Arial" w:cs="Arial"/>
                <w:b/>
                <w:color w:val="FFFFFF" w:themeColor="background1"/>
                <w:kern w:val="2"/>
                <w:sz w:val="16"/>
                <w:szCs w:val="20"/>
                <w14:ligatures w14:val="standardContextual"/>
              </w:rPr>
            </w:pPr>
            <w:r w:rsidRPr="007857E6">
              <w:rPr>
                <w:rFonts w:ascii="Arial" w:hAnsi="Arial" w:cs="Arial"/>
                <w:b/>
                <w:color w:val="FFFFFF" w:themeColor="background1"/>
                <w:kern w:val="2"/>
                <w:sz w:val="16"/>
                <w:szCs w:val="20"/>
                <w14:ligatures w14:val="standardContextual"/>
              </w:rPr>
              <w:t>Tipo de incentivo a otorgar</w:t>
            </w:r>
          </w:p>
        </w:tc>
        <w:tc>
          <w:tcPr>
            <w:tcW w:w="2552" w:type="dxa"/>
            <w:shd w:val="clear" w:color="auto" w:fill="993366"/>
            <w:vAlign w:val="center"/>
          </w:tcPr>
          <w:p w14:paraId="168E465E" w14:textId="77777777" w:rsidR="001D4E40" w:rsidRPr="007857E6" w:rsidRDefault="001D4E40" w:rsidP="00010EF8">
            <w:pPr>
              <w:widowControl w:val="0"/>
              <w:spacing w:before="60" w:after="60" w:line="240" w:lineRule="auto"/>
              <w:jc w:val="center"/>
              <w:rPr>
                <w:rFonts w:ascii="Arial" w:hAnsi="Arial" w:cs="Arial"/>
                <w:b/>
                <w:color w:val="FFFFFF" w:themeColor="background1"/>
                <w:kern w:val="2"/>
                <w:sz w:val="16"/>
                <w:szCs w:val="20"/>
                <w14:ligatures w14:val="standardContextual"/>
              </w:rPr>
            </w:pPr>
            <w:r w:rsidRPr="007857E6">
              <w:rPr>
                <w:rFonts w:ascii="Arial" w:hAnsi="Arial" w:cs="Arial"/>
                <w:b/>
                <w:color w:val="FFFFFF" w:themeColor="background1"/>
                <w:kern w:val="2"/>
                <w:sz w:val="16"/>
                <w:szCs w:val="20"/>
                <w14:ligatures w14:val="standardContextual"/>
              </w:rPr>
              <w:t>Cargo</w:t>
            </w:r>
          </w:p>
        </w:tc>
        <w:tc>
          <w:tcPr>
            <w:tcW w:w="1559" w:type="dxa"/>
            <w:shd w:val="clear" w:color="auto" w:fill="993366"/>
            <w:vAlign w:val="center"/>
          </w:tcPr>
          <w:p w14:paraId="6B2E43E9" w14:textId="77777777" w:rsidR="001D4E40" w:rsidRPr="007857E6" w:rsidRDefault="001D4E40" w:rsidP="00010EF8">
            <w:pPr>
              <w:widowControl w:val="0"/>
              <w:spacing w:before="60" w:after="60" w:line="240" w:lineRule="auto"/>
              <w:jc w:val="center"/>
              <w:rPr>
                <w:rFonts w:ascii="Arial" w:hAnsi="Arial" w:cs="Arial"/>
                <w:b/>
                <w:color w:val="FFFFFF" w:themeColor="background1"/>
                <w:kern w:val="2"/>
                <w:sz w:val="16"/>
                <w:szCs w:val="20"/>
                <w14:ligatures w14:val="standardContextual"/>
              </w:rPr>
            </w:pPr>
            <w:r w:rsidRPr="007857E6">
              <w:rPr>
                <w:rFonts w:ascii="Arial" w:hAnsi="Arial" w:cs="Arial"/>
                <w:b/>
                <w:color w:val="FFFFFF" w:themeColor="background1"/>
                <w:kern w:val="2"/>
                <w:sz w:val="16"/>
                <w:szCs w:val="20"/>
                <w14:ligatures w14:val="standardContextual"/>
              </w:rPr>
              <w:t xml:space="preserve">Retribución y/o beneficio </w:t>
            </w:r>
          </w:p>
          <w:p w14:paraId="68F03196" w14:textId="77777777" w:rsidR="001D4E40" w:rsidRPr="007857E6" w:rsidRDefault="001D4E40" w:rsidP="00010EF8">
            <w:pPr>
              <w:widowControl w:val="0"/>
              <w:spacing w:before="60" w:after="60" w:line="240" w:lineRule="auto"/>
              <w:jc w:val="center"/>
              <w:rPr>
                <w:rFonts w:ascii="Arial" w:hAnsi="Arial" w:cs="Arial"/>
                <w:b/>
                <w:color w:val="FFFFFF" w:themeColor="background1"/>
                <w:kern w:val="2"/>
                <w:sz w:val="16"/>
                <w:szCs w:val="20"/>
                <w14:ligatures w14:val="standardContextual"/>
              </w:rPr>
            </w:pPr>
            <w:r w:rsidRPr="007857E6">
              <w:rPr>
                <w:rFonts w:ascii="Arial" w:hAnsi="Arial" w:cs="Arial"/>
                <w:b/>
                <w:color w:val="FFFFFF" w:themeColor="background1"/>
                <w:kern w:val="2"/>
                <w:sz w:val="16"/>
                <w:szCs w:val="20"/>
                <w14:ligatures w14:val="standardContextual"/>
              </w:rPr>
              <w:t>(monto bruto)</w:t>
            </w:r>
          </w:p>
        </w:tc>
      </w:tr>
      <w:tr w:rsidR="001D4E40" w:rsidRPr="007857E6" w14:paraId="6D02D49F" w14:textId="77777777" w:rsidTr="00010EF8">
        <w:trPr>
          <w:trHeight w:val="326"/>
        </w:trPr>
        <w:tc>
          <w:tcPr>
            <w:tcW w:w="2835" w:type="dxa"/>
            <w:vAlign w:val="center"/>
          </w:tcPr>
          <w:p w14:paraId="7F5272B7" w14:textId="77777777" w:rsidR="001D4E40" w:rsidRPr="007857E6" w:rsidRDefault="001D4E40" w:rsidP="00010EF8">
            <w:pPr>
              <w:widowControl w:val="0"/>
              <w:spacing w:before="60" w:after="60" w:line="240" w:lineRule="auto"/>
              <w:rPr>
                <w:rFonts w:ascii="Arial" w:hAnsi="Arial" w:cs="Arial"/>
                <w:kern w:val="2"/>
                <w:sz w:val="20"/>
                <w:szCs w:val="20"/>
                <w14:ligatures w14:val="standardContextual"/>
              </w:rPr>
            </w:pPr>
            <w:r w:rsidRPr="007857E6">
              <w:rPr>
                <w:rFonts w:ascii="Arial" w:hAnsi="Arial" w:cs="Arial"/>
                <w:color w:val="000000" w:themeColor="text1"/>
                <w:sz w:val="18"/>
                <w:szCs w:val="18"/>
              </w:rPr>
              <w:t>Ricardo Alfredo Rosique Román</w:t>
            </w:r>
          </w:p>
        </w:tc>
        <w:tc>
          <w:tcPr>
            <w:tcW w:w="1701" w:type="dxa"/>
            <w:vAlign w:val="center"/>
          </w:tcPr>
          <w:p w14:paraId="1907E49F" w14:textId="77777777" w:rsidR="001D4E40" w:rsidRPr="007857E6" w:rsidRDefault="001D4E40" w:rsidP="00010EF8">
            <w:pPr>
              <w:widowControl w:val="0"/>
              <w:spacing w:before="60" w:after="60" w:line="240" w:lineRule="auto"/>
              <w:jc w:val="center"/>
              <w:rPr>
                <w:rFonts w:ascii="Arial" w:hAnsi="Arial" w:cs="Arial"/>
                <w:kern w:val="2"/>
                <w:sz w:val="20"/>
                <w:szCs w:val="20"/>
                <w14:ligatures w14:val="standardContextual"/>
              </w:rPr>
            </w:pPr>
            <w:r w:rsidRPr="007857E6">
              <w:rPr>
                <w:rFonts w:ascii="Arial" w:hAnsi="Arial" w:cs="Arial"/>
                <w:color w:val="000000" w:themeColor="text1"/>
                <w:sz w:val="18"/>
                <w:szCs w:val="18"/>
              </w:rPr>
              <w:t>Rendimiento</w:t>
            </w:r>
          </w:p>
        </w:tc>
        <w:tc>
          <w:tcPr>
            <w:tcW w:w="2552" w:type="dxa"/>
            <w:vAlign w:val="center"/>
          </w:tcPr>
          <w:p w14:paraId="5EDA7144" w14:textId="77777777" w:rsidR="001D4E40" w:rsidRPr="007857E6" w:rsidRDefault="001D4E40" w:rsidP="00010EF8">
            <w:pPr>
              <w:widowControl w:val="0"/>
              <w:spacing w:before="60" w:after="60" w:line="240" w:lineRule="auto"/>
              <w:jc w:val="center"/>
              <w:rPr>
                <w:rFonts w:ascii="Arial" w:hAnsi="Arial" w:cs="Arial"/>
                <w:kern w:val="2"/>
                <w:sz w:val="20"/>
                <w:szCs w:val="20"/>
                <w14:ligatures w14:val="standardContextual"/>
              </w:rPr>
            </w:pPr>
            <w:r w:rsidRPr="007857E6">
              <w:rPr>
                <w:rFonts w:ascii="Arial" w:hAnsi="Arial" w:cs="Arial"/>
                <w:color w:val="000000" w:themeColor="text1"/>
                <w:sz w:val="18"/>
                <w:szCs w:val="18"/>
              </w:rPr>
              <w:t>Coordinador de Participación Ciudadana</w:t>
            </w:r>
          </w:p>
        </w:tc>
        <w:tc>
          <w:tcPr>
            <w:tcW w:w="1559" w:type="dxa"/>
            <w:vAlign w:val="center"/>
          </w:tcPr>
          <w:p w14:paraId="7D381ECF" w14:textId="77777777" w:rsidR="001D4E40" w:rsidRPr="007857E6" w:rsidRDefault="001D4E40" w:rsidP="00010EF8">
            <w:pPr>
              <w:widowControl w:val="0"/>
              <w:spacing w:before="60" w:after="60" w:line="240" w:lineRule="auto"/>
              <w:jc w:val="center"/>
              <w:rPr>
                <w:rFonts w:ascii="Arial" w:hAnsi="Arial" w:cs="Arial"/>
                <w:kern w:val="2"/>
                <w:sz w:val="20"/>
                <w:szCs w:val="20"/>
                <w14:ligatures w14:val="standardContextual"/>
              </w:rPr>
            </w:pPr>
            <w:r w:rsidRPr="007857E6">
              <w:rPr>
                <w:rFonts w:ascii="Arial" w:hAnsi="Arial" w:cs="Arial"/>
                <w:color w:val="000000" w:themeColor="text1"/>
                <w:sz w:val="18"/>
                <w:szCs w:val="18"/>
              </w:rPr>
              <w:t xml:space="preserve">$25,000.00 </w:t>
            </w:r>
          </w:p>
        </w:tc>
      </w:tr>
      <w:tr w:rsidR="001D4E40" w:rsidRPr="007857E6" w14:paraId="256F3B60" w14:textId="77777777" w:rsidTr="00010EF8">
        <w:trPr>
          <w:trHeight w:val="326"/>
        </w:trPr>
        <w:tc>
          <w:tcPr>
            <w:tcW w:w="2835" w:type="dxa"/>
            <w:vMerge w:val="restart"/>
            <w:vAlign w:val="center"/>
          </w:tcPr>
          <w:p w14:paraId="20A3C77B" w14:textId="77777777" w:rsidR="001D4E40" w:rsidRPr="007857E6" w:rsidRDefault="001D4E40" w:rsidP="00010EF8">
            <w:pPr>
              <w:widowControl w:val="0"/>
              <w:spacing w:before="60" w:after="60" w:line="240" w:lineRule="auto"/>
              <w:rPr>
                <w:rFonts w:ascii="Arial" w:hAnsi="Arial" w:cs="Arial"/>
                <w:kern w:val="2"/>
                <w:sz w:val="20"/>
                <w:szCs w:val="20"/>
                <w14:ligatures w14:val="standardContextual"/>
              </w:rPr>
            </w:pPr>
            <w:r w:rsidRPr="007857E6">
              <w:rPr>
                <w:rFonts w:ascii="Arial" w:hAnsi="Arial" w:cs="Arial"/>
                <w:color w:val="000000" w:themeColor="text1"/>
                <w:sz w:val="18"/>
                <w:szCs w:val="18"/>
              </w:rPr>
              <w:t xml:space="preserve">Jorge Alberto </w:t>
            </w:r>
            <w:proofErr w:type="spellStart"/>
            <w:r w:rsidRPr="007857E6">
              <w:rPr>
                <w:rFonts w:ascii="Arial" w:hAnsi="Arial" w:cs="Arial"/>
                <w:color w:val="000000" w:themeColor="text1"/>
                <w:sz w:val="18"/>
                <w:szCs w:val="18"/>
              </w:rPr>
              <w:t>Saraoz</w:t>
            </w:r>
            <w:proofErr w:type="spellEnd"/>
            <w:r w:rsidRPr="007857E6">
              <w:rPr>
                <w:rFonts w:ascii="Arial" w:hAnsi="Arial" w:cs="Arial"/>
                <w:color w:val="000000" w:themeColor="text1"/>
                <w:sz w:val="18"/>
                <w:szCs w:val="18"/>
              </w:rPr>
              <w:t xml:space="preserve"> </w:t>
            </w:r>
            <w:proofErr w:type="spellStart"/>
            <w:r w:rsidRPr="007857E6">
              <w:rPr>
                <w:rFonts w:ascii="Arial" w:hAnsi="Arial" w:cs="Arial"/>
                <w:color w:val="000000" w:themeColor="text1"/>
                <w:sz w:val="18"/>
                <w:szCs w:val="18"/>
              </w:rPr>
              <w:t>Dozal</w:t>
            </w:r>
            <w:proofErr w:type="spellEnd"/>
          </w:p>
        </w:tc>
        <w:tc>
          <w:tcPr>
            <w:tcW w:w="1701" w:type="dxa"/>
            <w:vAlign w:val="center"/>
          </w:tcPr>
          <w:p w14:paraId="46288CEE" w14:textId="77777777" w:rsidR="001D4E40" w:rsidRPr="007857E6" w:rsidRDefault="001D4E40" w:rsidP="00010EF8">
            <w:pPr>
              <w:widowControl w:val="0"/>
              <w:spacing w:before="60" w:after="60" w:line="240" w:lineRule="auto"/>
              <w:jc w:val="center"/>
              <w:rPr>
                <w:rFonts w:ascii="Arial" w:hAnsi="Arial" w:cs="Arial"/>
                <w:kern w:val="2"/>
                <w:sz w:val="20"/>
                <w:szCs w:val="20"/>
                <w14:ligatures w14:val="standardContextual"/>
              </w:rPr>
            </w:pPr>
            <w:r w:rsidRPr="007857E6">
              <w:rPr>
                <w:rFonts w:ascii="Arial" w:hAnsi="Arial" w:cs="Arial"/>
                <w:color w:val="000000" w:themeColor="text1"/>
                <w:sz w:val="18"/>
                <w:szCs w:val="18"/>
              </w:rPr>
              <w:t>Rendimiento</w:t>
            </w:r>
          </w:p>
        </w:tc>
        <w:tc>
          <w:tcPr>
            <w:tcW w:w="2552" w:type="dxa"/>
            <w:vMerge w:val="restart"/>
            <w:vAlign w:val="center"/>
          </w:tcPr>
          <w:p w14:paraId="1CB358BC" w14:textId="77777777" w:rsidR="001D4E40" w:rsidRPr="007857E6" w:rsidRDefault="001D4E40" w:rsidP="00010EF8">
            <w:pPr>
              <w:widowControl w:val="0"/>
              <w:spacing w:before="60" w:after="60" w:line="240" w:lineRule="auto"/>
              <w:jc w:val="center"/>
              <w:rPr>
                <w:rFonts w:ascii="Arial" w:hAnsi="Arial" w:cs="Arial"/>
                <w:kern w:val="2"/>
                <w:sz w:val="20"/>
                <w:szCs w:val="20"/>
                <w14:ligatures w14:val="standardContextual"/>
              </w:rPr>
            </w:pPr>
            <w:r w:rsidRPr="007857E6">
              <w:rPr>
                <w:rFonts w:ascii="Arial" w:hAnsi="Arial" w:cs="Arial"/>
                <w:color w:val="000000" w:themeColor="text1"/>
                <w:sz w:val="18"/>
                <w:szCs w:val="18"/>
              </w:rPr>
              <w:t>Asistencia Técnica de Participación Ciudadana</w:t>
            </w:r>
          </w:p>
        </w:tc>
        <w:tc>
          <w:tcPr>
            <w:tcW w:w="1559" w:type="dxa"/>
            <w:vAlign w:val="center"/>
          </w:tcPr>
          <w:p w14:paraId="275FE8B5" w14:textId="77777777" w:rsidR="001D4E40" w:rsidRPr="007857E6" w:rsidRDefault="001D4E40" w:rsidP="00010EF8">
            <w:pPr>
              <w:widowControl w:val="0"/>
              <w:spacing w:before="60" w:after="60" w:line="240" w:lineRule="auto"/>
              <w:jc w:val="center"/>
              <w:rPr>
                <w:rFonts w:ascii="Arial" w:hAnsi="Arial" w:cs="Arial"/>
                <w:kern w:val="2"/>
                <w:sz w:val="20"/>
                <w:szCs w:val="20"/>
                <w14:ligatures w14:val="standardContextual"/>
              </w:rPr>
            </w:pPr>
            <w:r w:rsidRPr="007857E6">
              <w:rPr>
                <w:rFonts w:ascii="Arial" w:hAnsi="Arial" w:cs="Arial"/>
                <w:color w:val="000000" w:themeColor="text1"/>
                <w:sz w:val="18"/>
                <w:szCs w:val="18"/>
              </w:rPr>
              <w:t xml:space="preserve">$20,000.00 </w:t>
            </w:r>
          </w:p>
        </w:tc>
      </w:tr>
      <w:tr w:rsidR="001D4E40" w:rsidRPr="007857E6" w14:paraId="6DAF9D7D" w14:textId="77777777" w:rsidTr="00010EF8">
        <w:trPr>
          <w:trHeight w:val="326"/>
        </w:trPr>
        <w:tc>
          <w:tcPr>
            <w:tcW w:w="2835" w:type="dxa"/>
            <w:vMerge/>
            <w:vAlign w:val="center"/>
          </w:tcPr>
          <w:p w14:paraId="3745A0A0" w14:textId="77777777" w:rsidR="001D4E40" w:rsidRPr="007857E6" w:rsidRDefault="001D4E40" w:rsidP="00010EF8">
            <w:pPr>
              <w:widowControl w:val="0"/>
              <w:spacing w:before="60" w:after="60" w:line="240" w:lineRule="auto"/>
              <w:rPr>
                <w:rFonts w:ascii="Arial" w:hAnsi="Arial" w:cs="Arial"/>
                <w:color w:val="000000" w:themeColor="text1"/>
                <w:sz w:val="18"/>
                <w:szCs w:val="18"/>
              </w:rPr>
            </w:pPr>
          </w:p>
        </w:tc>
        <w:tc>
          <w:tcPr>
            <w:tcW w:w="1701" w:type="dxa"/>
            <w:vAlign w:val="center"/>
          </w:tcPr>
          <w:p w14:paraId="052FF04C" w14:textId="77777777" w:rsidR="001D4E40" w:rsidRPr="007857E6" w:rsidRDefault="001D4E40" w:rsidP="00010EF8">
            <w:pPr>
              <w:widowControl w:val="0"/>
              <w:spacing w:before="60" w:after="60" w:line="240" w:lineRule="auto"/>
              <w:jc w:val="center"/>
              <w:rPr>
                <w:rFonts w:ascii="Arial" w:hAnsi="Arial" w:cs="Arial"/>
                <w:color w:val="000000" w:themeColor="text1"/>
                <w:sz w:val="18"/>
                <w:szCs w:val="18"/>
              </w:rPr>
            </w:pPr>
            <w:r w:rsidRPr="007857E6">
              <w:rPr>
                <w:rFonts w:ascii="Arial" w:hAnsi="Arial" w:cs="Arial"/>
                <w:color w:val="000000" w:themeColor="text1"/>
                <w:sz w:val="18"/>
                <w:szCs w:val="18"/>
              </w:rPr>
              <w:t>Obtención de Grado Académico</w:t>
            </w:r>
          </w:p>
        </w:tc>
        <w:tc>
          <w:tcPr>
            <w:tcW w:w="2552" w:type="dxa"/>
            <w:vMerge/>
            <w:vAlign w:val="center"/>
          </w:tcPr>
          <w:p w14:paraId="1B2242BE" w14:textId="77777777" w:rsidR="001D4E40" w:rsidRPr="007857E6" w:rsidRDefault="001D4E40" w:rsidP="00010EF8">
            <w:pPr>
              <w:widowControl w:val="0"/>
              <w:spacing w:before="60" w:after="60" w:line="240" w:lineRule="auto"/>
              <w:jc w:val="center"/>
              <w:rPr>
                <w:rFonts w:ascii="Arial" w:hAnsi="Arial" w:cs="Arial"/>
                <w:color w:val="000000" w:themeColor="text1"/>
                <w:sz w:val="18"/>
                <w:szCs w:val="18"/>
              </w:rPr>
            </w:pPr>
          </w:p>
        </w:tc>
        <w:tc>
          <w:tcPr>
            <w:tcW w:w="1559" w:type="dxa"/>
            <w:vAlign w:val="center"/>
          </w:tcPr>
          <w:p w14:paraId="0C67302B" w14:textId="77777777" w:rsidR="001D4E40" w:rsidRPr="007857E6" w:rsidRDefault="001D4E40" w:rsidP="00010EF8">
            <w:pPr>
              <w:widowControl w:val="0"/>
              <w:spacing w:before="60" w:after="60" w:line="240" w:lineRule="auto"/>
              <w:jc w:val="center"/>
              <w:rPr>
                <w:rFonts w:ascii="Arial" w:hAnsi="Arial" w:cs="Arial"/>
                <w:color w:val="000000" w:themeColor="text1"/>
                <w:sz w:val="18"/>
                <w:szCs w:val="18"/>
              </w:rPr>
            </w:pPr>
            <w:r w:rsidRPr="007857E6">
              <w:rPr>
                <w:rFonts w:ascii="Arial" w:hAnsi="Arial" w:cs="Arial"/>
                <w:color w:val="000000" w:themeColor="text1"/>
                <w:sz w:val="18"/>
                <w:szCs w:val="18"/>
              </w:rPr>
              <w:t>5 días de descanso</w:t>
            </w:r>
          </w:p>
        </w:tc>
      </w:tr>
      <w:tr w:rsidR="001D4E40" w:rsidRPr="007857E6" w14:paraId="536FA7B9" w14:textId="77777777" w:rsidTr="00010EF8">
        <w:trPr>
          <w:trHeight w:val="351"/>
        </w:trPr>
        <w:tc>
          <w:tcPr>
            <w:tcW w:w="2835" w:type="dxa"/>
            <w:vAlign w:val="center"/>
          </w:tcPr>
          <w:p w14:paraId="0539A346" w14:textId="77777777" w:rsidR="001D4E40" w:rsidRPr="007857E6" w:rsidRDefault="001D4E40" w:rsidP="00010EF8">
            <w:pPr>
              <w:widowControl w:val="0"/>
              <w:spacing w:before="60" w:after="60" w:line="240" w:lineRule="auto"/>
              <w:rPr>
                <w:rFonts w:ascii="Arial" w:hAnsi="Arial" w:cs="Arial"/>
                <w:kern w:val="2"/>
                <w:sz w:val="20"/>
                <w:szCs w:val="20"/>
                <w14:ligatures w14:val="standardContextual"/>
              </w:rPr>
            </w:pPr>
            <w:proofErr w:type="spellStart"/>
            <w:r w:rsidRPr="007857E6">
              <w:rPr>
                <w:rFonts w:ascii="Arial" w:hAnsi="Arial" w:cs="Arial"/>
                <w:kern w:val="2"/>
                <w:sz w:val="20"/>
                <w:szCs w:val="20"/>
                <w14:ligatures w14:val="standardContextual"/>
              </w:rPr>
              <w:t>Hiber</w:t>
            </w:r>
            <w:proofErr w:type="spellEnd"/>
            <w:r w:rsidRPr="007857E6">
              <w:rPr>
                <w:rFonts w:ascii="Arial" w:hAnsi="Arial" w:cs="Arial"/>
                <w:kern w:val="2"/>
                <w:sz w:val="20"/>
                <w:szCs w:val="20"/>
                <w14:ligatures w14:val="standardContextual"/>
              </w:rPr>
              <w:t xml:space="preserve"> Antonio Pérez Pablo</w:t>
            </w:r>
          </w:p>
        </w:tc>
        <w:tc>
          <w:tcPr>
            <w:tcW w:w="1701" w:type="dxa"/>
            <w:vAlign w:val="center"/>
          </w:tcPr>
          <w:p w14:paraId="0F396669" w14:textId="77777777" w:rsidR="001D4E40" w:rsidRPr="007857E6" w:rsidRDefault="001D4E40" w:rsidP="00010EF8">
            <w:pPr>
              <w:widowControl w:val="0"/>
              <w:spacing w:before="60" w:after="60" w:line="240" w:lineRule="auto"/>
              <w:jc w:val="center"/>
              <w:rPr>
                <w:rFonts w:ascii="Arial" w:hAnsi="Arial" w:cs="Arial"/>
                <w:kern w:val="2"/>
                <w:sz w:val="20"/>
                <w:szCs w:val="20"/>
                <w14:ligatures w14:val="standardContextual"/>
              </w:rPr>
            </w:pPr>
            <w:r w:rsidRPr="007857E6">
              <w:rPr>
                <w:rFonts w:ascii="Arial" w:hAnsi="Arial" w:cs="Arial"/>
                <w:color w:val="000000" w:themeColor="text1"/>
                <w:sz w:val="18"/>
                <w:szCs w:val="18"/>
              </w:rPr>
              <w:t>Rendimiento</w:t>
            </w:r>
          </w:p>
        </w:tc>
        <w:tc>
          <w:tcPr>
            <w:tcW w:w="2552" w:type="dxa"/>
            <w:vAlign w:val="center"/>
          </w:tcPr>
          <w:p w14:paraId="281A838B" w14:textId="77777777" w:rsidR="001D4E40" w:rsidRPr="007857E6" w:rsidRDefault="001D4E40" w:rsidP="00010EF8">
            <w:pPr>
              <w:widowControl w:val="0"/>
              <w:spacing w:before="60" w:after="60" w:line="240" w:lineRule="auto"/>
              <w:jc w:val="center"/>
              <w:rPr>
                <w:rFonts w:ascii="Arial" w:hAnsi="Arial" w:cs="Arial"/>
                <w:kern w:val="2"/>
                <w:sz w:val="20"/>
                <w:szCs w:val="20"/>
                <w14:ligatures w14:val="standardContextual"/>
              </w:rPr>
            </w:pPr>
            <w:r w:rsidRPr="007857E6">
              <w:rPr>
                <w:rFonts w:ascii="Arial" w:hAnsi="Arial" w:cs="Arial"/>
                <w:color w:val="000000" w:themeColor="text1"/>
                <w:sz w:val="18"/>
                <w:szCs w:val="18"/>
              </w:rPr>
              <w:t>Coordinador de lo Contencioso Electoral</w:t>
            </w:r>
          </w:p>
        </w:tc>
        <w:tc>
          <w:tcPr>
            <w:tcW w:w="1559" w:type="dxa"/>
            <w:vAlign w:val="center"/>
          </w:tcPr>
          <w:p w14:paraId="3DBB3F14" w14:textId="133DD345" w:rsidR="001D4E40" w:rsidRPr="007857E6" w:rsidRDefault="001D4E40" w:rsidP="0051025C">
            <w:pPr>
              <w:pStyle w:val="Sinespaciado"/>
              <w:jc w:val="center"/>
              <w:rPr>
                <w:rFonts w:cs="Arial"/>
                <w:color w:val="000000" w:themeColor="text1"/>
                <w:sz w:val="18"/>
                <w:szCs w:val="18"/>
              </w:rPr>
            </w:pPr>
            <w:r w:rsidRPr="007857E6">
              <w:rPr>
                <w:rFonts w:cs="Arial"/>
                <w:color w:val="000000" w:themeColor="text1"/>
                <w:sz w:val="18"/>
                <w:szCs w:val="18"/>
              </w:rPr>
              <w:t>$25,000.00</w:t>
            </w:r>
          </w:p>
        </w:tc>
      </w:tr>
    </w:tbl>
    <w:p w14:paraId="6C1B7C55" w14:textId="13F902C6" w:rsidR="00A26384" w:rsidRPr="007857E6" w:rsidRDefault="00A26384" w:rsidP="00A26384">
      <w:pPr>
        <w:rPr>
          <w:rFonts w:ascii="Arial" w:hAnsi="Arial" w:cs="Arial"/>
          <w:sz w:val="22"/>
        </w:rPr>
      </w:pPr>
      <w:r w:rsidRPr="007857E6">
        <w:rPr>
          <w:rFonts w:ascii="Arial" w:hAnsi="Arial" w:cs="Arial"/>
          <w:b/>
          <w:sz w:val="23"/>
          <w:szCs w:val="23"/>
        </w:rPr>
        <w:t>Segundo.</w:t>
      </w:r>
      <w:r w:rsidRPr="007857E6">
        <w:rPr>
          <w:rFonts w:ascii="Arial" w:hAnsi="Arial" w:cs="Arial"/>
          <w:sz w:val="23"/>
          <w:szCs w:val="23"/>
        </w:rPr>
        <w:t xml:space="preserve"> </w:t>
      </w:r>
      <w:bookmarkStart w:id="2" w:name="_GoBack"/>
      <w:r w:rsidRPr="007857E6">
        <w:rPr>
          <w:rFonts w:ascii="Arial" w:hAnsi="Arial" w:cs="Arial"/>
          <w:sz w:val="22"/>
        </w:rPr>
        <w:t xml:space="preserve">En consecuencia, se instruye a la Dirección de Administración </w:t>
      </w:r>
      <w:r w:rsidR="0051025C" w:rsidRPr="007857E6">
        <w:rPr>
          <w:rFonts w:ascii="Arial" w:hAnsi="Arial" w:cs="Arial"/>
          <w:sz w:val="22"/>
        </w:rPr>
        <w:t xml:space="preserve">para </w:t>
      </w:r>
      <w:r w:rsidRPr="007857E6">
        <w:rPr>
          <w:rFonts w:ascii="Arial" w:hAnsi="Arial" w:cs="Arial"/>
          <w:sz w:val="22"/>
        </w:rPr>
        <w:t xml:space="preserve">que, de forma inmediata, </w:t>
      </w:r>
      <w:r w:rsidR="0051025C" w:rsidRPr="007857E6">
        <w:rPr>
          <w:rFonts w:ascii="Arial" w:hAnsi="Arial" w:cs="Arial"/>
          <w:sz w:val="22"/>
        </w:rPr>
        <w:t>realice</w:t>
      </w:r>
      <w:r w:rsidRPr="007857E6">
        <w:rPr>
          <w:rFonts w:ascii="Arial" w:hAnsi="Arial" w:cs="Arial"/>
          <w:sz w:val="22"/>
        </w:rPr>
        <w:t xml:space="preserve"> </w:t>
      </w:r>
      <w:r w:rsidR="0051025C" w:rsidRPr="007857E6">
        <w:rPr>
          <w:rFonts w:ascii="Arial" w:hAnsi="Arial" w:cs="Arial"/>
          <w:sz w:val="22"/>
        </w:rPr>
        <w:t xml:space="preserve">el pago </w:t>
      </w:r>
      <w:r w:rsidRPr="007857E6">
        <w:rPr>
          <w:rFonts w:ascii="Arial" w:hAnsi="Arial" w:cs="Arial"/>
          <w:sz w:val="22"/>
        </w:rPr>
        <w:t>a los servidores públicos del Servicio Profesional</w:t>
      </w:r>
      <w:r w:rsidRPr="007857E6">
        <w:rPr>
          <w:rFonts w:ascii="Arial" w:hAnsi="Arial" w:cs="Arial"/>
          <w:sz w:val="23"/>
          <w:szCs w:val="23"/>
        </w:rPr>
        <w:t xml:space="preserve"> </w:t>
      </w:r>
      <w:bookmarkEnd w:id="2"/>
      <w:r w:rsidRPr="007857E6">
        <w:rPr>
          <w:rFonts w:ascii="Arial" w:hAnsi="Arial" w:cs="Arial"/>
          <w:sz w:val="22"/>
        </w:rPr>
        <w:t xml:space="preserve">Electoral </w:t>
      </w:r>
      <w:r w:rsidRPr="007857E6">
        <w:rPr>
          <w:rFonts w:ascii="Arial" w:hAnsi="Arial" w:cs="Arial"/>
          <w:sz w:val="22"/>
        </w:rPr>
        <w:lastRenderedPageBreak/>
        <w:t>Nacional de este Instituto que resultaron seleccionados,</w:t>
      </w:r>
      <w:r w:rsidR="0051025C" w:rsidRPr="007857E6">
        <w:rPr>
          <w:rFonts w:ascii="Arial" w:hAnsi="Arial" w:cs="Arial"/>
          <w:sz w:val="22"/>
        </w:rPr>
        <w:t xml:space="preserve"> por concepto de incentivo por rendimiento de acuerdo con su categoría y en términos del Programa de Incentivos y el dictamen aprobado</w:t>
      </w:r>
      <w:r w:rsidRPr="007857E6">
        <w:rPr>
          <w:rFonts w:ascii="Arial" w:hAnsi="Arial" w:cs="Arial"/>
          <w:sz w:val="22"/>
        </w:rPr>
        <w:t>.</w:t>
      </w:r>
    </w:p>
    <w:p w14:paraId="757DAE67" w14:textId="52EC1881" w:rsidR="00A26384" w:rsidRPr="007857E6" w:rsidRDefault="00A26384" w:rsidP="00A26384">
      <w:pPr>
        <w:rPr>
          <w:rFonts w:ascii="Arial" w:hAnsi="Arial" w:cs="Arial"/>
          <w:sz w:val="22"/>
        </w:rPr>
      </w:pPr>
      <w:r w:rsidRPr="007857E6">
        <w:rPr>
          <w:rFonts w:ascii="Arial" w:hAnsi="Arial" w:cs="Arial"/>
          <w:b/>
          <w:sz w:val="22"/>
        </w:rPr>
        <w:t>Tercero.</w:t>
      </w:r>
      <w:r w:rsidRPr="007857E6">
        <w:rPr>
          <w:rFonts w:ascii="Arial" w:hAnsi="Arial" w:cs="Arial"/>
          <w:sz w:val="22"/>
        </w:rPr>
        <w:t xml:space="preserve"> Se instruye a la Secretaría Ejecutiva de este Instituto para que, por conducto de la Coordinación de Vinculación con el Instituto Nacional Electoral</w:t>
      </w:r>
      <w:r w:rsidR="0051025C" w:rsidRPr="007857E6">
        <w:rPr>
          <w:rFonts w:ascii="Arial" w:hAnsi="Arial" w:cs="Arial"/>
          <w:sz w:val="22"/>
        </w:rPr>
        <w:t>,</w:t>
      </w:r>
      <w:r w:rsidRPr="007857E6">
        <w:rPr>
          <w:rFonts w:ascii="Arial" w:hAnsi="Arial" w:cs="Arial"/>
          <w:sz w:val="22"/>
        </w:rPr>
        <w:t xml:space="preserve"> notifique el presente acuerdo al citado organismo nacional, a través de su Unidad Técnica de Vinculación con los Organismos Públicos Locales, para los efectos correspondientes.</w:t>
      </w:r>
    </w:p>
    <w:p w14:paraId="7198AA6A" w14:textId="3EC5F086" w:rsidR="00A26384" w:rsidRPr="007857E6" w:rsidRDefault="00A26384" w:rsidP="00A26384">
      <w:pPr>
        <w:rPr>
          <w:rFonts w:ascii="Arial" w:hAnsi="Arial" w:cs="Arial"/>
          <w:sz w:val="22"/>
        </w:rPr>
      </w:pPr>
      <w:r w:rsidRPr="007857E6">
        <w:rPr>
          <w:rFonts w:ascii="Arial" w:hAnsi="Arial" w:cs="Arial"/>
          <w:b/>
          <w:sz w:val="22"/>
        </w:rPr>
        <w:t>Cuarto.</w:t>
      </w:r>
      <w:r w:rsidRPr="007857E6">
        <w:rPr>
          <w:rFonts w:ascii="Arial" w:hAnsi="Arial" w:cs="Arial"/>
          <w:sz w:val="22"/>
        </w:rPr>
        <w:t xml:space="preserve"> De conformidad con lo dispuesto en el artículo 114 de la Ley Electoral y de Partidos Políticos del Estado de Tabasco</w:t>
      </w:r>
      <w:r w:rsidR="001D4E40" w:rsidRPr="007857E6">
        <w:rPr>
          <w:rFonts w:ascii="Arial" w:hAnsi="Arial" w:cs="Arial"/>
          <w:sz w:val="22"/>
        </w:rPr>
        <w:t>,</w:t>
      </w:r>
      <w:r w:rsidRPr="007857E6">
        <w:rPr>
          <w:rFonts w:ascii="Arial" w:hAnsi="Arial" w:cs="Arial"/>
          <w:sz w:val="22"/>
        </w:rPr>
        <w:t xml:space="preserve"> publíquese el contenido del presente acuerdo en el Periódico Oficial del Estado y en la página de internet del Instituto.</w:t>
      </w:r>
    </w:p>
    <w:p w14:paraId="08CE8E3C" w14:textId="0245AF07" w:rsidR="00A26384" w:rsidRPr="007857E6" w:rsidRDefault="00A26384" w:rsidP="00A26384">
      <w:pPr>
        <w:rPr>
          <w:rFonts w:ascii="Arial" w:hAnsi="Arial" w:cs="Arial"/>
          <w:sz w:val="22"/>
        </w:rPr>
      </w:pPr>
      <w:r w:rsidRPr="007857E6">
        <w:rPr>
          <w:rFonts w:ascii="Arial" w:hAnsi="Arial" w:cs="Arial"/>
          <w:sz w:val="22"/>
        </w:rPr>
        <w:t xml:space="preserve">El presente acuerdo fue aprobado en sesión ordinaria efectuada el día </w:t>
      </w:r>
      <w:r w:rsidR="00CF67A8" w:rsidRPr="007857E6">
        <w:rPr>
          <w:rFonts w:ascii="Arial" w:hAnsi="Arial" w:cs="Arial"/>
          <w:sz w:val="22"/>
        </w:rPr>
        <w:t>veintinueve</w:t>
      </w:r>
      <w:r w:rsidRPr="007857E6">
        <w:rPr>
          <w:rFonts w:ascii="Arial" w:hAnsi="Arial" w:cs="Arial"/>
          <w:sz w:val="22"/>
        </w:rPr>
        <w:t xml:space="preserve"> de </w:t>
      </w:r>
      <w:r w:rsidR="00F9693A" w:rsidRPr="007857E6">
        <w:rPr>
          <w:rFonts w:ascii="Arial" w:hAnsi="Arial" w:cs="Arial"/>
          <w:sz w:val="22"/>
        </w:rPr>
        <w:t>agosto</w:t>
      </w:r>
      <w:r w:rsidRPr="007857E6">
        <w:rPr>
          <w:rFonts w:ascii="Arial" w:hAnsi="Arial" w:cs="Arial"/>
          <w:sz w:val="22"/>
        </w:rPr>
        <w:t xml:space="preserve"> del año dos mil veintic</w:t>
      </w:r>
      <w:r w:rsidR="00F9693A" w:rsidRPr="007857E6">
        <w:rPr>
          <w:rFonts w:ascii="Arial" w:hAnsi="Arial" w:cs="Arial"/>
          <w:sz w:val="22"/>
        </w:rPr>
        <w:t>inco</w:t>
      </w:r>
      <w:r w:rsidRPr="007857E6">
        <w:rPr>
          <w:rFonts w:ascii="Arial" w:hAnsi="Arial" w:cs="Arial"/>
          <w:sz w:val="22"/>
        </w:rPr>
        <w:t xml:space="preserve">, por votación unánime de las y los Consejeros Electorales del Consejo Estatal del Instituto Electoral y de Participación Ciudadana de Tabasco: Licda. María Elvia Magaña Sandoval, Lic. Hernán González Sala, Lic. Vladimir Hernández Venegas, Licda. Ángela Guadalupe Araujo Segura, Licda. Monserrat Martínez </w:t>
      </w:r>
      <w:proofErr w:type="spellStart"/>
      <w:r w:rsidRPr="007857E6">
        <w:rPr>
          <w:rFonts w:ascii="Arial" w:hAnsi="Arial" w:cs="Arial"/>
          <w:sz w:val="22"/>
        </w:rPr>
        <w:t>Beaurregard</w:t>
      </w:r>
      <w:proofErr w:type="spellEnd"/>
      <w:r w:rsidRPr="007857E6">
        <w:rPr>
          <w:rFonts w:ascii="Arial" w:hAnsi="Arial" w:cs="Arial"/>
          <w:sz w:val="22"/>
        </w:rPr>
        <w:t>, Mtra. Ruth Lizette Toledo Peral y la Consejera Presidenta, Mtra. Elizabeth Nava Gutiérrez.</w:t>
      </w:r>
    </w:p>
    <w:p w14:paraId="773352A9" w14:textId="77777777" w:rsidR="00A26384" w:rsidRPr="007857E6" w:rsidRDefault="00A26384" w:rsidP="00A26384">
      <w:pPr>
        <w:rPr>
          <w:rFonts w:ascii="Arial" w:hAnsi="Arial" w:cs="Arial"/>
          <w:sz w:val="22"/>
        </w:rPr>
      </w:pPr>
    </w:p>
    <w:p w14:paraId="06F70673" w14:textId="77777777" w:rsidR="00A26384" w:rsidRPr="007857E6" w:rsidRDefault="00A26384" w:rsidP="00A26384">
      <w:pPr>
        <w:rPr>
          <w:rFonts w:ascii="Arial" w:hAnsi="Arial" w:cs="Arial"/>
          <w:sz w:val="22"/>
        </w:rPr>
      </w:pPr>
    </w:p>
    <w:p w14:paraId="4DBF105D" w14:textId="77777777" w:rsidR="00A26384" w:rsidRPr="007857E6" w:rsidRDefault="00A26384" w:rsidP="00A26384">
      <w:pPr>
        <w:rPr>
          <w:rFonts w:ascii="Arial" w:hAnsi="Arial" w:cs="Arial"/>
          <w:sz w:val="22"/>
        </w:rPr>
      </w:pPr>
    </w:p>
    <w:tbl>
      <w:tblPr>
        <w:tblStyle w:val="Tablaconcuadrcula"/>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78"/>
        <w:gridCol w:w="4400"/>
      </w:tblGrid>
      <w:tr w:rsidR="00A26384" w:rsidRPr="007857E6" w14:paraId="58159907" w14:textId="77777777" w:rsidTr="00460DD6">
        <w:tc>
          <w:tcPr>
            <w:tcW w:w="4395" w:type="dxa"/>
          </w:tcPr>
          <w:p w14:paraId="35E3AE88" w14:textId="77777777" w:rsidR="00A26384" w:rsidRPr="007857E6" w:rsidRDefault="00A26384" w:rsidP="00460DD6">
            <w:pPr>
              <w:widowControl w:val="0"/>
              <w:spacing w:before="0" w:after="0"/>
              <w:jc w:val="center"/>
              <w:rPr>
                <w:rFonts w:ascii="Arial" w:hAnsi="Arial" w:cs="Arial"/>
                <w:b/>
                <w:spacing w:val="-10"/>
                <w:sz w:val="22"/>
              </w:rPr>
            </w:pPr>
            <w:r w:rsidRPr="007857E6">
              <w:rPr>
                <w:rFonts w:ascii="Arial" w:hAnsi="Arial" w:cs="Arial"/>
                <w:b/>
                <w:spacing w:val="-10"/>
                <w:sz w:val="22"/>
              </w:rPr>
              <w:t>MTRA. ELIZABETH NAVA GUTIÉRREZ</w:t>
            </w:r>
          </w:p>
          <w:p w14:paraId="7AAB5CB6" w14:textId="77777777" w:rsidR="00A26384" w:rsidRPr="007857E6" w:rsidRDefault="00A26384" w:rsidP="00460DD6">
            <w:pPr>
              <w:widowControl w:val="0"/>
              <w:spacing w:before="0" w:after="0"/>
              <w:jc w:val="center"/>
              <w:rPr>
                <w:rFonts w:ascii="Arial" w:hAnsi="Arial" w:cs="Arial"/>
                <w:b/>
                <w:sz w:val="22"/>
              </w:rPr>
            </w:pPr>
            <w:r w:rsidRPr="007857E6">
              <w:rPr>
                <w:rFonts w:ascii="Arial" w:hAnsi="Arial" w:cs="Arial"/>
                <w:b/>
                <w:spacing w:val="-10"/>
                <w:sz w:val="22"/>
              </w:rPr>
              <w:t>CONSEJERA PRESIDENTA</w:t>
            </w:r>
          </w:p>
        </w:tc>
        <w:tc>
          <w:tcPr>
            <w:tcW w:w="278" w:type="dxa"/>
          </w:tcPr>
          <w:p w14:paraId="1B10B2FF" w14:textId="77777777" w:rsidR="00A26384" w:rsidRPr="007857E6" w:rsidRDefault="00A26384" w:rsidP="00460DD6">
            <w:pPr>
              <w:widowControl w:val="0"/>
              <w:spacing w:before="0" w:after="0"/>
              <w:rPr>
                <w:rFonts w:ascii="Arial" w:hAnsi="Arial" w:cs="Arial"/>
                <w:b/>
                <w:sz w:val="22"/>
              </w:rPr>
            </w:pPr>
          </w:p>
        </w:tc>
        <w:tc>
          <w:tcPr>
            <w:tcW w:w="4400" w:type="dxa"/>
          </w:tcPr>
          <w:p w14:paraId="6AAFA44B" w14:textId="77777777" w:rsidR="00A26384" w:rsidRPr="007857E6" w:rsidRDefault="00A26384" w:rsidP="00460DD6">
            <w:pPr>
              <w:widowControl w:val="0"/>
              <w:spacing w:before="0" w:after="0"/>
              <w:jc w:val="center"/>
              <w:rPr>
                <w:rFonts w:ascii="Arial" w:hAnsi="Arial" w:cs="Arial"/>
                <w:b/>
                <w:spacing w:val="-10"/>
                <w:sz w:val="22"/>
              </w:rPr>
            </w:pPr>
            <w:r w:rsidRPr="007857E6">
              <w:rPr>
                <w:rFonts w:ascii="Arial" w:hAnsi="Arial" w:cs="Arial"/>
                <w:b/>
                <w:spacing w:val="-10"/>
                <w:sz w:val="22"/>
              </w:rPr>
              <w:t>LIC. JORGE ALBERTO ZAVALA FRÍAS</w:t>
            </w:r>
          </w:p>
          <w:p w14:paraId="6F3ED245" w14:textId="77777777" w:rsidR="00A26384" w:rsidRPr="007857E6" w:rsidRDefault="00A26384" w:rsidP="00460DD6">
            <w:pPr>
              <w:widowControl w:val="0"/>
              <w:spacing w:before="0" w:after="0"/>
              <w:jc w:val="center"/>
              <w:rPr>
                <w:rFonts w:ascii="Arial" w:hAnsi="Arial" w:cs="Arial"/>
                <w:b/>
                <w:sz w:val="22"/>
              </w:rPr>
            </w:pPr>
            <w:r w:rsidRPr="007857E6">
              <w:rPr>
                <w:rFonts w:ascii="Arial" w:hAnsi="Arial" w:cs="Arial"/>
                <w:b/>
                <w:spacing w:val="-10"/>
                <w:sz w:val="22"/>
              </w:rPr>
              <w:t>SECRETARIO DEL CONSEJO</w:t>
            </w:r>
          </w:p>
        </w:tc>
      </w:tr>
    </w:tbl>
    <w:p w14:paraId="4F9C740A" w14:textId="77777777" w:rsidR="00A26384" w:rsidRPr="007857E6" w:rsidRDefault="00A26384" w:rsidP="00A26384">
      <w:pPr>
        <w:rPr>
          <w:rFonts w:ascii="Arial" w:hAnsi="Arial" w:cs="Arial"/>
          <w:sz w:val="22"/>
        </w:rPr>
      </w:pPr>
    </w:p>
    <w:p w14:paraId="401C7CF3" w14:textId="77777777" w:rsidR="001B4EED" w:rsidRPr="007857E6" w:rsidRDefault="001B4EED">
      <w:pPr>
        <w:rPr>
          <w:rFonts w:ascii="Arial" w:hAnsi="Arial" w:cs="Arial"/>
          <w:sz w:val="22"/>
        </w:rPr>
      </w:pPr>
    </w:p>
    <w:sectPr w:rsidR="001B4EED" w:rsidRPr="007857E6" w:rsidSect="007857E6">
      <w:headerReference w:type="default" r:id="rId7"/>
      <w:footerReference w:type="default" r:id="rId8"/>
      <w:pgSz w:w="12240" w:h="15840" w:code="1"/>
      <w:pgMar w:top="2836" w:right="1608" w:bottom="1276"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790B2" w14:textId="77777777" w:rsidR="005A2B5C" w:rsidRDefault="005A2B5C">
      <w:pPr>
        <w:spacing w:before="0" w:after="0" w:line="240" w:lineRule="auto"/>
      </w:pPr>
      <w:r>
        <w:separator/>
      </w:r>
    </w:p>
  </w:endnote>
  <w:endnote w:type="continuationSeparator" w:id="0">
    <w:p w14:paraId="3FFD9C00" w14:textId="77777777" w:rsidR="005A2B5C" w:rsidRDefault="005A2B5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xo">
    <w:altName w:val="Times New Roman"/>
    <w:charset w:val="00"/>
    <w:family w:val="auto"/>
    <w:pitch w:val="variable"/>
    <w:sig w:usb0="A00000FF" w:usb1="4000204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B8A6B" w14:textId="4BCCF285" w:rsidR="003C57CD" w:rsidRPr="009F0A7F" w:rsidRDefault="00A26384">
    <w:pPr>
      <w:tabs>
        <w:tab w:val="center" w:pos="4550"/>
        <w:tab w:val="left" w:pos="5818"/>
      </w:tabs>
      <w:ind w:right="260"/>
      <w:jc w:val="right"/>
      <w:rPr>
        <w:rFonts w:ascii="Arial" w:hAnsi="Arial" w:cs="Arial"/>
        <w:b/>
        <w:color w:val="990033"/>
        <w:szCs w:val="24"/>
      </w:rPr>
    </w:pPr>
    <w:r w:rsidRPr="009F0A7F">
      <w:rPr>
        <w:rFonts w:ascii="Arial" w:hAnsi="Arial" w:cs="Arial"/>
        <w:b/>
        <w:color w:val="990033"/>
        <w:spacing w:val="20"/>
        <w:szCs w:val="24"/>
        <w:lang w:val="es-ES"/>
      </w:rPr>
      <w:t>Página</w:t>
    </w:r>
    <w:r w:rsidRPr="009F0A7F">
      <w:rPr>
        <w:rFonts w:ascii="Arial" w:hAnsi="Arial" w:cs="Arial"/>
        <w:b/>
        <w:color w:val="990033"/>
        <w:szCs w:val="24"/>
        <w:lang w:val="es-ES"/>
      </w:rPr>
      <w:t xml:space="preserve"> </w:t>
    </w:r>
    <w:r w:rsidRPr="009F0A7F">
      <w:rPr>
        <w:rFonts w:ascii="Arial" w:hAnsi="Arial" w:cs="Arial"/>
        <w:b/>
        <w:color w:val="990033"/>
        <w:szCs w:val="24"/>
      </w:rPr>
      <w:fldChar w:fldCharType="begin"/>
    </w:r>
    <w:r w:rsidRPr="009F0A7F">
      <w:rPr>
        <w:rFonts w:ascii="Arial" w:hAnsi="Arial" w:cs="Arial"/>
        <w:b/>
        <w:color w:val="990033"/>
        <w:szCs w:val="24"/>
      </w:rPr>
      <w:instrText>PAGE   \* MERGEFORMAT</w:instrText>
    </w:r>
    <w:r w:rsidRPr="009F0A7F">
      <w:rPr>
        <w:rFonts w:ascii="Arial" w:hAnsi="Arial" w:cs="Arial"/>
        <w:b/>
        <w:color w:val="990033"/>
        <w:szCs w:val="24"/>
      </w:rPr>
      <w:fldChar w:fldCharType="separate"/>
    </w:r>
    <w:r w:rsidR="007857E6" w:rsidRPr="007857E6">
      <w:rPr>
        <w:rFonts w:ascii="Arial" w:hAnsi="Arial" w:cs="Arial"/>
        <w:b/>
        <w:noProof/>
        <w:color w:val="990033"/>
        <w:szCs w:val="24"/>
        <w:lang w:val="es-ES"/>
      </w:rPr>
      <w:t>10</w:t>
    </w:r>
    <w:r w:rsidRPr="009F0A7F">
      <w:rPr>
        <w:rFonts w:ascii="Arial" w:hAnsi="Arial" w:cs="Arial"/>
        <w:b/>
        <w:color w:val="990033"/>
        <w:szCs w:val="24"/>
      </w:rPr>
      <w:fldChar w:fldCharType="end"/>
    </w:r>
    <w:r w:rsidRPr="009F0A7F">
      <w:rPr>
        <w:rFonts w:ascii="Arial" w:hAnsi="Arial" w:cs="Arial"/>
        <w:b/>
        <w:color w:val="990033"/>
        <w:szCs w:val="24"/>
        <w:lang w:val="es-ES"/>
      </w:rPr>
      <w:t xml:space="preserve"> | </w:t>
    </w:r>
    <w:r w:rsidRPr="009F0A7F">
      <w:rPr>
        <w:rFonts w:ascii="Arial" w:hAnsi="Arial" w:cs="Arial"/>
        <w:b/>
        <w:color w:val="990033"/>
        <w:szCs w:val="24"/>
      </w:rPr>
      <w:fldChar w:fldCharType="begin"/>
    </w:r>
    <w:r w:rsidRPr="009F0A7F">
      <w:rPr>
        <w:rFonts w:ascii="Arial" w:hAnsi="Arial" w:cs="Arial"/>
        <w:b/>
        <w:color w:val="990033"/>
        <w:szCs w:val="24"/>
      </w:rPr>
      <w:instrText>NUMPAGES  \* Arabic  \* MERGEFORMAT</w:instrText>
    </w:r>
    <w:r w:rsidRPr="009F0A7F">
      <w:rPr>
        <w:rFonts w:ascii="Arial" w:hAnsi="Arial" w:cs="Arial"/>
        <w:b/>
        <w:color w:val="990033"/>
        <w:szCs w:val="24"/>
      </w:rPr>
      <w:fldChar w:fldCharType="separate"/>
    </w:r>
    <w:r w:rsidR="007857E6" w:rsidRPr="007857E6">
      <w:rPr>
        <w:rFonts w:ascii="Arial" w:hAnsi="Arial" w:cs="Arial"/>
        <w:b/>
        <w:noProof/>
        <w:color w:val="990033"/>
        <w:szCs w:val="24"/>
        <w:lang w:val="es-ES"/>
      </w:rPr>
      <w:t>12</w:t>
    </w:r>
    <w:r w:rsidRPr="009F0A7F">
      <w:rPr>
        <w:rFonts w:ascii="Arial" w:hAnsi="Arial" w:cs="Arial"/>
        <w:b/>
        <w:color w:val="990033"/>
        <w:szCs w:val="24"/>
      </w:rPr>
      <w:fldChar w:fldCharType="end"/>
    </w:r>
  </w:p>
  <w:p w14:paraId="2569FA86" w14:textId="77777777" w:rsidR="003C57CD" w:rsidRPr="009F0A7F" w:rsidRDefault="003C57CD" w:rsidP="009F0A7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69E3A7" w14:textId="77777777" w:rsidR="005A2B5C" w:rsidRDefault="005A2B5C">
      <w:pPr>
        <w:spacing w:before="0" w:after="0" w:line="240" w:lineRule="auto"/>
      </w:pPr>
      <w:r>
        <w:separator/>
      </w:r>
    </w:p>
  </w:footnote>
  <w:footnote w:type="continuationSeparator" w:id="0">
    <w:p w14:paraId="34878554" w14:textId="77777777" w:rsidR="005A2B5C" w:rsidRDefault="005A2B5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361"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6242"/>
      <w:gridCol w:w="1701"/>
    </w:tblGrid>
    <w:tr w:rsidR="002775E3" w:rsidRPr="006F206E" w14:paraId="4C6CCF59" w14:textId="77777777" w:rsidTr="0050736D">
      <w:tc>
        <w:tcPr>
          <w:tcW w:w="1418" w:type="dxa"/>
        </w:tcPr>
        <w:p w14:paraId="14643B8C" w14:textId="77777777" w:rsidR="003C57CD" w:rsidRPr="006F206E" w:rsidRDefault="00A26384" w:rsidP="002775E3">
          <w:pPr>
            <w:pStyle w:val="Encabezado"/>
            <w:ind w:left="-170"/>
          </w:pPr>
          <w:r w:rsidRPr="006F206E">
            <w:rPr>
              <w:b/>
              <w:noProof/>
              <w:sz w:val="32"/>
              <w:lang w:eastAsia="es-MX"/>
            </w:rPr>
            <w:drawing>
              <wp:inline distT="0" distB="0" distL="0" distR="0" wp14:anchorId="0E64E7A8" wp14:editId="5017D70C">
                <wp:extent cx="1014331" cy="1199403"/>
                <wp:effectExtent l="0" t="0" r="0" b="1270"/>
                <wp:docPr id="7" name="Imagen 7" descr="Dibujo animado de un animal con la boca abiert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Dibujo animado de un animal con la boca abiert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1025855" cy="1213030"/>
                        </a:xfrm>
                        <a:prstGeom prst="rect">
                          <a:avLst/>
                        </a:prstGeom>
                      </pic:spPr>
                    </pic:pic>
                  </a:graphicData>
                </a:graphic>
              </wp:inline>
            </w:drawing>
          </w:r>
        </w:p>
      </w:tc>
      <w:tc>
        <w:tcPr>
          <w:tcW w:w="6242" w:type="dxa"/>
        </w:tcPr>
        <w:p w14:paraId="644D17CA" w14:textId="77777777" w:rsidR="003C57CD" w:rsidRPr="009F0A7F" w:rsidRDefault="00A26384" w:rsidP="002775E3">
          <w:pPr>
            <w:pStyle w:val="Encabezado"/>
            <w:spacing w:before="720"/>
            <w:jc w:val="center"/>
            <w:rPr>
              <w:rFonts w:ascii="Arial" w:hAnsi="Arial" w:cs="Arial"/>
              <w:b/>
              <w:bCs/>
              <w:sz w:val="25"/>
              <w:szCs w:val="25"/>
            </w:rPr>
          </w:pPr>
          <w:r w:rsidRPr="009F0A7F">
            <w:rPr>
              <w:rFonts w:ascii="Arial" w:hAnsi="Arial" w:cs="Arial"/>
              <w:b/>
              <w:bCs/>
              <w:sz w:val="25"/>
              <w:szCs w:val="25"/>
            </w:rPr>
            <w:t>INSTITUTO ELECTORAL Y DE PARTICIPACIÓN CIUDADANA DE TABASCO</w:t>
          </w:r>
        </w:p>
        <w:p w14:paraId="7C96877B" w14:textId="77777777" w:rsidR="003C57CD" w:rsidRPr="006F206E" w:rsidRDefault="00A26384" w:rsidP="002775E3">
          <w:pPr>
            <w:pStyle w:val="Encabezado"/>
            <w:jc w:val="center"/>
          </w:pPr>
          <w:r w:rsidRPr="009F0A7F">
            <w:rPr>
              <w:rFonts w:ascii="Arial" w:hAnsi="Arial" w:cs="Arial"/>
              <w:sz w:val="26"/>
              <w:szCs w:val="26"/>
            </w:rPr>
            <w:t>CONSEJO ESTATAL</w:t>
          </w:r>
        </w:p>
      </w:tc>
      <w:tc>
        <w:tcPr>
          <w:tcW w:w="1701" w:type="dxa"/>
        </w:tcPr>
        <w:p w14:paraId="35D8777D" w14:textId="77777777" w:rsidR="003C57CD" w:rsidRPr="006F206E" w:rsidRDefault="00A26384" w:rsidP="002775E3">
          <w:pPr>
            <w:pStyle w:val="Encabezado"/>
            <w:spacing w:before="480"/>
          </w:pPr>
          <w:r w:rsidRPr="006F206E">
            <w:rPr>
              <w:noProof/>
              <w:lang w:eastAsia="es-MX"/>
            </w:rPr>
            <w:drawing>
              <wp:inline distT="0" distB="0" distL="0" distR="0" wp14:anchorId="3DA1B7FC" wp14:editId="001C031C">
                <wp:extent cx="921600" cy="756000"/>
                <wp:effectExtent l="0" t="0" r="0" b="6350"/>
                <wp:docPr id="8" name="Imagen 8" descr="Logotipo,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570035" name="Imagen 216570035" descr="Logotipo, Icono&#10;&#10;Descripción generada automáticamente"/>
                        <pic:cNvPicPr/>
                      </pic:nvPicPr>
                      <pic:blipFill>
                        <a:blip r:embed="rId2" cstate="print">
                          <a:extLst>
                            <a:ext uri="{28A0092B-C50C-407E-A947-70E740481C1C}">
                              <a14:useLocalDpi xmlns:a14="http://schemas.microsoft.com/office/drawing/2010/main" val="0"/>
                            </a:ext>
                          </a:extLst>
                        </a:blip>
                        <a:stretch>
                          <a:fillRect/>
                        </a:stretch>
                      </pic:blipFill>
                      <pic:spPr>
                        <a:xfrm>
                          <a:off x="0" y="0"/>
                          <a:ext cx="921600" cy="756000"/>
                        </a:xfrm>
                        <a:prstGeom prst="rect">
                          <a:avLst/>
                        </a:prstGeom>
                      </pic:spPr>
                    </pic:pic>
                  </a:graphicData>
                </a:graphic>
              </wp:inline>
            </w:drawing>
          </w:r>
        </w:p>
      </w:tc>
    </w:tr>
  </w:tbl>
  <w:p w14:paraId="055B7A7A" w14:textId="4E287262" w:rsidR="003C57CD" w:rsidRPr="009F0A7F" w:rsidRDefault="00A26384" w:rsidP="009F0A7F">
    <w:pPr>
      <w:pStyle w:val="Encabezado"/>
      <w:jc w:val="right"/>
      <w:rPr>
        <w:rFonts w:ascii="Arial" w:hAnsi="Arial" w:cs="Arial"/>
        <w:b/>
      </w:rPr>
    </w:pPr>
    <w:r w:rsidRPr="009F0A7F">
      <w:rPr>
        <w:rFonts w:ascii="Arial" w:hAnsi="Arial" w:cs="Arial"/>
        <w:b/>
      </w:rPr>
      <w:t>CE/202</w:t>
    </w:r>
    <w:r>
      <w:rPr>
        <w:rFonts w:ascii="Arial" w:hAnsi="Arial" w:cs="Arial"/>
        <w:b/>
      </w:rPr>
      <w:t>5/</w:t>
    </w:r>
    <w:r w:rsidR="007857E6">
      <w:rPr>
        <w:rFonts w:ascii="Arial" w:hAnsi="Arial" w:cs="Arial"/>
        <w:b/>
      </w:rPr>
      <w:t>080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370E9"/>
    <w:multiLevelType w:val="hybridMultilevel"/>
    <w:tmpl w:val="B7281714"/>
    <w:lvl w:ilvl="0" w:tplc="611E20E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A3B1F7A"/>
    <w:multiLevelType w:val="multilevel"/>
    <w:tmpl w:val="08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 w15:restartNumberingAfterBreak="0">
    <w:nsid w:val="4B971F5F"/>
    <w:multiLevelType w:val="hybridMultilevel"/>
    <w:tmpl w:val="943C2C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2366A79"/>
    <w:multiLevelType w:val="hybridMultilevel"/>
    <w:tmpl w:val="5D76DD9A"/>
    <w:lvl w:ilvl="0" w:tplc="611E20E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B77727B"/>
    <w:multiLevelType w:val="hybridMultilevel"/>
    <w:tmpl w:val="BEEC16B4"/>
    <w:lvl w:ilvl="0" w:tplc="F612D67A">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384"/>
    <w:rsid w:val="00011C7A"/>
    <w:rsid w:val="0016026A"/>
    <w:rsid w:val="00186809"/>
    <w:rsid w:val="001B4EED"/>
    <w:rsid w:val="001D268D"/>
    <w:rsid w:val="001D4E40"/>
    <w:rsid w:val="001E1D4B"/>
    <w:rsid w:val="00284B85"/>
    <w:rsid w:val="00287A59"/>
    <w:rsid w:val="003C57CD"/>
    <w:rsid w:val="004B505B"/>
    <w:rsid w:val="0051025C"/>
    <w:rsid w:val="005171B3"/>
    <w:rsid w:val="005A2B5C"/>
    <w:rsid w:val="00677787"/>
    <w:rsid w:val="00691500"/>
    <w:rsid w:val="006C3704"/>
    <w:rsid w:val="006F5E26"/>
    <w:rsid w:val="0073160C"/>
    <w:rsid w:val="007857E6"/>
    <w:rsid w:val="00802761"/>
    <w:rsid w:val="00824FC3"/>
    <w:rsid w:val="009556D9"/>
    <w:rsid w:val="009C2D11"/>
    <w:rsid w:val="00A0414E"/>
    <w:rsid w:val="00A26384"/>
    <w:rsid w:val="00A81965"/>
    <w:rsid w:val="00B86707"/>
    <w:rsid w:val="00BF5314"/>
    <w:rsid w:val="00CF67A8"/>
    <w:rsid w:val="00D960AF"/>
    <w:rsid w:val="00DA32D1"/>
    <w:rsid w:val="00DC0C78"/>
    <w:rsid w:val="00DE1C72"/>
    <w:rsid w:val="00EC30F1"/>
    <w:rsid w:val="00F62375"/>
    <w:rsid w:val="00F8402A"/>
    <w:rsid w:val="00F969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450A8"/>
  <w15:chartTrackingRefBased/>
  <w15:docId w15:val="{D18267A3-04B1-462E-A8AD-07AE9E4EE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E40"/>
    <w:pPr>
      <w:spacing w:before="240" w:after="240" w:line="276" w:lineRule="auto"/>
      <w:jc w:val="both"/>
    </w:pPr>
    <w:rPr>
      <w:rFonts w:ascii="Exo" w:hAnsi="Exo"/>
      <w:sz w:val="24"/>
    </w:rPr>
  </w:style>
  <w:style w:type="paragraph" w:styleId="Ttulo1">
    <w:name w:val="heading 1"/>
    <w:basedOn w:val="Normal"/>
    <w:next w:val="Normal"/>
    <w:link w:val="Ttulo1Car"/>
    <w:uiPriority w:val="9"/>
    <w:qFormat/>
    <w:rsid w:val="00A26384"/>
    <w:pPr>
      <w:numPr>
        <w:numId w:val="3"/>
      </w:numPr>
      <w:spacing w:before="600"/>
      <w:jc w:val="center"/>
      <w:outlineLvl w:val="0"/>
    </w:pPr>
    <w:rPr>
      <w:b/>
      <w:sz w:val="28"/>
    </w:rPr>
  </w:style>
  <w:style w:type="paragraph" w:styleId="Ttulo2">
    <w:name w:val="heading 2"/>
    <w:basedOn w:val="Normal"/>
    <w:next w:val="Normal"/>
    <w:link w:val="Ttulo2Car"/>
    <w:uiPriority w:val="9"/>
    <w:unhideWhenUsed/>
    <w:qFormat/>
    <w:rsid w:val="00A26384"/>
    <w:pPr>
      <w:numPr>
        <w:ilvl w:val="1"/>
        <w:numId w:val="3"/>
      </w:numPr>
      <w:spacing w:before="480"/>
      <w:outlineLvl w:val="1"/>
    </w:pPr>
    <w:rPr>
      <w:b/>
    </w:rPr>
  </w:style>
  <w:style w:type="paragraph" w:styleId="Ttulo3">
    <w:name w:val="heading 3"/>
    <w:basedOn w:val="Normal"/>
    <w:next w:val="Normal"/>
    <w:link w:val="Ttulo3Car"/>
    <w:uiPriority w:val="9"/>
    <w:semiHidden/>
    <w:unhideWhenUsed/>
    <w:qFormat/>
    <w:rsid w:val="00A26384"/>
    <w:pPr>
      <w:keepNext/>
      <w:keepLines/>
      <w:numPr>
        <w:ilvl w:val="2"/>
        <w:numId w:val="3"/>
      </w:numPr>
      <w:spacing w:before="40" w:after="0"/>
      <w:outlineLvl w:val="2"/>
    </w:pPr>
    <w:rPr>
      <w:rFonts w:asciiTheme="majorHAnsi" w:eastAsiaTheme="majorEastAsia" w:hAnsiTheme="majorHAnsi" w:cstheme="majorBidi"/>
      <w:color w:val="1F4D78" w:themeColor="accent1" w:themeShade="7F"/>
      <w:szCs w:val="24"/>
    </w:rPr>
  </w:style>
  <w:style w:type="paragraph" w:styleId="Ttulo4">
    <w:name w:val="heading 4"/>
    <w:basedOn w:val="Normal"/>
    <w:next w:val="Normal"/>
    <w:link w:val="Ttulo4Car"/>
    <w:uiPriority w:val="9"/>
    <w:semiHidden/>
    <w:unhideWhenUsed/>
    <w:qFormat/>
    <w:rsid w:val="00A26384"/>
    <w:pPr>
      <w:keepNext/>
      <w:keepLines/>
      <w:numPr>
        <w:ilvl w:val="3"/>
        <w:numId w:val="3"/>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A26384"/>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A26384"/>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A26384"/>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26384"/>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A26384"/>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26384"/>
    <w:rPr>
      <w:rFonts w:ascii="Exo" w:hAnsi="Exo"/>
      <w:b/>
      <w:sz w:val="28"/>
    </w:rPr>
  </w:style>
  <w:style w:type="character" w:customStyle="1" w:styleId="Ttulo2Car">
    <w:name w:val="Título 2 Car"/>
    <w:basedOn w:val="Fuentedeprrafopredeter"/>
    <w:link w:val="Ttulo2"/>
    <w:uiPriority w:val="9"/>
    <w:rsid w:val="00A26384"/>
    <w:rPr>
      <w:rFonts w:ascii="Exo" w:hAnsi="Exo"/>
      <w:b/>
      <w:sz w:val="24"/>
    </w:rPr>
  </w:style>
  <w:style w:type="character" w:customStyle="1" w:styleId="Ttulo3Car">
    <w:name w:val="Título 3 Car"/>
    <w:basedOn w:val="Fuentedeprrafopredeter"/>
    <w:link w:val="Ttulo3"/>
    <w:uiPriority w:val="9"/>
    <w:semiHidden/>
    <w:rsid w:val="00A26384"/>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semiHidden/>
    <w:rsid w:val="00A26384"/>
    <w:rPr>
      <w:rFonts w:asciiTheme="majorHAnsi" w:eastAsiaTheme="majorEastAsia" w:hAnsiTheme="majorHAnsi" w:cstheme="majorBidi"/>
      <w:i/>
      <w:iCs/>
      <w:color w:val="2E74B5" w:themeColor="accent1" w:themeShade="BF"/>
      <w:sz w:val="24"/>
    </w:rPr>
  </w:style>
  <w:style w:type="character" w:customStyle="1" w:styleId="Ttulo5Car">
    <w:name w:val="Título 5 Car"/>
    <w:basedOn w:val="Fuentedeprrafopredeter"/>
    <w:link w:val="Ttulo5"/>
    <w:uiPriority w:val="9"/>
    <w:semiHidden/>
    <w:rsid w:val="00A26384"/>
    <w:rPr>
      <w:rFonts w:asciiTheme="majorHAnsi" w:eastAsiaTheme="majorEastAsia" w:hAnsiTheme="majorHAnsi" w:cstheme="majorBidi"/>
      <w:color w:val="2E74B5" w:themeColor="accent1" w:themeShade="BF"/>
      <w:sz w:val="24"/>
    </w:rPr>
  </w:style>
  <w:style w:type="character" w:customStyle="1" w:styleId="Ttulo6Car">
    <w:name w:val="Título 6 Car"/>
    <w:basedOn w:val="Fuentedeprrafopredeter"/>
    <w:link w:val="Ttulo6"/>
    <w:uiPriority w:val="9"/>
    <w:semiHidden/>
    <w:rsid w:val="00A26384"/>
    <w:rPr>
      <w:rFonts w:asciiTheme="majorHAnsi" w:eastAsiaTheme="majorEastAsia" w:hAnsiTheme="majorHAnsi" w:cstheme="majorBidi"/>
      <w:color w:val="1F4D78" w:themeColor="accent1" w:themeShade="7F"/>
      <w:sz w:val="24"/>
    </w:rPr>
  </w:style>
  <w:style w:type="character" w:customStyle="1" w:styleId="Ttulo7Car">
    <w:name w:val="Título 7 Car"/>
    <w:basedOn w:val="Fuentedeprrafopredeter"/>
    <w:link w:val="Ttulo7"/>
    <w:uiPriority w:val="9"/>
    <w:semiHidden/>
    <w:rsid w:val="00A26384"/>
    <w:rPr>
      <w:rFonts w:asciiTheme="majorHAnsi" w:eastAsiaTheme="majorEastAsia" w:hAnsiTheme="majorHAnsi" w:cstheme="majorBidi"/>
      <w:i/>
      <w:iCs/>
      <w:color w:val="1F4D78" w:themeColor="accent1" w:themeShade="7F"/>
      <w:sz w:val="24"/>
    </w:rPr>
  </w:style>
  <w:style w:type="character" w:customStyle="1" w:styleId="Ttulo8Car">
    <w:name w:val="Título 8 Car"/>
    <w:basedOn w:val="Fuentedeprrafopredeter"/>
    <w:link w:val="Ttulo8"/>
    <w:uiPriority w:val="9"/>
    <w:semiHidden/>
    <w:rsid w:val="00A26384"/>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A26384"/>
    <w:rPr>
      <w:rFonts w:asciiTheme="majorHAnsi" w:eastAsiaTheme="majorEastAsia" w:hAnsiTheme="majorHAnsi" w:cstheme="majorBidi"/>
      <w:i/>
      <w:iCs/>
      <w:color w:val="272727" w:themeColor="text1" w:themeTint="D8"/>
      <w:sz w:val="21"/>
      <w:szCs w:val="21"/>
    </w:rPr>
  </w:style>
  <w:style w:type="paragraph" w:styleId="Prrafodelista">
    <w:name w:val="List Paragraph"/>
    <w:basedOn w:val="Normal"/>
    <w:uiPriority w:val="34"/>
    <w:qFormat/>
    <w:rsid w:val="00A26384"/>
    <w:pPr>
      <w:ind w:left="720"/>
      <w:contextualSpacing/>
    </w:pPr>
  </w:style>
  <w:style w:type="table" w:customStyle="1" w:styleId="Tablaconcuadrcula1">
    <w:name w:val="Tabla con cuadrícula1"/>
    <w:basedOn w:val="Tablanormal"/>
    <w:next w:val="Tablaconcuadrcula"/>
    <w:uiPriority w:val="59"/>
    <w:rsid w:val="00A26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A26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26384"/>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A26384"/>
    <w:rPr>
      <w:rFonts w:ascii="Exo" w:hAnsi="Exo"/>
      <w:sz w:val="24"/>
    </w:rPr>
  </w:style>
  <w:style w:type="paragraph" w:styleId="Piedepgina">
    <w:name w:val="footer"/>
    <w:basedOn w:val="Normal"/>
    <w:link w:val="PiedepginaCar"/>
    <w:uiPriority w:val="99"/>
    <w:unhideWhenUsed/>
    <w:rsid w:val="00A26384"/>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A26384"/>
    <w:rPr>
      <w:rFonts w:ascii="Exo" w:hAnsi="Exo"/>
      <w:sz w:val="24"/>
    </w:rPr>
  </w:style>
  <w:style w:type="paragraph" w:styleId="Sinespaciado">
    <w:name w:val="No Spacing"/>
    <w:link w:val="SinespaciadoCar"/>
    <w:uiPriority w:val="1"/>
    <w:qFormat/>
    <w:rsid w:val="001D4E40"/>
    <w:pPr>
      <w:spacing w:after="0" w:line="240" w:lineRule="auto"/>
      <w:jc w:val="both"/>
    </w:pPr>
    <w:rPr>
      <w:rFonts w:ascii="Arial" w:hAnsi="Arial"/>
      <w:noProof/>
      <w:sz w:val="24"/>
    </w:rPr>
  </w:style>
  <w:style w:type="character" w:customStyle="1" w:styleId="SinespaciadoCar">
    <w:name w:val="Sin espaciado Car"/>
    <w:link w:val="Sinespaciado"/>
    <w:uiPriority w:val="1"/>
    <w:rsid w:val="001D4E40"/>
    <w:rPr>
      <w:rFonts w:ascii="Arial" w:hAnsi="Arial"/>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12</Pages>
  <Words>3565</Words>
  <Characters>19611</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 MARIA GOMEZ HERNANDEZ</dc:creator>
  <cp:keywords/>
  <dc:description/>
  <cp:lastModifiedBy>Jaqueline del Carmen Carrillo Llergo</cp:lastModifiedBy>
  <cp:revision>5</cp:revision>
  <dcterms:created xsi:type="dcterms:W3CDTF">2025-08-26T19:36:00Z</dcterms:created>
  <dcterms:modified xsi:type="dcterms:W3CDTF">2025-08-29T21:34:00Z</dcterms:modified>
</cp:coreProperties>
</file>