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766892" w14:textId="78BD63D6" w:rsidR="00D92811" w:rsidRPr="00F0315B" w:rsidRDefault="00430B0B" w:rsidP="00FB4FCD">
      <w:pPr>
        <w:spacing w:line="276" w:lineRule="auto"/>
        <w:rPr>
          <w:rFonts w:ascii="Arial" w:hAnsi="Arial" w:cs="Arial"/>
          <w:b/>
          <w:bCs/>
        </w:rPr>
      </w:pPr>
      <w:r w:rsidRPr="00F0315B">
        <w:rPr>
          <w:rFonts w:ascii="Arial" w:hAnsi="Arial" w:cs="Arial"/>
          <w:b/>
          <w:bCs/>
        </w:rPr>
        <w:t>ACUERDO QUE, A PROPUESTA DE LA COMISIÓN DE SEGUIMIENTO AL SERVICIO PROFESIONAL ELECTORAL NACIONAL, EMITE EL CONSEJO ESTATAL DEL INSTITUTO ELECTORAL Y DE PARTICIPACIÓN CIUDADANA DE TABASCO, MEDIANTE EL CUAL APRUEBA EL DICTAMEN GENERAL DE RESULTADOS DE LA EVALUACIÓN DEL DESEMPEÑO DEL PERSONAL DEL SERVICIO PROFESIONAL ELECTORAL NACIONAL DEL SISTEMA DE LOS ORGANISMOS PÚBLICOS LOCALES ELECTORALES DEL PERIODO SEPTIEMBRE 2023 A AGOSTO 2024</w:t>
      </w:r>
    </w:p>
    <w:p w14:paraId="6D6D2941" w14:textId="77777777" w:rsidR="00FB4FCD" w:rsidRPr="00430B0B" w:rsidRDefault="00FB4FCD" w:rsidP="00FB4FCD">
      <w:pPr>
        <w:rPr>
          <w:rFonts w:ascii="Arial" w:hAnsi="Arial" w:cs="Arial"/>
          <w:sz w:val="22"/>
          <w:szCs w:val="22"/>
          <w:lang w:val="es-ES"/>
        </w:rPr>
      </w:pPr>
      <w:r w:rsidRPr="00430B0B">
        <w:rPr>
          <w:rFonts w:ascii="Arial" w:hAnsi="Arial" w:cs="Arial"/>
          <w:sz w:val="22"/>
          <w:szCs w:val="22"/>
          <w:lang w:val="es-ES"/>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01"/>
        <w:gridCol w:w="4347"/>
      </w:tblGrid>
      <w:tr w:rsidR="00D92811" w:rsidRPr="00430B0B" w14:paraId="496959CD" w14:textId="77777777" w:rsidTr="00F047D7">
        <w:trPr>
          <w:trHeight w:val="624"/>
          <w:jc w:val="center"/>
        </w:trPr>
        <w:tc>
          <w:tcPr>
            <w:tcW w:w="2042" w:type="pct"/>
            <w:shd w:val="clear" w:color="auto" w:fill="auto"/>
            <w:vAlign w:val="center"/>
          </w:tcPr>
          <w:p w14:paraId="3C8998DC" w14:textId="77777777" w:rsidR="00D92811" w:rsidRPr="00430B0B" w:rsidRDefault="00D92811" w:rsidP="00F047D7">
            <w:pPr>
              <w:spacing w:before="60" w:after="60"/>
              <w:ind w:left="57"/>
              <w:jc w:val="right"/>
              <w:rPr>
                <w:rFonts w:ascii="Arial" w:hAnsi="Arial" w:cs="Arial"/>
                <w:b/>
                <w:sz w:val="20"/>
                <w:szCs w:val="20"/>
              </w:rPr>
            </w:pPr>
            <w:r w:rsidRPr="00430B0B">
              <w:rPr>
                <w:rFonts w:ascii="Arial" w:hAnsi="Arial" w:cs="Arial"/>
                <w:b/>
                <w:sz w:val="20"/>
                <w:szCs w:val="20"/>
              </w:rPr>
              <w:t>Comisión de Seguimiento:</w:t>
            </w:r>
          </w:p>
        </w:tc>
        <w:tc>
          <w:tcPr>
            <w:tcW w:w="2958" w:type="pct"/>
            <w:shd w:val="clear" w:color="auto" w:fill="auto"/>
            <w:vAlign w:val="center"/>
          </w:tcPr>
          <w:p w14:paraId="05B9F143" w14:textId="77777777" w:rsidR="00D92811" w:rsidRPr="00430B0B" w:rsidRDefault="00D92811" w:rsidP="00F047D7">
            <w:pPr>
              <w:spacing w:before="60" w:after="60"/>
              <w:ind w:left="57"/>
              <w:rPr>
                <w:rFonts w:ascii="Arial" w:hAnsi="Arial" w:cs="Arial"/>
                <w:sz w:val="20"/>
                <w:szCs w:val="20"/>
              </w:rPr>
            </w:pPr>
            <w:r w:rsidRPr="00430B0B">
              <w:rPr>
                <w:rFonts w:ascii="Arial" w:hAnsi="Arial" w:cs="Arial"/>
                <w:sz w:val="20"/>
                <w:szCs w:val="20"/>
              </w:rPr>
              <w:t>Comisión de Seguimiento del Servicio Profesional Electoral del Instituto Electoral y de Participación Ciudadana de Tabasco.</w:t>
            </w:r>
          </w:p>
        </w:tc>
      </w:tr>
      <w:tr w:rsidR="00D92811" w:rsidRPr="00430B0B" w14:paraId="1190A23D" w14:textId="77777777" w:rsidTr="00F047D7">
        <w:trPr>
          <w:trHeight w:val="624"/>
          <w:jc w:val="center"/>
        </w:trPr>
        <w:tc>
          <w:tcPr>
            <w:tcW w:w="2042" w:type="pct"/>
            <w:shd w:val="clear" w:color="auto" w:fill="auto"/>
            <w:vAlign w:val="center"/>
          </w:tcPr>
          <w:p w14:paraId="69A6EBBB" w14:textId="77777777" w:rsidR="00D92811" w:rsidRPr="00430B0B" w:rsidRDefault="00D92811" w:rsidP="00F047D7">
            <w:pPr>
              <w:spacing w:before="60" w:after="60"/>
              <w:ind w:left="57"/>
              <w:jc w:val="right"/>
              <w:rPr>
                <w:rFonts w:ascii="Arial" w:hAnsi="Arial" w:cs="Arial"/>
                <w:b/>
                <w:sz w:val="20"/>
                <w:szCs w:val="20"/>
              </w:rPr>
            </w:pPr>
            <w:r w:rsidRPr="00430B0B">
              <w:rPr>
                <w:rFonts w:ascii="Arial" w:hAnsi="Arial" w:cs="Arial"/>
                <w:b/>
                <w:sz w:val="20"/>
                <w:szCs w:val="20"/>
              </w:rPr>
              <w:t>Consejo Estatal:</w:t>
            </w:r>
          </w:p>
        </w:tc>
        <w:tc>
          <w:tcPr>
            <w:tcW w:w="2958" w:type="pct"/>
            <w:shd w:val="clear" w:color="auto" w:fill="auto"/>
            <w:vAlign w:val="center"/>
          </w:tcPr>
          <w:p w14:paraId="43AE521B" w14:textId="77777777" w:rsidR="00D92811" w:rsidRPr="00430B0B" w:rsidRDefault="00D92811" w:rsidP="00F047D7">
            <w:pPr>
              <w:spacing w:before="60" w:after="60"/>
              <w:ind w:left="57"/>
              <w:rPr>
                <w:rFonts w:ascii="Arial" w:hAnsi="Arial" w:cs="Arial"/>
                <w:sz w:val="20"/>
                <w:szCs w:val="20"/>
              </w:rPr>
            </w:pPr>
            <w:r w:rsidRPr="00430B0B">
              <w:rPr>
                <w:rFonts w:ascii="Arial" w:hAnsi="Arial" w:cs="Arial"/>
                <w:sz w:val="20"/>
                <w:szCs w:val="20"/>
              </w:rPr>
              <w:t>Consejo Estatal del Instituto Electoral y de Participación Ciudadana de Tabasco.</w:t>
            </w:r>
          </w:p>
        </w:tc>
      </w:tr>
      <w:tr w:rsidR="00D92811" w:rsidRPr="00430B0B" w14:paraId="76B045B2" w14:textId="77777777" w:rsidTr="00F047D7">
        <w:trPr>
          <w:trHeight w:val="624"/>
          <w:jc w:val="center"/>
        </w:trPr>
        <w:tc>
          <w:tcPr>
            <w:tcW w:w="2042" w:type="pct"/>
            <w:shd w:val="clear" w:color="auto" w:fill="auto"/>
            <w:vAlign w:val="center"/>
          </w:tcPr>
          <w:p w14:paraId="74ACBC1F" w14:textId="77777777" w:rsidR="00D92811" w:rsidRPr="00430B0B" w:rsidRDefault="00D92811" w:rsidP="00F047D7">
            <w:pPr>
              <w:spacing w:before="60" w:after="60"/>
              <w:ind w:left="57"/>
              <w:jc w:val="right"/>
              <w:rPr>
                <w:rFonts w:ascii="Arial" w:hAnsi="Arial" w:cs="Arial"/>
                <w:b/>
                <w:sz w:val="20"/>
                <w:szCs w:val="20"/>
              </w:rPr>
            </w:pPr>
            <w:r w:rsidRPr="00430B0B">
              <w:rPr>
                <w:rFonts w:ascii="Arial" w:hAnsi="Arial" w:cs="Arial"/>
                <w:b/>
                <w:sz w:val="20"/>
                <w:szCs w:val="20"/>
              </w:rPr>
              <w:t>Constitución Federal:</w:t>
            </w:r>
          </w:p>
        </w:tc>
        <w:tc>
          <w:tcPr>
            <w:tcW w:w="2958" w:type="pct"/>
            <w:shd w:val="clear" w:color="auto" w:fill="auto"/>
            <w:vAlign w:val="center"/>
          </w:tcPr>
          <w:p w14:paraId="21B9F9C9" w14:textId="77777777" w:rsidR="00D92811" w:rsidRPr="00430B0B" w:rsidRDefault="00D92811" w:rsidP="00F047D7">
            <w:pPr>
              <w:spacing w:before="60" w:after="60"/>
              <w:ind w:left="57"/>
              <w:rPr>
                <w:rFonts w:ascii="Arial" w:hAnsi="Arial" w:cs="Arial"/>
                <w:sz w:val="20"/>
                <w:szCs w:val="20"/>
              </w:rPr>
            </w:pPr>
            <w:r w:rsidRPr="00430B0B">
              <w:rPr>
                <w:rFonts w:ascii="Arial" w:hAnsi="Arial" w:cs="Arial"/>
                <w:sz w:val="20"/>
                <w:szCs w:val="20"/>
              </w:rPr>
              <w:t>Constitución Política de los Estados Unidos Mexicanos.</w:t>
            </w:r>
          </w:p>
        </w:tc>
      </w:tr>
      <w:tr w:rsidR="00D92811" w:rsidRPr="00430B0B" w14:paraId="720513F4" w14:textId="77777777" w:rsidTr="00F047D7">
        <w:trPr>
          <w:trHeight w:val="624"/>
          <w:jc w:val="center"/>
        </w:trPr>
        <w:tc>
          <w:tcPr>
            <w:tcW w:w="2042" w:type="pct"/>
            <w:shd w:val="clear" w:color="auto" w:fill="auto"/>
            <w:vAlign w:val="center"/>
          </w:tcPr>
          <w:p w14:paraId="636EA7E9" w14:textId="77777777" w:rsidR="00D92811" w:rsidRPr="00430B0B" w:rsidRDefault="00D92811" w:rsidP="00F047D7">
            <w:pPr>
              <w:spacing w:before="60" w:after="60"/>
              <w:ind w:left="57"/>
              <w:jc w:val="right"/>
              <w:rPr>
                <w:rFonts w:ascii="Arial" w:hAnsi="Arial" w:cs="Arial"/>
                <w:b/>
                <w:sz w:val="20"/>
                <w:szCs w:val="20"/>
              </w:rPr>
            </w:pPr>
            <w:r w:rsidRPr="00430B0B">
              <w:rPr>
                <w:rFonts w:ascii="Arial" w:hAnsi="Arial" w:cs="Arial"/>
                <w:b/>
                <w:sz w:val="20"/>
                <w:szCs w:val="20"/>
              </w:rPr>
              <w:t>Constitución Local:</w:t>
            </w:r>
          </w:p>
        </w:tc>
        <w:tc>
          <w:tcPr>
            <w:tcW w:w="2958" w:type="pct"/>
            <w:shd w:val="clear" w:color="auto" w:fill="auto"/>
            <w:vAlign w:val="center"/>
          </w:tcPr>
          <w:p w14:paraId="272C855D" w14:textId="77777777" w:rsidR="00D92811" w:rsidRPr="00430B0B" w:rsidRDefault="00D92811" w:rsidP="00F047D7">
            <w:pPr>
              <w:spacing w:before="60" w:after="60"/>
              <w:ind w:left="57"/>
              <w:rPr>
                <w:rFonts w:ascii="Arial" w:hAnsi="Arial" w:cs="Arial"/>
                <w:sz w:val="20"/>
                <w:szCs w:val="20"/>
              </w:rPr>
            </w:pPr>
            <w:r w:rsidRPr="00430B0B">
              <w:rPr>
                <w:rFonts w:ascii="Arial" w:hAnsi="Arial" w:cs="Arial"/>
                <w:sz w:val="20"/>
                <w:szCs w:val="20"/>
              </w:rPr>
              <w:t>Constitución Política del Estado Libre y Soberano de Tabasco.</w:t>
            </w:r>
          </w:p>
        </w:tc>
      </w:tr>
      <w:tr w:rsidR="00D92811" w:rsidRPr="00430B0B" w14:paraId="057EAB7F" w14:textId="77777777" w:rsidTr="00F047D7">
        <w:trPr>
          <w:trHeight w:val="624"/>
          <w:jc w:val="center"/>
        </w:trPr>
        <w:tc>
          <w:tcPr>
            <w:tcW w:w="2042" w:type="pct"/>
            <w:shd w:val="clear" w:color="auto" w:fill="auto"/>
            <w:vAlign w:val="center"/>
          </w:tcPr>
          <w:p w14:paraId="0890F560" w14:textId="77777777" w:rsidR="00D92811" w:rsidRPr="00430B0B" w:rsidRDefault="00D92811" w:rsidP="00F047D7">
            <w:pPr>
              <w:spacing w:before="60" w:after="60"/>
              <w:ind w:left="57"/>
              <w:jc w:val="right"/>
              <w:rPr>
                <w:rFonts w:ascii="Arial" w:hAnsi="Arial" w:cs="Arial"/>
                <w:b/>
                <w:sz w:val="20"/>
                <w:szCs w:val="20"/>
              </w:rPr>
            </w:pPr>
            <w:r w:rsidRPr="00430B0B">
              <w:rPr>
                <w:rFonts w:ascii="Arial" w:hAnsi="Arial" w:cs="Arial"/>
                <w:b/>
                <w:sz w:val="20"/>
                <w:szCs w:val="20"/>
              </w:rPr>
              <w:t>Estatuto:</w:t>
            </w:r>
          </w:p>
        </w:tc>
        <w:tc>
          <w:tcPr>
            <w:tcW w:w="2958" w:type="pct"/>
            <w:shd w:val="clear" w:color="auto" w:fill="auto"/>
            <w:vAlign w:val="center"/>
          </w:tcPr>
          <w:p w14:paraId="3C2228A9" w14:textId="77777777" w:rsidR="00D92811" w:rsidRPr="00430B0B" w:rsidRDefault="00D92811" w:rsidP="00F047D7">
            <w:pPr>
              <w:spacing w:before="60" w:after="60"/>
              <w:ind w:left="57"/>
              <w:rPr>
                <w:rFonts w:ascii="Arial" w:hAnsi="Arial" w:cs="Arial"/>
                <w:sz w:val="20"/>
                <w:szCs w:val="20"/>
              </w:rPr>
            </w:pPr>
            <w:r w:rsidRPr="00430B0B">
              <w:rPr>
                <w:rFonts w:ascii="Arial" w:hAnsi="Arial" w:cs="Arial"/>
                <w:sz w:val="20"/>
                <w:szCs w:val="20"/>
              </w:rPr>
              <w:t>Estatuto del Servicio Profesional Electoral Nacional y de la Rama Administrativa aprobado por el Instituto Nacional Electoral.</w:t>
            </w:r>
          </w:p>
        </w:tc>
      </w:tr>
      <w:tr w:rsidR="00D92811" w:rsidRPr="00430B0B" w14:paraId="72F0EB69" w14:textId="77777777" w:rsidTr="00F047D7">
        <w:trPr>
          <w:trHeight w:val="624"/>
          <w:jc w:val="center"/>
        </w:trPr>
        <w:tc>
          <w:tcPr>
            <w:tcW w:w="2042" w:type="pct"/>
            <w:shd w:val="clear" w:color="auto" w:fill="auto"/>
            <w:vAlign w:val="center"/>
          </w:tcPr>
          <w:p w14:paraId="6785E147" w14:textId="77777777" w:rsidR="00D92811" w:rsidRPr="00430B0B" w:rsidRDefault="00D92811" w:rsidP="00F047D7">
            <w:pPr>
              <w:spacing w:before="60" w:after="60"/>
              <w:ind w:left="57"/>
              <w:jc w:val="right"/>
              <w:rPr>
                <w:rFonts w:ascii="Arial" w:hAnsi="Arial" w:cs="Arial"/>
                <w:b/>
                <w:sz w:val="20"/>
                <w:szCs w:val="20"/>
              </w:rPr>
            </w:pPr>
            <w:r w:rsidRPr="00430B0B">
              <w:rPr>
                <w:rFonts w:ascii="Arial" w:hAnsi="Arial" w:cs="Arial"/>
                <w:b/>
                <w:sz w:val="20"/>
                <w:szCs w:val="20"/>
              </w:rPr>
              <w:t>INE:</w:t>
            </w:r>
          </w:p>
        </w:tc>
        <w:tc>
          <w:tcPr>
            <w:tcW w:w="2958" w:type="pct"/>
            <w:shd w:val="clear" w:color="auto" w:fill="auto"/>
            <w:vAlign w:val="center"/>
          </w:tcPr>
          <w:p w14:paraId="16205F33" w14:textId="77777777" w:rsidR="00D92811" w:rsidRPr="00430B0B" w:rsidRDefault="00D92811" w:rsidP="00F047D7">
            <w:pPr>
              <w:spacing w:before="60" w:after="60"/>
              <w:ind w:left="57"/>
              <w:rPr>
                <w:rFonts w:ascii="Arial" w:hAnsi="Arial" w:cs="Arial"/>
                <w:sz w:val="20"/>
                <w:szCs w:val="20"/>
              </w:rPr>
            </w:pPr>
            <w:r w:rsidRPr="00430B0B">
              <w:rPr>
                <w:rFonts w:ascii="Arial" w:hAnsi="Arial" w:cs="Arial"/>
                <w:sz w:val="20"/>
                <w:szCs w:val="20"/>
              </w:rPr>
              <w:t>Instituto Nacional Electoral.</w:t>
            </w:r>
          </w:p>
        </w:tc>
      </w:tr>
      <w:tr w:rsidR="00D92811" w:rsidRPr="00430B0B" w14:paraId="2018C6E6" w14:textId="77777777" w:rsidTr="00F047D7">
        <w:trPr>
          <w:trHeight w:val="624"/>
          <w:jc w:val="center"/>
        </w:trPr>
        <w:tc>
          <w:tcPr>
            <w:tcW w:w="2042" w:type="pct"/>
            <w:shd w:val="clear" w:color="auto" w:fill="auto"/>
            <w:vAlign w:val="center"/>
          </w:tcPr>
          <w:p w14:paraId="1F840AB7" w14:textId="77777777" w:rsidR="00D92811" w:rsidRPr="00430B0B" w:rsidRDefault="00D92811" w:rsidP="00F047D7">
            <w:pPr>
              <w:spacing w:before="60" w:after="60"/>
              <w:ind w:left="57"/>
              <w:jc w:val="right"/>
              <w:rPr>
                <w:rFonts w:ascii="Arial" w:hAnsi="Arial" w:cs="Arial"/>
                <w:b/>
                <w:sz w:val="20"/>
                <w:szCs w:val="20"/>
              </w:rPr>
            </w:pPr>
            <w:r w:rsidRPr="00430B0B">
              <w:rPr>
                <w:rFonts w:ascii="Arial" w:hAnsi="Arial" w:cs="Arial"/>
                <w:b/>
                <w:sz w:val="20"/>
                <w:szCs w:val="20"/>
              </w:rPr>
              <w:t>Instituto Electoral:</w:t>
            </w:r>
          </w:p>
        </w:tc>
        <w:tc>
          <w:tcPr>
            <w:tcW w:w="2958" w:type="pct"/>
            <w:shd w:val="clear" w:color="auto" w:fill="auto"/>
          </w:tcPr>
          <w:p w14:paraId="279BD3CA" w14:textId="77777777" w:rsidR="00D92811" w:rsidRPr="00430B0B" w:rsidRDefault="00D92811" w:rsidP="00F047D7">
            <w:pPr>
              <w:spacing w:before="60" w:after="60"/>
              <w:ind w:left="57"/>
              <w:rPr>
                <w:rFonts w:ascii="Arial" w:hAnsi="Arial" w:cs="Arial"/>
                <w:sz w:val="20"/>
                <w:szCs w:val="20"/>
              </w:rPr>
            </w:pPr>
            <w:r w:rsidRPr="00430B0B">
              <w:rPr>
                <w:rFonts w:ascii="Arial" w:hAnsi="Arial" w:cs="Arial"/>
                <w:sz w:val="20"/>
                <w:szCs w:val="20"/>
              </w:rPr>
              <w:t>Instituto Electoral y de Participación Ciudadana de Tabasco.</w:t>
            </w:r>
          </w:p>
        </w:tc>
      </w:tr>
      <w:tr w:rsidR="00D92811" w:rsidRPr="00430B0B" w14:paraId="7C2F74AF" w14:textId="77777777" w:rsidTr="00F047D7">
        <w:trPr>
          <w:trHeight w:val="624"/>
          <w:jc w:val="center"/>
        </w:trPr>
        <w:tc>
          <w:tcPr>
            <w:tcW w:w="2042" w:type="pct"/>
            <w:shd w:val="clear" w:color="auto" w:fill="auto"/>
            <w:vAlign w:val="center"/>
          </w:tcPr>
          <w:p w14:paraId="71932936" w14:textId="77777777" w:rsidR="00D92811" w:rsidRPr="00430B0B" w:rsidRDefault="00D92811" w:rsidP="00F047D7">
            <w:pPr>
              <w:spacing w:before="60" w:after="60"/>
              <w:ind w:left="57"/>
              <w:jc w:val="right"/>
              <w:rPr>
                <w:rFonts w:ascii="Arial" w:hAnsi="Arial" w:cs="Arial"/>
                <w:b/>
                <w:sz w:val="20"/>
                <w:szCs w:val="20"/>
              </w:rPr>
            </w:pPr>
            <w:r w:rsidRPr="00430B0B">
              <w:rPr>
                <w:rFonts w:ascii="Arial" w:hAnsi="Arial" w:cs="Arial"/>
                <w:b/>
                <w:sz w:val="20"/>
                <w:szCs w:val="20"/>
              </w:rPr>
              <w:t>Ley Electoral:</w:t>
            </w:r>
          </w:p>
        </w:tc>
        <w:tc>
          <w:tcPr>
            <w:tcW w:w="2958" w:type="pct"/>
            <w:shd w:val="clear" w:color="auto" w:fill="auto"/>
            <w:vAlign w:val="center"/>
          </w:tcPr>
          <w:p w14:paraId="35A0FDA5" w14:textId="77777777" w:rsidR="00D92811" w:rsidRPr="00430B0B" w:rsidRDefault="00D92811" w:rsidP="00F047D7">
            <w:pPr>
              <w:spacing w:before="60" w:after="60"/>
              <w:ind w:left="57"/>
              <w:rPr>
                <w:rFonts w:ascii="Arial" w:hAnsi="Arial" w:cs="Arial"/>
                <w:sz w:val="20"/>
                <w:szCs w:val="20"/>
              </w:rPr>
            </w:pPr>
            <w:r w:rsidRPr="00430B0B">
              <w:rPr>
                <w:rFonts w:ascii="Arial" w:hAnsi="Arial" w:cs="Arial"/>
                <w:sz w:val="20"/>
                <w:szCs w:val="20"/>
              </w:rPr>
              <w:t>Ley Electoral y de Partidos Políticos del Estado de Tabasco.</w:t>
            </w:r>
          </w:p>
        </w:tc>
      </w:tr>
      <w:tr w:rsidR="00D92811" w:rsidRPr="00430B0B" w14:paraId="3142D55A" w14:textId="77777777" w:rsidTr="00F047D7">
        <w:trPr>
          <w:trHeight w:val="624"/>
          <w:jc w:val="center"/>
        </w:trPr>
        <w:tc>
          <w:tcPr>
            <w:tcW w:w="2042" w:type="pct"/>
            <w:shd w:val="clear" w:color="auto" w:fill="auto"/>
            <w:vAlign w:val="center"/>
          </w:tcPr>
          <w:p w14:paraId="439C644C" w14:textId="77777777" w:rsidR="00D92811" w:rsidRPr="00430B0B" w:rsidRDefault="00D92811" w:rsidP="00F047D7">
            <w:pPr>
              <w:spacing w:before="60" w:after="60"/>
              <w:ind w:left="57"/>
              <w:jc w:val="right"/>
              <w:rPr>
                <w:rFonts w:ascii="Arial" w:hAnsi="Arial" w:cs="Arial"/>
                <w:b/>
                <w:sz w:val="20"/>
                <w:szCs w:val="20"/>
              </w:rPr>
            </w:pPr>
            <w:r w:rsidRPr="00430B0B">
              <w:rPr>
                <w:rFonts w:ascii="Arial" w:hAnsi="Arial" w:cs="Arial"/>
                <w:b/>
                <w:sz w:val="20"/>
                <w:szCs w:val="20"/>
              </w:rPr>
              <w:t>Ley General:</w:t>
            </w:r>
          </w:p>
        </w:tc>
        <w:tc>
          <w:tcPr>
            <w:tcW w:w="2958" w:type="pct"/>
            <w:shd w:val="clear" w:color="auto" w:fill="auto"/>
            <w:vAlign w:val="center"/>
          </w:tcPr>
          <w:p w14:paraId="61C081DD" w14:textId="77777777" w:rsidR="00D92811" w:rsidRPr="00430B0B" w:rsidRDefault="00D92811" w:rsidP="00F047D7">
            <w:pPr>
              <w:spacing w:before="60" w:after="60"/>
              <w:ind w:left="57"/>
              <w:rPr>
                <w:rFonts w:ascii="Arial" w:hAnsi="Arial" w:cs="Arial"/>
                <w:sz w:val="20"/>
                <w:szCs w:val="20"/>
              </w:rPr>
            </w:pPr>
            <w:r w:rsidRPr="00430B0B">
              <w:rPr>
                <w:rFonts w:ascii="Arial" w:hAnsi="Arial" w:cs="Arial"/>
                <w:sz w:val="20"/>
                <w:szCs w:val="20"/>
              </w:rPr>
              <w:t>Ley General de Instituciones y Procedimientos Electorales.</w:t>
            </w:r>
          </w:p>
        </w:tc>
      </w:tr>
      <w:tr w:rsidR="00D92811" w:rsidRPr="00430B0B" w14:paraId="364155D6" w14:textId="77777777" w:rsidTr="00F047D7">
        <w:trPr>
          <w:trHeight w:val="624"/>
          <w:jc w:val="center"/>
        </w:trPr>
        <w:tc>
          <w:tcPr>
            <w:tcW w:w="2042" w:type="pct"/>
            <w:shd w:val="clear" w:color="auto" w:fill="auto"/>
            <w:vAlign w:val="center"/>
          </w:tcPr>
          <w:p w14:paraId="6BFF9DE8" w14:textId="77777777" w:rsidR="00D92811" w:rsidRPr="00430B0B" w:rsidRDefault="00D92811" w:rsidP="00F047D7">
            <w:pPr>
              <w:spacing w:before="60" w:after="60"/>
              <w:ind w:left="57"/>
              <w:jc w:val="right"/>
              <w:rPr>
                <w:rFonts w:ascii="Arial" w:hAnsi="Arial" w:cs="Arial"/>
                <w:b/>
                <w:sz w:val="20"/>
                <w:szCs w:val="20"/>
              </w:rPr>
            </w:pPr>
            <w:r w:rsidRPr="00430B0B">
              <w:rPr>
                <w:rFonts w:ascii="Arial" w:hAnsi="Arial" w:cs="Arial"/>
                <w:b/>
                <w:sz w:val="20"/>
                <w:szCs w:val="20"/>
              </w:rPr>
              <w:t>Lineamientos:</w:t>
            </w:r>
          </w:p>
        </w:tc>
        <w:tc>
          <w:tcPr>
            <w:tcW w:w="2958" w:type="pct"/>
            <w:shd w:val="clear" w:color="auto" w:fill="auto"/>
            <w:vAlign w:val="center"/>
          </w:tcPr>
          <w:p w14:paraId="4859C0AC" w14:textId="2AC11B7D" w:rsidR="00D92811" w:rsidRPr="00430B0B" w:rsidRDefault="00FB4FCD" w:rsidP="00F047D7">
            <w:pPr>
              <w:spacing w:before="60" w:after="60"/>
              <w:ind w:left="57"/>
              <w:rPr>
                <w:rFonts w:ascii="Arial" w:hAnsi="Arial" w:cs="Arial"/>
                <w:sz w:val="20"/>
                <w:szCs w:val="20"/>
              </w:rPr>
            </w:pPr>
            <w:r w:rsidRPr="00430B0B">
              <w:rPr>
                <w:rFonts w:ascii="Arial" w:hAnsi="Arial" w:cs="Arial"/>
                <w:sz w:val="20"/>
                <w:szCs w:val="20"/>
              </w:rPr>
              <w:t>Lineamientos para la evaluación del desempeño del personal del Servicio Profesional Electoral Nacional del sistema de los Organismos Públicos Locales Electorales.</w:t>
            </w:r>
          </w:p>
        </w:tc>
      </w:tr>
      <w:tr w:rsidR="00D92811" w:rsidRPr="00430B0B" w14:paraId="736218D5" w14:textId="77777777" w:rsidTr="00F047D7">
        <w:trPr>
          <w:trHeight w:val="624"/>
          <w:jc w:val="center"/>
        </w:trPr>
        <w:tc>
          <w:tcPr>
            <w:tcW w:w="2042" w:type="pct"/>
            <w:shd w:val="clear" w:color="auto" w:fill="auto"/>
            <w:vAlign w:val="center"/>
          </w:tcPr>
          <w:p w14:paraId="0386B3EF" w14:textId="77777777" w:rsidR="00D92811" w:rsidRPr="00430B0B" w:rsidRDefault="00D92811" w:rsidP="00F047D7">
            <w:pPr>
              <w:spacing w:before="60" w:after="60"/>
              <w:ind w:left="57"/>
              <w:jc w:val="right"/>
              <w:rPr>
                <w:rFonts w:ascii="Arial" w:hAnsi="Arial" w:cs="Arial"/>
                <w:b/>
                <w:sz w:val="20"/>
                <w:szCs w:val="20"/>
              </w:rPr>
            </w:pPr>
            <w:r w:rsidRPr="00430B0B">
              <w:rPr>
                <w:rFonts w:ascii="Arial" w:hAnsi="Arial" w:cs="Arial"/>
                <w:b/>
                <w:sz w:val="20"/>
                <w:szCs w:val="20"/>
              </w:rPr>
              <w:lastRenderedPageBreak/>
              <w:t>Organismo electoral:</w:t>
            </w:r>
          </w:p>
        </w:tc>
        <w:tc>
          <w:tcPr>
            <w:tcW w:w="2958" w:type="pct"/>
            <w:shd w:val="clear" w:color="auto" w:fill="auto"/>
            <w:vAlign w:val="center"/>
          </w:tcPr>
          <w:p w14:paraId="61B18C59" w14:textId="77777777" w:rsidR="00D92811" w:rsidRPr="00430B0B" w:rsidRDefault="00D92811" w:rsidP="00F047D7">
            <w:pPr>
              <w:spacing w:before="60" w:after="60"/>
              <w:ind w:left="57"/>
              <w:rPr>
                <w:rFonts w:ascii="Arial" w:hAnsi="Arial" w:cs="Arial"/>
                <w:sz w:val="20"/>
                <w:szCs w:val="20"/>
              </w:rPr>
            </w:pPr>
            <w:r w:rsidRPr="00430B0B">
              <w:rPr>
                <w:rFonts w:ascii="Arial" w:hAnsi="Arial" w:cs="Arial"/>
                <w:sz w:val="20"/>
                <w:szCs w:val="20"/>
              </w:rPr>
              <w:t xml:space="preserve">Organismo(s) público(s) local(es) electoral(es). </w:t>
            </w:r>
          </w:p>
        </w:tc>
      </w:tr>
      <w:tr w:rsidR="00D92811" w:rsidRPr="00430B0B" w14:paraId="7641AA98" w14:textId="77777777" w:rsidTr="00F047D7">
        <w:trPr>
          <w:trHeight w:val="624"/>
          <w:jc w:val="center"/>
        </w:trPr>
        <w:tc>
          <w:tcPr>
            <w:tcW w:w="2042" w:type="pct"/>
            <w:shd w:val="clear" w:color="auto" w:fill="auto"/>
            <w:vAlign w:val="center"/>
          </w:tcPr>
          <w:p w14:paraId="155F8FCE" w14:textId="77777777" w:rsidR="00D92811" w:rsidRPr="00430B0B" w:rsidRDefault="00D92811" w:rsidP="00F047D7">
            <w:pPr>
              <w:spacing w:before="60" w:after="60"/>
              <w:ind w:left="57"/>
              <w:jc w:val="right"/>
              <w:rPr>
                <w:rFonts w:ascii="Arial" w:hAnsi="Arial" w:cs="Arial"/>
                <w:b/>
                <w:sz w:val="20"/>
                <w:szCs w:val="20"/>
              </w:rPr>
            </w:pPr>
            <w:r w:rsidRPr="00430B0B">
              <w:rPr>
                <w:rFonts w:ascii="Arial" w:hAnsi="Arial" w:cs="Arial"/>
                <w:b/>
                <w:sz w:val="20"/>
                <w:szCs w:val="20"/>
              </w:rPr>
              <w:t>Órgano de Enlace:</w:t>
            </w:r>
          </w:p>
        </w:tc>
        <w:tc>
          <w:tcPr>
            <w:tcW w:w="2958" w:type="pct"/>
            <w:shd w:val="clear" w:color="auto" w:fill="auto"/>
            <w:vAlign w:val="center"/>
          </w:tcPr>
          <w:p w14:paraId="0E1C7F05" w14:textId="77777777" w:rsidR="00D92811" w:rsidRPr="00430B0B" w:rsidRDefault="00D92811" w:rsidP="00F047D7">
            <w:pPr>
              <w:spacing w:before="60" w:after="60"/>
              <w:ind w:left="57"/>
              <w:rPr>
                <w:rFonts w:ascii="Arial" w:hAnsi="Arial" w:cs="Arial"/>
                <w:sz w:val="20"/>
                <w:szCs w:val="20"/>
              </w:rPr>
            </w:pPr>
            <w:r w:rsidRPr="00430B0B">
              <w:rPr>
                <w:rFonts w:ascii="Arial" w:hAnsi="Arial" w:cs="Arial"/>
                <w:sz w:val="20"/>
                <w:szCs w:val="20"/>
              </w:rPr>
              <w:t>Órgano de Enlace del SPEN del Instituto Electoral y de Participación Ciudadana de Tabasco.</w:t>
            </w:r>
          </w:p>
        </w:tc>
      </w:tr>
      <w:tr w:rsidR="00D92811" w:rsidRPr="00430B0B" w14:paraId="447C89E3" w14:textId="77777777" w:rsidTr="00F047D7">
        <w:trPr>
          <w:trHeight w:val="624"/>
          <w:jc w:val="center"/>
        </w:trPr>
        <w:tc>
          <w:tcPr>
            <w:tcW w:w="2042" w:type="pct"/>
            <w:shd w:val="clear" w:color="auto" w:fill="auto"/>
            <w:vAlign w:val="center"/>
          </w:tcPr>
          <w:p w14:paraId="503A89DF" w14:textId="77777777" w:rsidR="00D92811" w:rsidRPr="00430B0B" w:rsidRDefault="00D92811" w:rsidP="00F047D7">
            <w:pPr>
              <w:spacing w:before="60" w:after="60"/>
              <w:ind w:left="57"/>
              <w:jc w:val="right"/>
              <w:rPr>
                <w:rFonts w:ascii="Arial" w:hAnsi="Arial" w:cs="Arial"/>
                <w:b/>
                <w:sz w:val="20"/>
                <w:szCs w:val="20"/>
              </w:rPr>
            </w:pPr>
            <w:r w:rsidRPr="00430B0B">
              <w:rPr>
                <w:rFonts w:ascii="Arial" w:hAnsi="Arial" w:cs="Arial"/>
                <w:b/>
                <w:sz w:val="20"/>
                <w:szCs w:val="20"/>
              </w:rPr>
              <w:t>Reglamento de Comisiones:</w:t>
            </w:r>
          </w:p>
        </w:tc>
        <w:tc>
          <w:tcPr>
            <w:tcW w:w="2958" w:type="pct"/>
            <w:shd w:val="clear" w:color="auto" w:fill="auto"/>
            <w:vAlign w:val="center"/>
          </w:tcPr>
          <w:p w14:paraId="70C80534" w14:textId="77777777" w:rsidR="00D92811" w:rsidRPr="00430B0B" w:rsidRDefault="00D92811" w:rsidP="00F047D7">
            <w:pPr>
              <w:spacing w:before="60" w:after="60"/>
              <w:ind w:left="57"/>
              <w:rPr>
                <w:rFonts w:ascii="Arial" w:hAnsi="Arial" w:cs="Arial"/>
                <w:sz w:val="20"/>
                <w:szCs w:val="20"/>
              </w:rPr>
            </w:pPr>
            <w:r w:rsidRPr="00430B0B">
              <w:rPr>
                <w:rFonts w:ascii="Arial" w:hAnsi="Arial" w:cs="Arial"/>
                <w:sz w:val="20"/>
                <w:szCs w:val="20"/>
              </w:rPr>
              <w:t>Reglamento de Comisiones del Consejo Estatal.</w:t>
            </w:r>
          </w:p>
        </w:tc>
      </w:tr>
      <w:tr w:rsidR="00D92811" w:rsidRPr="00430B0B" w14:paraId="2CE6E6F3" w14:textId="77777777" w:rsidTr="00F047D7">
        <w:trPr>
          <w:trHeight w:val="624"/>
          <w:jc w:val="center"/>
        </w:trPr>
        <w:tc>
          <w:tcPr>
            <w:tcW w:w="2042" w:type="pct"/>
            <w:shd w:val="clear" w:color="auto" w:fill="auto"/>
            <w:vAlign w:val="center"/>
          </w:tcPr>
          <w:p w14:paraId="78C295D0" w14:textId="77777777" w:rsidR="00D92811" w:rsidRPr="00430B0B" w:rsidRDefault="00D92811" w:rsidP="00F047D7">
            <w:pPr>
              <w:spacing w:before="60" w:after="60"/>
              <w:ind w:left="57"/>
              <w:jc w:val="right"/>
              <w:rPr>
                <w:rFonts w:ascii="Arial" w:hAnsi="Arial" w:cs="Arial"/>
                <w:b/>
                <w:sz w:val="20"/>
                <w:szCs w:val="20"/>
              </w:rPr>
            </w:pPr>
            <w:r w:rsidRPr="00430B0B">
              <w:rPr>
                <w:rFonts w:ascii="Arial" w:hAnsi="Arial" w:cs="Arial"/>
                <w:b/>
                <w:sz w:val="20"/>
                <w:szCs w:val="20"/>
              </w:rPr>
              <w:t>Secretaría Ejecutiva:</w:t>
            </w:r>
          </w:p>
        </w:tc>
        <w:tc>
          <w:tcPr>
            <w:tcW w:w="2958" w:type="pct"/>
            <w:shd w:val="clear" w:color="auto" w:fill="auto"/>
            <w:vAlign w:val="center"/>
          </w:tcPr>
          <w:p w14:paraId="5BFA5049" w14:textId="77777777" w:rsidR="00D92811" w:rsidRPr="00430B0B" w:rsidRDefault="00D92811" w:rsidP="00F047D7">
            <w:pPr>
              <w:spacing w:before="60" w:after="60"/>
              <w:ind w:left="57"/>
              <w:rPr>
                <w:rFonts w:ascii="Arial" w:hAnsi="Arial" w:cs="Arial"/>
                <w:sz w:val="20"/>
                <w:szCs w:val="20"/>
              </w:rPr>
            </w:pPr>
            <w:r w:rsidRPr="00430B0B">
              <w:rPr>
                <w:rFonts w:ascii="Arial" w:hAnsi="Arial" w:cs="Arial"/>
                <w:sz w:val="20"/>
                <w:szCs w:val="20"/>
              </w:rPr>
              <w:t>Secretaría Ejecutiva del Instituto Electoral y de Participación Ciudadana de Tabasco.</w:t>
            </w:r>
          </w:p>
        </w:tc>
      </w:tr>
      <w:tr w:rsidR="00D92811" w:rsidRPr="00430B0B" w14:paraId="05300177" w14:textId="77777777" w:rsidTr="00F047D7">
        <w:trPr>
          <w:trHeight w:val="624"/>
          <w:jc w:val="center"/>
        </w:trPr>
        <w:tc>
          <w:tcPr>
            <w:tcW w:w="2042" w:type="pct"/>
            <w:shd w:val="clear" w:color="auto" w:fill="auto"/>
            <w:vAlign w:val="center"/>
          </w:tcPr>
          <w:p w14:paraId="3136B75E" w14:textId="77777777" w:rsidR="00D92811" w:rsidRPr="00430B0B" w:rsidRDefault="00D92811" w:rsidP="00F047D7">
            <w:pPr>
              <w:spacing w:before="60" w:after="60"/>
              <w:ind w:left="57"/>
              <w:jc w:val="right"/>
              <w:rPr>
                <w:rFonts w:ascii="Arial" w:hAnsi="Arial" w:cs="Arial"/>
                <w:b/>
                <w:sz w:val="20"/>
                <w:szCs w:val="20"/>
              </w:rPr>
            </w:pPr>
            <w:r w:rsidRPr="00430B0B">
              <w:rPr>
                <w:rFonts w:ascii="Arial" w:hAnsi="Arial" w:cs="Arial"/>
                <w:b/>
                <w:sz w:val="20"/>
                <w:szCs w:val="20"/>
              </w:rPr>
              <w:t>Servicio Profesional:</w:t>
            </w:r>
          </w:p>
        </w:tc>
        <w:tc>
          <w:tcPr>
            <w:tcW w:w="2958" w:type="pct"/>
            <w:shd w:val="clear" w:color="auto" w:fill="auto"/>
            <w:vAlign w:val="center"/>
          </w:tcPr>
          <w:p w14:paraId="1B2568BE" w14:textId="77777777" w:rsidR="00D92811" w:rsidRPr="00430B0B" w:rsidRDefault="00D92811" w:rsidP="00F047D7">
            <w:pPr>
              <w:spacing w:before="60" w:after="60"/>
              <w:ind w:left="57"/>
              <w:rPr>
                <w:rFonts w:ascii="Arial" w:hAnsi="Arial" w:cs="Arial"/>
                <w:sz w:val="20"/>
                <w:szCs w:val="20"/>
              </w:rPr>
            </w:pPr>
            <w:r w:rsidRPr="00430B0B">
              <w:rPr>
                <w:rFonts w:ascii="Arial" w:hAnsi="Arial" w:cs="Arial"/>
                <w:sz w:val="20"/>
                <w:szCs w:val="20"/>
              </w:rPr>
              <w:t>Servicio Profesional Electoral Nacional.</w:t>
            </w:r>
          </w:p>
        </w:tc>
      </w:tr>
    </w:tbl>
    <w:p w14:paraId="4A967E62" w14:textId="77777777" w:rsidR="00D92811" w:rsidRPr="00F0315B" w:rsidRDefault="00D92811" w:rsidP="00F0315B">
      <w:pPr>
        <w:pStyle w:val="Ttulo1"/>
      </w:pPr>
      <w:r w:rsidRPr="00F0315B">
        <w:t>Antecedentes</w:t>
      </w:r>
    </w:p>
    <w:p w14:paraId="0A7B4B2C" w14:textId="77777777" w:rsidR="00D92811" w:rsidRPr="00430B0B" w:rsidRDefault="00D92811" w:rsidP="00D92811">
      <w:pPr>
        <w:pStyle w:val="Ttulo2"/>
        <w:rPr>
          <w:rFonts w:ascii="Arial" w:hAnsi="Arial" w:cs="Arial"/>
          <w:sz w:val="22"/>
          <w:szCs w:val="22"/>
        </w:rPr>
      </w:pPr>
      <w:r w:rsidRPr="00430B0B">
        <w:rPr>
          <w:rFonts w:ascii="Arial" w:hAnsi="Arial" w:cs="Arial"/>
          <w:sz w:val="22"/>
          <w:szCs w:val="22"/>
        </w:rPr>
        <w:t>Fines del Instituto</w:t>
      </w:r>
    </w:p>
    <w:p w14:paraId="36FF9B18" w14:textId="77777777" w:rsidR="00D92811" w:rsidRPr="00430B0B" w:rsidRDefault="00D92811" w:rsidP="00D92811">
      <w:pPr>
        <w:rPr>
          <w:rFonts w:ascii="Arial" w:hAnsi="Arial" w:cs="Arial"/>
          <w:sz w:val="22"/>
          <w:szCs w:val="22"/>
        </w:rPr>
      </w:pPr>
      <w:r w:rsidRPr="00430B0B">
        <w:rPr>
          <w:rFonts w:ascii="Arial" w:hAnsi="Arial" w:cs="Arial"/>
          <w:sz w:val="22"/>
          <w:szCs w:val="22"/>
        </w:rPr>
        <w:t>De conformidad con la fracción I del Apartado C, del artículo 9, párrafo tercero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06EDC5D5" w14:textId="0A47D05E" w:rsidR="00D92811" w:rsidRPr="00430B0B" w:rsidRDefault="00D92811" w:rsidP="00D92811">
      <w:pPr>
        <w:rPr>
          <w:rFonts w:ascii="Arial" w:hAnsi="Arial" w:cs="Arial"/>
          <w:sz w:val="22"/>
          <w:szCs w:val="22"/>
        </w:rPr>
      </w:pPr>
      <w:r w:rsidRPr="00430B0B">
        <w:rPr>
          <w:rFonts w:ascii="Arial" w:hAnsi="Arial" w:cs="Arial"/>
          <w:sz w:val="22"/>
          <w:szCs w:val="22"/>
        </w:rPr>
        <w:t>Además, es responsable de la organización de las elecciones estatal</w:t>
      </w:r>
      <w:r w:rsidR="009C44AE" w:rsidRPr="00430B0B">
        <w:rPr>
          <w:rFonts w:ascii="Arial" w:hAnsi="Arial" w:cs="Arial"/>
          <w:sz w:val="22"/>
          <w:szCs w:val="22"/>
        </w:rPr>
        <w:t>es</w:t>
      </w:r>
      <w:r w:rsidRPr="00430B0B">
        <w:rPr>
          <w:rFonts w:ascii="Arial" w:hAnsi="Arial" w:cs="Arial"/>
          <w:sz w:val="22"/>
          <w:szCs w:val="22"/>
        </w:rPr>
        <w:t xml:space="preserve">, distritales y municipales, entre ellas la relativa a las personas titulares de las magistraturas del Tribunal de Disciplina Judicial y del Tribunal Superior de Justicia, así como de las Juezas y Jueces. </w:t>
      </w:r>
    </w:p>
    <w:p w14:paraId="6ACB353F" w14:textId="77777777" w:rsidR="00D92811" w:rsidRPr="00430B0B" w:rsidRDefault="00D92811" w:rsidP="00D92811">
      <w:pPr>
        <w:rPr>
          <w:rFonts w:ascii="Arial" w:hAnsi="Arial" w:cs="Arial"/>
          <w:sz w:val="22"/>
          <w:szCs w:val="22"/>
        </w:rPr>
      </w:pPr>
      <w:r w:rsidRPr="00430B0B">
        <w:rPr>
          <w:rFonts w:ascii="Arial" w:hAnsi="Arial" w:cs="Arial"/>
          <w:sz w:val="22"/>
          <w:szCs w:val="22"/>
        </w:rPr>
        <w:t xml:space="preserve">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Judicial y los Ayuntamientos del Estado, velar por la autenticidad y efectividad del voto, llevar a cabo la promoción del voto </w:t>
      </w:r>
      <w:r w:rsidRPr="00430B0B">
        <w:rPr>
          <w:rFonts w:ascii="Arial" w:hAnsi="Arial" w:cs="Arial"/>
          <w:sz w:val="22"/>
          <w:szCs w:val="22"/>
        </w:rPr>
        <w:lastRenderedPageBreak/>
        <w:t>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w:t>
      </w:r>
    </w:p>
    <w:p w14:paraId="10C6ACEC" w14:textId="77777777" w:rsidR="00D92811" w:rsidRPr="00430B0B" w:rsidRDefault="00D92811" w:rsidP="00D92811">
      <w:pPr>
        <w:pStyle w:val="Ttulo2"/>
        <w:rPr>
          <w:rFonts w:ascii="Arial" w:hAnsi="Arial" w:cs="Arial"/>
          <w:sz w:val="22"/>
          <w:szCs w:val="22"/>
        </w:rPr>
      </w:pPr>
      <w:r w:rsidRPr="00430B0B">
        <w:rPr>
          <w:rFonts w:ascii="Arial" w:hAnsi="Arial" w:cs="Arial"/>
          <w:sz w:val="22"/>
          <w:szCs w:val="22"/>
        </w:rPr>
        <w:t>Integración del órgano superior de dirección</w:t>
      </w:r>
    </w:p>
    <w:p w14:paraId="30E4971A" w14:textId="77777777" w:rsidR="00D92811" w:rsidRPr="00430B0B" w:rsidRDefault="00D92811" w:rsidP="00D92811">
      <w:pPr>
        <w:rPr>
          <w:rFonts w:ascii="Arial" w:hAnsi="Arial" w:cs="Arial"/>
          <w:sz w:val="22"/>
          <w:szCs w:val="22"/>
        </w:rPr>
      </w:pPr>
      <w:r w:rsidRPr="00430B0B">
        <w:rPr>
          <w:rFonts w:ascii="Arial" w:hAnsi="Arial" w:cs="Arial"/>
          <w:sz w:val="22"/>
          <w:szCs w:val="22"/>
        </w:rPr>
        <w:t>En términos del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4C859138" w14:textId="77777777" w:rsidR="00D92811" w:rsidRPr="00430B0B" w:rsidRDefault="00D92811" w:rsidP="00D92811">
      <w:pPr>
        <w:rPr>
          <w:rFonts w:ascii="Arial" w:hAnsi="Arial" w:cs="Arial"/>
          <w:sz w:val="22"/>
          <w:szCs w:val="22"/>
        </w:rPr>
      </w:pPr>
      <w:r w:rsidRPr="00430B0B">
        <w:rPr>
          <w:rFonts w:ascii="Arial" w:hAnsi="Arial" w:cs="Arial"/>
          <w:sz w:val="22"/>
          <w:szCs w:val="22"/>
        </w:rPr>
        <w:t>Dicho órgano, de conformidad con los artículos 99 de la Ley General y 107 numeral 1 de la Ley Electoral, disponen que el Consejo Estatal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3B20E3D7" w14:textId="77777777" w:rsidR="00D92811" w:rsidRPr="00430B0B" w:rsidRDefault="00D92811" w:rsidP="00D92811">
      <w:pPr>
        <w:pStyle w:val="Ttulo2"/>
        <w:rPr>
          <w:rFonts w:ascii="Arial" w:hAnsi="Arial" w:cs="Arial"/>
          <w:sz w:val="22"/>
          <w:szCs w:val="22"/>
        </w:rPr>
      </w:pPr>
      <w:r w:rsidRPr="00430B0B">
        <w:rPr>
          <w:rFonts w:ascii="Arial" w:hAnsi="Arial" w:cs="Arial"/>
          <w:sz w:val="22"/>
          <w:szCs w:val="22"/>
        </w:rPr>
        <w:t>Lineamientos para la evaluación del desempeño</w:t>
      </w:r>
    </w:p>
    <w:p w14:paraId="77D1886B" w14:textId="431C1D23" w:rsidR="00D92811" w:rsidRPr="00430B0B" w:rsidRDefault="00D92811" w:rsidP="00D92811">
      <w:pPr>
        <w:rPr>
          <w:rFonts w:ascii="Arial" w:hAnsi="Arial" w:cs="Arial"/>
          <w:sz w:val="22"/>
          <w:szCs w:val="22"/>
        </w:rPr>
      </w:pPr>
      <w:r w:rsidRPr="00430B0B">
        <w:rPr>
          <w:rFonts w:ascii="Arial" w:hAnsi="Arial" w:cs="Arial"/>
          <w:sz w:val="22"/>
          <w:szCs w:val="22"/>
        </w:rPr>
        <w:t>El 31 de agosto de 2022, la Junta General del INE, mediante acuerdo INE/JGE175/2022 aprobó los Lineamientos, los cuales tienen por objeto regular la operación de la evaluación del desempeño del personal del Servicio</w:t>
      </w:r>
      <w:r w:rsidR="00D838A0" w:rsidRPr="00430B0B">
        <w:rPr>
          <w:rFonts w:ascii="Arial" w:hAnsi="Arial" w:cs="Arial"/>
          <w:sz w:val="22"/>
          <w:szCs w:val="22"/>
        </w:rPr>
        <w:t xml:space="preserve"> Profesional</w:t>
      </w:r>
      <w:r w:rsidRPr="00430B0B">
        <w:rPr>
          <w:rFonts w:ascii="Arial" w:hAnsi="Arial" w:cs="Arial"/>
          <w:sz w:val="22"/>
          <w:szCs w:val="22"/>
        </w:rPr>
        <w:t xml:space="preserve"> y de las personas que ocupen un cargo o puesto </w:t>
      </w:r>
      <w:r w:rsidR="00D838A0" w:rsidRPr="00430B0B">
        <w:rPr>
          <w:rFonts w:ascii="Arial" w:hAnsi="Arial" w:cs="Arial"/>
          <w:sz w:val="22"/>
          <w:szCs w:val="22"/>
        </w:rPr>
        <w:t>en éste</w:t>
      </w:r>
      <w:r w:rsidRPr="00430B0B">
        <w:rPr>
          <w:rFonts w:ascii="Arial" w:hAnsi="Arial" w:cs="Arial"/>
          <w:sz w:val="22"/>
          <w:szCs w:val="22"/>
        </w:rPr>
        <w:t>, tanto en una perspectiva anual, como de ciclos trianuales</w:t>
      </w:r>
      <w:r w:rsidR="006963AE" w:rsidRPr="00430B0B">
        <w:rPr>
          <w:rFonts w:ascii="Arial" w:hAnsi="Arial" w:cs="Arial"/>
          <w:sz w:val="22"/>
          <w:szCs w:val="22"/>
        </w:rPr>
        <w:t>.</w:t>
      </w:r>
    </w:p>
    <w:p w14:paraId="3C6B5E7E" w14:textId="77777777" w:rsidR="00D92811" w:rsidRPr="00430B0B" w:rsidRDefault="00D92811" w:rsidP="00D92811">
      <w:pPr>
        <w:rPr>
          <w:rFonts w:ascii="Arial" w:hAnsi="Arial" w:cs="Arial"/>
          <w:sz w:val="22"/>
          <w:szCs w:val="22"/>
        </w:rPr>
      </w:pPr>
      <w:r w:rsidRPr="00430B0B">
        <w:rPr>
          <w:rFonts w:ascii="Arial" w:hAnsi="Arial" w:cs="Arial"/>
          <w:sz w:val="22"/>
          <w:szCs w:val="22"/>
        </w:rPr>
        <w:t>Asimismo, los Lineamientos señalados determinan los criterios a aplicar, las personas evaluadoras y sus atribuciones, el personal a evaluar y sus responsabilidades, los procedimientos, los factores cualitativos y cuantitativos, así como sus ponderaciones, para valorar de manera objetiva, transparente e imparcial, el desempeño de forma anual y trianual.</w:t>
      </w:r>
    </w:p>
    <w:p w14:paraId="479F00BA" w14:textId="3E0475E5" w:rsidR="00D92811" w:rsidRPr="00430B0B" w:rsidRDefault="00D92811" w:rsidP="00D92811">
      <w:pPr>
        <w:pStyle w:val="Ttulo2"/>
        <w:rPr>
          <w:rFonts w:ascii="Arial" w:hAnsi="Arial" w:cs="Arial"/>
          <w:sz w:val="22"/>
          <w:szCs w:val="22"/>
        </w:rPr>
      </w:pPr>
      <w:r w:rsidRPr="00430B0B">
        <w:rPr>
          <w:rFonts w:ascii="Arial" w:hAnsi="Arial" w:cs="Arial"/>
          <w:sz w:val="22"/>
          <w:szCs w:val="22"/>
        </w:rPr>
        <w:t>Aprobación del primer bloque de metas</w:t>
      </w:r>
    </w:p>
    <w:p w14:paraId="39EBB0A5" w14:textId="0BC3F85D" w:rsidR="00D92811" w:rsidRPr="00430B0B" w:rsidRDefault="00D92811" w:rsidP="00D92811">
      <w:pPr>
        <w:rPr>
          <w:rFonts w:ascii="Arial" w:hAnsi="Arial" w:cs="Arial"/>
          <w:sz w:val="22"/>
          <w:szCs w:val="22"/>
        </w:rPr>
      </w:pPr>
      <w:r w:rsidRPr="00430B0B">
        <w:rPr>
          <w:rFonts w:ascii="Arial" w:hAnsi="Arial" w:cs="Arial"/>
          <w:sz w:val="22"/>
          <w:szCs w:val="22"/>
        </w:rPr>
        <w:t xml:space="preserve">El 31 de agosto de 2023, mediante acuerdo INE/JGE155/2023, la Junta General Ejecutiva del INE aprobó el primer bloque de metas para la evaluación del desempeño del personal </w:t>
      </w:r>
      <w:r w:rsidRPr="00430B0B">
        <w:rPr>
          <w:rFonts w:ascii="Arial" w:hAnsi="Arial" w:cs="Arial"/>
          <w:sz w:val="22"/>
          <w:szCs w:val="22"/>
        </w:rPr>
        <w:lastRenderedPageBreak/>
        <w:t>del Servicio Profesional del Sistema de los Organismos Electorales, correspondiente al periodo septiembre 2023 a agosto 2024.</w:t>
      </w:r>
    </w:p>
    <w:p w14:paraId="7C369F20" w14:textId="71C03DDA" w:rsidR="00FB4FCD" w:rsidRPr="00430B0B" w:rsidRDefault="00FB4FCD" w:rsidP="00FB4FCD">
      <w:pPr>
        <w:pStyle w:val="Ttulo2"/>
        <w:rPr>
          <w:rFonts w:ascii="Arial" w:hAnsi="Arial" w:cs="Arial"/>
          <w:sz w:val="22"/>
          <w:szCs w:val="22"/>
        </w:rPr>
      </w:pPr>
      <w:r w:rsidRPr="00430B0B">
        <w:rPr>
          <w:rFonts w:ascii="Arial" w:hAnsi="Arial" w:cs="Arial"/>
          <w:sz w:val="22"/>
          <w:szCs w:val="22"/>
        </w:rPr>
        <w:t>Aprobación del segundo bloque de metas</w:t>
      </w:r>
    </w:p>
    <w:p w14:paraId="2201A196" w14:textId="11F8AAFA" w:rsidR="00FB4FCD" w:rsidRPr="00430B0B" w:rsidRDefault="00FB4FCD" w:rsidP="00FB4FCD">
      <w:pPr>
        <w:rPr>
          <w:rFonts w:ascii="Arial" w:hAnsi="Arial" w:cs="Arial"/>
          <w:sz w:val="22"/>
          <w:szCs w:val="22"/>
        </w:rPr>
      </w:pPr>
      <w:r w:rsidRPr="00430B0B">
        <w:rPr>
          <w:rFonts w:ascii="Arial" w:hAnsi="Arial" w:cs="Arial"/>
          <w:sz w:val="22"/>
          <w:szCs w:val="22"/>
        </w:rPr>
        <w:t>El 23 de octubre de 2023, mediante acuerdo INE/JGE189/2023, la Junta General Ejecutiva del INE aprobó el segundo bloque de metas para la evaluación del desempeño del personal del Servicio Profesional del Sistema de los Organismos Electorales, correspondiente al periodo septiembre 2023 a agosto 2024 y la modificación de dos metas colectivas aprobadas previamente.</w:t>
      </w:r>
    </w:p>
    <w:p w14:paraId="21E47D6A" w14:textId="77777777" w:rsidR="00D92811" w:rsidRPr="00430B0B" w:rsidRDefault="00D92811" w:rsidP="00D92811">
      <w:pPr>
        <w:pStyle w:val="Ttulo2"/>
        <w:rPr>
          <w:rFonts w:ascii="Arial" w:hAnsi="Arial" w:cs="Arial"/>
          <w:sz w:val="22"/>
          <w:szCs w:val="22"/>
        </w:rPr>
      </w:pPr>
      <w:r w:rsidRPr="00430B0B">
        <w:rPr>
          <w:rFonts w:ascii="Arial" w:hAnsi="Arial" w:cs="Arial"/>
          <w:sz w:val="22"/>
          <w:szCs w:val="22"/>
        </w:rPr>
        <w:t>Integración de la Comisión</w:t>
      </w:r>
    </w:p>
    <w:p w14:paraId="55AC0C52" w14:textId="77777777" w:rsidR="00D92811" w:rsidRPr="00430B0B" w:rsidRDefault="00D92811" w:rsidP="00D92811">
      <w:pPr>
        <w:rPr>
          <w:rFonts w:ascii="Arial" w:hAnsi="Arial" w:cs="Arial"/>
          <w:sz w:val="22"/>
          <w:szCs w:val="22"/>
        </w:rPr>
      </w:pPr>
      <w:r w:rsidRPr="00430B0B">
        <w:rPr>
          <w:rFonts w:ascii="Arial" w:hAnsi="Arial" w:cs="Arial"/>
          <w:sz w:val="22"/>
          <w:szCs w:val="22"/>
        </w:rPr>
        <w:t xml:space="preserve">El 4 de octubre de 2024, mediante acuerdo CE/2024/090, el Consejo Estatal modificó la conformación de las Comisiones Permanentes, entre ellas la relativa a la de Seguimiento al Servicio Profesional Electoral Nacional quedando integrada por las Consejeras Electorales Licda. María Elvia Magaña Sandoval, Licda. Monserrat Martínez </w:t>
      </w:r>
      <w:proofErr w:type="spellStart"/>
      <w:r w:rsidRPr="00430B0B">
        <w:rPr>
          <w:rFonts w:ascii="Arial" w:hAnsi="Arial" w:cs="Arial"/>
          <w:sz w:val="22"/>
          <w:szCs w:val="22"/>
        </w:rPr>
        <w:t>Beaurregard</w:t>
      </w:r>
      <w:proofErr w:type="spellEnd"/>
      <w:r w:rsidRPr="00430B0B">
        <w:rPr>
          <w:rFonts w:ascii="Arial" w:hAnsi="Arial" w:cs="Arial"/>
          <w:sz w:val="22"/>
          <w:szCs w:val="22"/>
        </w:rPr>
        <w:t xml:space="preserve"> y Licda. Ángela Guadalupe Araujo Segura, quien funge como Presidenta de la Comisión.</w:t>
      </w:r>
    </w:p>
    <w:p w14:paraId="44618433" w14:textId="77777777" w:rsidR="00D92811" w:rsidRPr="00430B0B" w:rsidRDefault="00D92811" w:rsidP="00D92811">
      <w:pPr>
        <w:pStyle w:val="Ttulo2"/>
        <w:rPr>
          <w:rFonts w:ascii="Arial" w:hAnsi="Arial" w:cs="Arial"/>
          <w:sz w:val="22"/>
          <w:szCs w:val="22"/>
        </w:rPr>
      </w:pPr>
      <w:r w:rsidRPr="00430B0B">
        <w:rPr>
          <w:rFonts w:ascii="Arial" w:hAnsi="Arial" w:cs="Arial"/>
          <w:sz w:val="22"/>
          <w:szCs w:val="22"/>
        </w:rPr>
        <w:t>Ratificación de las Presidencias de Comisiones</w:t>
      </w:r>
    </w:p>
    <w:p w14:paraId="6C196D45" w14:textId="2896AFCB" w:rsidR="00D92811" w:rsidRPr="00430B0B" w:rsidRDefault="00D92811" w:rsidP="00D92811">
      <w:pPr>
        <w:rPr>
          <w:rFonts w:ascii="Arial" w:hAnsi="Arial" w:cs="Arial"/>
          <w:sz w:val="22"/>
          <w:szCs w:val="22"/>
        </w:rPr>
      </w:pPr>
      <w:r w:rsidRPr="00430B0B">
        <w:rPr>
          <w:rFonts w:ascii="Arial" w:hAnsi="Arial" w:cs="Arial"/>
          <w:sz w:val="22"/>
          <w:szCs w:val="22"/>
        </w:rPr>
        <w:t>El 17 de octubre de 2024, el Consejo Estatal, mediante acuerdo CE/2024/092, ratificó a las Consejeras y Consejeros Electorales que asumieron las Presidencias de las Comisiones Permanentes de Organización Electoral y Educación Cívica, de Denuncias y Quejas, de Seguimiento y de Igualdad de Género y no Discriminación.</w:t>
      </w:r>
    </w:p>
    <w:p w14:paraId="1F405964" w14:textId="77777777" w:rsidR="00D92811" w:rsidRPr="00430B0B" w:rsidRDefault="00D92811" w:rsidP="00D92811">
      <w:pPr>
        <w:pStyle w:val="Ttulo2"/>
        <w:rPr>
          <w:rFonts w:ascii="Arial" w:hAnsi="Arial" w:cs="Arial"/>
          <w:sz w:val="22"/>
          <w:szCs w:val="22"/>
        </w:rPr>
      </w:pPr>
      <w:r w:rsidRPr="00430B0B">
        <w:rPr>
          <w:rFonts w:ascii="Arial" w:hAnsi="Arial" w:cs="Arial"/>
          <w:sz w:val="22"/>
          <w:szCs w:val="22"/>
        </w:rPr>
        <w:t>Propuesta de la Comisión de Seguimiento</w:t>
      </w:r>
    </w:p>
    <w:p w14:paraId="02B21E22" w14:textId="457BA8E9" w:rsidR="00D92811" w:rsidRDefault="00D92811" w:rsidP="00D92811">
      <w:pPr>
        <w:rPr>
          <w:rFonts w:ascii="Arial" w:hAnsi="Arial" w:cs="Arial"/>
          <w:sz w:val="22"/>
          <w:szCs w:val="22"/>
        </w:rPr>
      </w:pPr>
      <w:r w:rsidRPr="00430B0B">
        <w:rPr>
          <w:rFonts w:ascii="Arial" w:hAnsi="Arial" w:cs="Arial"/>
          <w:sz w:val="22"/>
          <w:szCs w:val="22"/>
        </w:rPr>
        <w:t>El 2</w:t>
      </w:r>
      <w:r w:rsidR="009675CE" w:rsidRPr="00430B0B">
        <w:rPr>
          <w:rFonts w:ascii="Arial" w:hAnsi="Arial" w:cs="Arial"/>
          <w:sz w:val="22"/>
          <w:szCs w:val="22"/>
        </w:rPr>
        <w:t>0</w:t>
      </w:r>
      <w:r w:rsidRPr="00430B0B">
        <w:rPr>
          <w:rFonts w:ascii="Arial" w:hAnsi="Arial" w:cs="Arial"/>
          <w:sz w:val="22"/>
          <w:szCs w:val="22"/>
        </w:rPr>
        <w:t xml:space="preserve"> de </w:t>
      </w:r>
      <w:r w:rsidR="009675CE" w:rsidRPr="00430B0B">
        <w:rPr>
          <w:rFonts w:ascii="Arial" w:hAnsi="Arial" w:cs="Arial"/>
          <w:sz w:val="22"/>
          <w:szCs w:val="22"/>
        </w:rPr>
        <w:t xml:space="preserve">febrero </w:t>
      </w:r>
      <w:r w:rsidRPr="00430B0B">
        <w:rPr>
          <w:rFonts w:ascii="Arial" w:hAnsi="Arial" w:cs="Arial"/>
          <w:sz w:val="22"/>
          <w:szCs w:val="22"/>
        </w:rPr>
        <w:t>de 202</w:t>
      </w:r>
      <w:r w:rsidR="009675CE" w:rsidRPr="00430B0B">
        <w:rPr>
          <w:rFonts w:ascii="Arial" w:hAnsi="Arial" w:cs="Arial"/>
          <w:sz w:val="22"/>
          <w:szCs w:val="22"/>
        </w:rPr>
        <w:t>5</w:t>
      </w:r>
      <w:r w:rsidRPr="00430B0B">
        <w:rPr>
          <w:rFonts w:ascii="Arial" w:hAnsi="Arial" w:cs="Arial"/>
          <w:sz w:val="22"/>
          <w:szCs w:val="22"/>
        </w:rPr>
        <w:t>, la secretaria técnica de la Comisión</w:t>
      </w:r>
      <w:r w:rsidR="006963AE" w:rsidRPr="00430B0B">
        <w:rPr>
          <w:rFonts w:ascii="Arial" w:hAnsi="Arial" w:cs="Arial"/>
          <w:sz w:val="22"/>
          <w:szCs w:val="22"/>
        </w:rPr>
        <w:t xml:space="preserve"> de Seguimiento</w:t>
      </w:r>
      <w:r w:rsidRPr="00430B0B">
        <w:rPr>
          <w:rFonts w:ascii="Arial" w:hAnsi="Arial" w:cs="Arial"/>
          <w:sz w:val="22"/>
          <w:szCs w:val="22"/>
        </w:rPr>
        <w:t xml:space="preserve">, </w:t>
      </w:r>
      <w:r w:rsidR="009675CE" w:rsidRPr="00430B0B">
        <w:rPr>
          <w:rFonts w:ascii="Arial" w:hAnsi="Arial" w:cs="Arial"/>
          <w:sz w:val="22"/>
          <w:szCs w:val="22"/>
        </w:rPr>
        <w:t xml:space="preserve">mediante oficio CPSSPEN/029/2025, </w:t>
      </w:r>
      <w:r w:rsidRPr="00430B0B">
        <w:rPr>
          <w:rFonts w:ascii="Arial" w:hAnsi="Arial" w:cs="Arial"/>
          <w:sz w:val="22"/>
          <w:szCs w:val="22"/>
        </w:rPr>
        <w:t>remitió a la Presidencia del Consejo, la propuesta de supresión de la plaza vacante de Coordinador/a de lo Contencioso Electoral con categoría “B”; lo anterior, para efectos de someterla a la deliberación por parte de este Consejo Estatal.</w:t>
      </w:r>
    </w:p>
    <w:p w14:paraId="340BBED9" w14:textId="7D347761" w:rsidR="00430B0B" w:rsidRDefault="00430B0B" w:rsidP="00D92811">
      <w:pPr>
        <w:rPr>
          <w:rFonts w:ascii="Arial" w:hAnsi="Arial" w:cs="Arial"/>
          <w:sz w:val="22"/>
          <w:szCs w:val="22"/>
        </w:rPr>
      </w:pPr>
    </w:p>
    <w:p w14:paraId="60D4C8C9" w14:textId="77777777" w:rsidR="00430B0B" w:rsidRPr="00430B0B" w:rsidRDefault="00430B0B" w:rsidP="00D92811">
      <w:pPr>
        <w:rPr>
          <w:rFonts w:ascii="Arial" w:hAnsi="Arial" w:cs="Arial"/>
          <w:sz w:val="22"/>
          <w:szCs w:val="22"/>
        </w:rPr>
      </w:pPr>
    </w:p>
    <w:p w14:paraId="063AB8CD" w14:textId="77777777" w:rsidR="00D92811" w:rsidRPr="00F0315B" w:rsidRDefault="00D92811" w:rsidP="00F0315B">
      <w:pPr>
        <w:pStyle w:val="Ttulo1"/>
      </w:pPr>
      <w:r w:rsidRPr="00F0315B">
        <w:lastRenderedPageBreak/>
        <w:t>Considerando</w:t>
      </w:r>
    </w:p>
    <w:p w14:paraId="15D037AA" w14:textId="77777777" w:rsidR="00D92811" w:rsidRPr="00430B0B" w:rsidRDefault="00D92811" w:rsidP="00D92811">
      <w:pPr>
        <w:pStyle w:val="Ttulo2"/>
        <w:rPr>
          <w:rFonts w:ascii="Arial" w:hAnsi="Arial" w:cs="Arial"/>
          <w:sz w:val="22"/>
          <w:szCs w:val="22"/>
        </w:rPr>
      </w:pPr>
      <w:r w:rsidRPr="00430B0B">
        <w:rPr>
          <w:rFonts w:ascii="Arial" w:hAnsi="Arial" w:cs="Arial"/>
          <w:sz w:val="22"/>
          <w:szCs w:val="22"/>
        </w:rPr>
        <w:t>Competencia del Consejo Estatal</w:t>
      </w:r>
    </w:p>
    <w:p w14:paraId="6FF43F26" w14:textId="77777777" w:rsidR="00D92811" w:rsidRPr="00430B0B" w:rsidRDefault="00D92811" w:rsidP="00D92811">
      <w:pPr>
        <w:rPr>
          <w:rFonts w:ascii="Arial" w:hAnsi="Arial" w:cs="Arial"/>
          <w:sz w:val="22"/>
          <w:szCs w:val="22"/>
        </w:rPr>
      </w:pPr>
      <w:r w:rsidRPr="00430B0B">
        <w:rPr>
          <w:rFonts w:ascii="Arial" w:hAnsi="Arial" w:cs="Arial"/>
          <w:sz w:val="22"/>
          <w:szCs w:val="22"/>
        </w:rPr>
        <w:t>Que, de conformidad con el artículo 115 numeral 1 fracciones XI y XII de la Ley Electoral, el Consejo Estatal es competente para desarrollar y ejecutar los programas en la entidad, de educación cívica, paridad de género y respeto de los derechos humanos de las mujeres en el ámbito político electoral; y, orientar a las ciudadanas y ciudadanos para el ejercicio de sus derechos y cumplimiento de sus obligaciones político-electorales.</w:t>
      </w:r>
    </w:p>
    <w:p w14:paraId="082793ED" w14:textId="77777777" w:rsidR="00D92811" w:rsidRPr="00430B0B" w:rsidRDefault="00D92811" w:rsidP="00D92811">
      <w:pPr>
        <w:rPr>
          <w:rFonts w:ascii="Arial" w:hAnsi="Arial" w:cs="Arial"/>
          <w:sz w:val="22"/>
          <w:szCs w:val="22"/>
        </w:rPr>
      </w:pPr>
      <w:r w:rsidRPr="00430B0B">
        <w:rPr>
          <w:rFonts w:ascii="Arial" w:hAnsi="Arial" w:cs="Arial"/>
          <w:sz w:val="22"/>
          <w:szCs w:val="22"/>
        </w:rPr>
        <w:t>Acorde a lo anterior, el numeral 2 del artículo mencionado, señala que, para el debido ejercicio de las facultades y atribuciones del Instituto,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que corresponda, siempre en apego a sus facultades y a los principios rectores de la función electoral.</w:t>
      </w:r>
    </w:p>
    <w:p w14:paraId="71629162" w14:textId="77777777" w:rsidR="00D92811" w:rsidRPr="00430B0B" w:rsidRDefault="00D92811" w:rsidP="00D92811">
      <w:pPr>
        <w:pStyle w:val="Ttulo2"/>
        <w:rPr>
          <w:rFonts w:ascii="Arial" w:hAnsi="Arial" w:cs="Arial"/>
          <w:sz w:val="22"/>
          <w:szCs w:val="22"/>
        </w:rPr>
      </w:pPr>
      <w:r w:rsidRPr="00430B0B">
        <w:rPr>
          <w:rFonts w:ascii="Arial" w:hAnsi="Arial" w:cs="Arial"/>
          <w:sz w:val="22"/>
          <w:szCs w:val="22"/>
        </w:rPr>
        <w:t>Órganos auxiliares del Consejo Estatal</w:t>
      </w:r>
    </w:p>
    <w:p w14:paraId="6D7055D5" w14:textId="06BF08AE" w:rsidR="00D92811" w:rsidRPr="00430B0B" w:rsidRDefault="00D92811" w:rsidP="00D92811">
      <w:pPr>
        <w:rPr>
          <w:rFonts w:ascii="Arial" w:hAnsi="Arial" w:cs="Arial"/>
          <w:sz w:val="22"/>
          <w:szCs w:val="22"/>
        </w:rPr>
      </w:pPr>
      <w:r w:rsidRPr="00430B0B">
        <w:rPr>
          <w:rFonts w:ascii="Arial" w:hAnsi="Arial" w:cs="Arial"/>
          <w:sz w:val="22"/>
          <w:szCs w:val="22"/>
        </w:rPr>
        <w:t xml:space="preserve">Que, el artículo 113 numeral 1 de la Ley Electoral dispone que, el Consejo Estatal constituirá las comisiones permanentes de Vinculación con el INE, de Organización Electoral y Educación Cívica, de Denuncias y Quejas, y de Igualdad de Género y no Discriminación; así como las comisiones temporales que considere pertinentes para el desempeño de sus atribuciones, las que siempre serán presididas por una Consejera o un Consejero Electoral, salvo la de Vinculación con el </w:t>
      </w:r>
      <w:r w:rsidR="006963AE" w:rsidRPr="00430B0B">
        <w:rPr>
          <w:rFonts w:ascii="Arial" w:hAnsi="Arial" w:cs="Arial"/>
          <w:sz w:val="22"/>
          <w:szCs w:val="22"/>
        </w:rPr>
        <w:t>INE</w:t>
      </w:r>
      <w:r w:rsidRPr="00430B0B">
        <w:rPr>
          <w:rFonts w:ascii="Arial" w:hAnsi="Arial" w:cs="Arial"/>
          <w:sz w:val="22"/>
          <w:szCs w:val="22"/>
        </w:rPr>
        <w:t>, que será presidida por la Consejera o el Consejero Presidente.</w:t>
      </w:r>
    </w:p>
    <w:p w14:paraId="0999C8B0" w14:textId="0A33A490" w:rsidR="00D92811" w:rsidRDefault="00D92811" w:rsidP="00D92811">
      <w:pPr>
        <w:rPr>
          <w:rFonts w:ascii="Arial" w:hAnsi="Arial" w:cs="Arial"/>
          <w:sz w:val="22"/>
          <w:szCs w:val="22"/>
        </w:rPr>
      </w:pPr>
      <w:r w:rsidRPr="00430B0B">
        <w:rPr>
          <w:rFonts w:ascii="Arial" w:hAnsi="Arial" w:cs="Arial"/>
          <w:sz w:val="22"/>
          <w:szCs w:val="22"/>
        </w:rPr>
        <w:t>Asimismo, de conformidad con el artículo 376 fracción II del Estatuto</w:t>
      </w:r>
      <w:r w:rsidR="00C85C5D" w:rsidRPr="00430B0B">
        <w:rPr>
          <w:rFonts w:ascii="Arial" w:hAnsi="Arial" w:cs="Arial"/>
          <w:sz w:val="22"/>
          <w:szCs w:val="22"/>
        </w:rPr>
        <w:t xml:space="preserve">, </w:t>
      </w:r>
      <w:r w:rsidRPr="00430B0B">
        <w:rPr>
          <w:rFonts w:ascii="Arial" w:hAnsi="Arial" w:cs="Arial"/>
          <w:sz w:val="22"/>
          <w:szCs w:val="22"/>
        </w:rPr>
        <w:t xml:space="preserve">corresponde al Consejo Estatal determinar la integración de la Comisión de Seguimiento con carácter permanente, que será responsable de garantizar la correcta implementación y funcionamiento de los mecanismos del </w:t>
      </w:r>
      <w:r w:rsidR="006963AE" w:rsidRPr="00430B0B">
        <w:rPr>
          <w:rFonts w:ascii="Arial" w:hAnsi="Arial" w:cs="Arial"/>
          <w:sz w:val="22"/>
          <w:szCs w:val="22"/>
        </w:rPr>
        <w:t>S</w:t>
      </w:r>
      <w:r w:rsidRPr="00430B0B">
        <w:rPr>
          <w:rFonts w:ascii="Arial" w:hAnsi="Arial" w:cs="Arial"/>
          <w:sz w:val="22"/>
          <w:szCs w:val="22"/>
        </w:rPr>
        <w:t>ervicio</w:t>
      </w:r>
      <w:r w:rsidR="006963AE" w:rsidRPr="00430B0B">
        <w:rPr>
          <w:rFonts w:ascii="Arial" w:hAnsi="Arial" w:cs="Arial"/>
          <w:sz w:val="22"/>
          <w:szCs w:val="22"/>
        </w:rPr>
        <w:t xml:space="preserve"> Profesional</w:t>
      </w:r>
      <w:r w:rsidRPr="00430B0B">
        <w:rPr>
          <w:rFonts w:ascii="Arial" w:hAnsi="Arial" w:cs="Arial"/>
          <w:sz w:val="22"/>
          <w:szCs w:val="22"/>
        </w:rPr>
        <w:t xml:space="preserve">, bajo la rectoría del Instituto y conforme las disposiciones de la Constitución </w:t>
      </w:r>
      <w:r w:rsidR="006963AE" w:rsidRPr="00430B0B">
        <w:rPr>
          <w:rFonts w:ascii="Arial" w:hAnsi="Arial" w:cs="Arial"/>
          <w:sz w:val="22"/>
          <w:szCs w:val="22"/>
        </w:rPr>
        <w:t xml:space="preserve">Federal </w:t>
      </w:r>
      <w:r w:rsidRPr="00430B0B">
        <w:rPr>
          <w:rFonts w:ascii="Arial" w:hAnsi="Arial" w:cs="Arial"/>
          <w:sz w:val="22"/>
          <w:szCs w:val="22"/>
        </w:rPr>
        <w:t>y demás ordenamientos aplicables.</w:t>
      </w:r>
    </w:p>
    <w:p w14:paraId="7A3CEE5E" w14:textId="23924ABE" w:rsidR="00430B0B" w:rsidRDefault="00430B0B" w:rsidP="00D92811">
      <w:pPr>
        <w:rPr>
          <w:rFonts w:ascii="Arial" w:hAnsi="Arial" w:cs="Arial"/>
          <w:sz w:val="22"/>
          <w:szCs w:val="22"/>
        </w:rPr>
      </w:pPr>
    </w:p>
    <w:p w14:paraId="3E4A17B7" w14:textId="77777777" w:rsidR="00430B0B" w:rsidRPr="00430B0B" w:rsidRDefault="00430B0B" w:rsidP="00D92811">
      <w:pPr>
        <w:rPr>
          <w:rFonts w:ascii="Arial" w:hAnsi="Arial" w:cs="Arial"/>
          <w:sz w:val="22"/>
          <w:szCs w:val="22"/>
        </w:rPr>
      </w:pPr>
    </w:p>
    <w:p w14:paraId="6BB4C899" w14:textId="77777777" w:rsidR="00D92811" w:rsidRPr="00430B0B" w:rsidRDefault="00D92811" w:rsidP="00D92811">
      <w:pPr>
        <w:pStyle w:val="Ttulo2"/>
        <w:rPr>
          <w:rFonts w:ascii="Arial" w:hAnsi="Arial" w:cs="Arial"/>
          <w:sz w:val="22"/>
          <w:szCs w:val="22"/>
        </w:rPr>
      </w:pPr>
      <w:r w:rsidRPr="00430B0B">
        <w:rPr>
          <w:rFonts w:ascii="Arial" w:hAnsi="Arial" w:cs="Arial"/>
          <w:sz w:val="22"/>
          <w:szCs w:val="22"/>
        </w:rPr>
        <w:lastRenderedPageBreak/>
        <w:t>Atribuciones de la Comisión de Seguimiento</w:t>
      </w:r>
    </w:p>
    <w:p w14:paraId="11808C6C" w14:textId="65145C96" w:rsidR="00D92811" w:rsidRPr="00430B0B" w:rsidRDefault="00D92811" w:rsidP="00D92811">
      <w:pPr>
        <w:rPr>
          <w:rFonts w:ascii="Arial" w:hAnsi="Arial" w:cs="Arial"/>
          <w:sz w:val="22"/>
          <w:szCs w:val="22"/>
        </w:rPr>
      </w:pPr>
      <w:r w:rsidRPr="00430B0B">
        <w:rPr>
          <w:rFonts w:ascii="Arial" w:hAnsi="Arial" w:cs="Arial"/>
          <w:sz w:val="22"/>
          <w:szCs w:val="22"/>
        </w:rPr>
        <w:t>Que, de la interpretación sistemática y funcional de los artículos 38 y 113, numerales 1 y 3 de la Ley Electoral; y 16, numeral 1 del Reglamento del Comisiones, la Comisión de Seguimiento es el órgano auxiliar del Consejo Estatal, que tiene entre otras funciones, garantizar la correcta implementación y funcionamiento de los mecanismos del Servicio Profesional, bajo la rectoría del INE y conforme a las disposiciones de la Constitución, la Ley General y el Estatuto.</w:t>
      </w:r>
    </w:p>
    <w:p w14:paraId="0B97C203" w14:textId="77777777" w:rsidR="00D92811" w:rsidRPr="00430B0B" w:rsidRDefault="00D92811" w:rsidP="00D92811">
      <w:pPr>
        <w:pStyle w:val="Ttulo2"/>
        <w:rPr>
          <w:rFonts w:ascii="Arial" w:hAnsi="Arial" w:cs="Arial"/>
          <w:sz w:val="22"/>
          <w:szCs w:val="22"/>
        </w:rPr>
      </w:pPr>
      <w:r w:rsidRPr="00430B0B">
        <w:rPr>
          <w:rFonts w:ascii="Arial" w:hAnsi="Arial" w:cs="Arial"/>
          <w:sz w:val="22"/>
          <w:szCs w:val="22"/>
        </w:rPr>
        <w:t>Distribución de competencias entre el INE y los organismos electorales</w:t>
      </w:r>
    </w:p>
    <w:p w14:paraId="57FA9819" w14:textId="77777777" w:rsidR="00D92811" w:rsidRPr="00430B0B" w:rsidRDefault="00D92811" w:rsidP="00D92811">
      <w:pPr>
        <w:rPr>
          <w:rFonts w:ascii="Arial" w:hAnsi="Arial" w:cs="Arial"/>
          <w:sz w:val="22"/>
          <w:szCs w:val="22"/>
        </w:rPr>
      </w:pPr>
      <w:r w:rsidRPr="00430B0B">
        <w:rPr>
          <w:rFonts w:ascii="Arial" w:hAnsi="Arial" w:cs="Arial"/>
          <w:sz w:val="22"/>
          <w:szCs w:val="22"/>
        </w:rPr>
        <w:t>Que, los artículos 1 y 4 de la Ley General, prevén que dicho ordenamiento es de orden público y de observancia general en el territorio nacional; además, tiene por objeto, entre otros, establecer la distribución de competencias entre la Federación y las entidades federativas, así como la relación entre el INE y los organismos electorales.</w:t>
      </w:r>
    </w:p>
    <w:p w14:paraId="43A9DAF6" w14:textId="77777777" w:rsidR="00D92811" w:rsidRPr="00430B0B" w:rsidRDefault="00D92811" w:rsidP="00FB4FCD">
      <w:pPr>
        <w:pStyle w:val="Ttulo2"/>
        <w:rPr>
          <w:rFonts w:ascii="Arial" w:hAnsi="Arial" w:cs="Arial"/>
          <w:sz w:val="22"/>
          <w:szCs w:val="22"/>
        </w:rPr>
      </w:pPr>
      <w:r w:rsidRPr="00430B0B">
        <w:rPr>
          <w:rFonts w:ascii="Arial" w:hAnsi="Arial" w:cs="Arial"/>
          <w:sz w:val="22"/>
          <w:szCs w:val="22"/>
        </w:rPr>
        <w:t>Atribución de los organismos electorales de aplicar reglas, lineamientos, criterios emitidos por el INE</w:t>
      </w:r>
    </w:p>
    <w:p w14:paraId="6641EE13" w14:textId="60E0B950" w:rsidR="00D92811" w:rsidRPr="00430B0B" w:rsidRDefault="00D92811" w:rsidP="00D92811">
      <w:pPr>
        <w:rPr>
          <w:rFonts w:ascii="Arial" w:hAnsi="Arial" w:cs="Arial"/>
          <w:sz w:val="22"/>
          <w:szCs w:val="22"/>
        </w:rPr>
      </w:pPr>
      <w:r w:rsidRPr="00430B0B">
        <w:rPr>
          <w:rFonts w:ascii="Arial" w:hAnsi="Arial" w:cs="Arial"/>
          <w:sz w:val="22"/>
          <w:szCs w:val="22"/>
        </w:rPr>
        <w:t>Que, el artículo 104 numeral 1 inciso a), de la Ley General, establece que corresponde a los organismos electorales la aplicación de las disposiciones generales, reglas, lineamientos, criterios y formatos que, determine el INE en ejercicio de las facultades que le confiere la Constitución Federal y dicha Ley.</w:t>
      </w:r>
    </w:p>
    <w:p w14:paraId="0A573F86" w14:textId="77777777" w:rsidR="00D92811" w:rsidRPr="00430B0B" w:rsidRDefault="00D92811" w:rsidP="00D92811">
      <w:pPr>
        <w:pStyle w:val="Ttulo2"/>
        <w:rPr>
          <w:rFonts w:ascii="Arial" w:hAnsi="Arial" w:cs="Arial"/>
          <w:sz w:val="22"/>
          <w:szCs w:val="22"/>
        </w:rPr>
      </w:pPr>
      <w:r w:rsidRPr="00430B0B">
        <w:rPr>
          <w:rFonts w:ascii="Arial" w:hAnsi="Arial" w:cs="Arial"/>
          <w:sz w:val="22"/>
          <w:szCs w:val="22"/>
        </w:rPr>
        <w:t>Servicio Profesional</w:t>
      </w:r>
    </w:p>
    <w:p w14:paraId="502CAB61" w14:textId="1A50D910" w:rsidR="00D92811" w:rsidRPr="00430B0B" w:rsidRDefault="00D92811" w:rsidP="00D92811">
      <w:pPr>
        <w:rPr>
          <w:rFonts w:ascii="Arial" w:hAnsi="Arial" w:cs="Arial"/>
          <w:sz w:val="22"/>
          <w:szCs w:val="22"/>
        </w:rPr>
      </w:pPr>
      <w:r w:rsidRPr="00430B0B">
        <w:rPr>
          <w:rFonts w:ascii="Arial" w:hAnsi="Arial" w:cs="Arial"/>
          <w:sz w:val="22"/>
          <w:szCs w:val="22"/>
        </w:rPr>
        <w:t xml:space="preserve">Que de conformidad con lo dispuesto por el artículo 41 párrafo segundo, </w:t>
      </w:r>
      <w:r w:rsidR="00C85C5D" w:rsidRPr="00430B0B">
        <w:rPr>
          <w:rFonts w:ascii="Arial" w:hAnsi="Arial" w:cs="Arial"/>
          <w:sz w:val="22"/>
          <w:szCs w:val="22"/>
        </w:rPr>
        <w:t xml:space="preserve">base </w:t>
      </w:r>
      <w:r w:rsidRPr="00430B0B">
        <w:rPr>
          <w:rFonts w:ascii="Arial" w:hAnsi="Arial" w:cs="Arial"/>
          <w:sz w:val="22"/>
          <w:szCs w:val="22"/>
        </w:rPr>
        <w:t xml:space="preserve">V, </w:t>
      </w:r>
      <w:r w:rsidR="00C85C5D" w:rsidRPr="00430B0B">
        <w:rPr>
          <w:rFonts w:ascii="Arial" w:hAnsi="Arial" w:cs="Arial"/>
          <w:sz w:val="22"/>
          <w:szCs w:val="22"/>
        </w:rPr>
        <w:t xml:space="preserve">apartado </w:t>
      </w:r>
      <w:r w:rsidRPr="00430B0B">
        <w:rPr>
          <w:rFonts w:ascii="Arial" w:hAnsi="Arial" w:cs="Arial"/>
          <w:sz w:val="22"/>
          <w:szCs w:val="22"/>
        </w:rPr>
        <w:t xml:space="preserve">D, párrafos primero y segundo de la Constitución Federal, corresponde al INE regular la organización y funcionamiento del Servicio Profesional que comprende la selección, ingreso, capacitación, profesionalización, promoción, evaluación, rotación, permanencia y disciplina, de los servidores públicos de los órganos ejecutivos y técnicos del </w:t>
      </w:r>
      <w:r w:rsidR="006963AE" w:rsidRPr="00430B0B">
        <w:rPr>
          <w:rFonts w:ascii="Arial" w:hAnsi="Arial" w:cs="Arial"/>
          <w:sz w:val="22"/>
          <w:szCs w:val="22"/>
        </w:rPr>
        <w:t xml:space="preserve">INE </w:t>
      </w:r>
      <w:r w:rsidRPr="00430B0B">
        <w:rPr>
          <w:rFonts w:ascii="Arial" w:hAnsi="Arial" w:cs="Arial"/>
          <w:sz w:val="22"/>
          <w:szCs w:val="22"/>
        </w:rPr>
        <w:t>y de los organismos electorales de las entidades federativas.</w:t>
      </w:r>
    </w:p>
    <w:p w14:paraId="5CB78ED0" w14:textId="4022ACE3" w:rsidR="00D92811" w:rsidRPr="00430B0B" w:rsidRDefault="00D92811" w:rsidP="00D92811">
      <w:pPr>
        <w:rPr>
          <w:rFonts w:ascii="Arial" w:hAnsi="Arial" w:cs="Arial"/>
          <w:sz w:val="22"/>
          <w:szCs w:val="22"/>
        </w:rPr>
      </w:pPr>
      <w:r w:rsidRPr="00430B0B">
        <w:rPr>
          <w:rFonts w:ascii="Arial" w:hAnsi="Arial" w:cs="Arial"/>
          <w:sz w:val="22"/>
          <w:szCs w:val="22"/>
        </w:rPr>
        <w:t xml:space="preserve">En el caso de la entidad, los artículos 160 y 161 de la Ley Electoral, establecen que, para asegurar el desempeño profesional de las actividades del Instituto, el INE regulará la organización y funcionamiento del Servicio Profesional, de conformidad con lo establecido por el numeral 41 de la Constitución Federal;  que además, la organización del </w:t>
      </w:r>
      <w:r w:rsidR="006963AE" w:rsidRPr="00430B0B">
        <w:rPr>
          <w:rFonts w:ascii="Arial" w:hAnsi="Arial" w:cs="Arial"/>
          <w:sz w:val="22"/>
          <w:szCs w:val="22"/>
        </w:rPr>
        <w:t>S</w:t>
      </w:r>
      <w:r w:rsidRPr="00430B0B">
        <w:rPr>
          <w:rFonts w:ascii="Arial" w:hAnsi="Arial" w:cs="Arial"/>
          <w:sz w:val="22"/>
          <w:szCs w:val="22"/>
        </w:rPr>
        <w:t xml:space="preserve">ervicio </w:t>
      </w:r>
      <w:r w:rsidR="006963AE" w:rsidRPr="00430B0B">
        <w:rPr>
          <w:rFonts w:ascii="Arial" w:hAnsi="Arial" w:cs="Arial"/>
          <w:sz w:val="22"/>
          <w:szCs w:val="22"/>
        </w:rPr>
        <w:lastRenderedPageBreak/>
        <w:t xml:space="preserve">Profesional </w:t>
      </w:r>
      <w:r w:rsidRPr="00430B0B">
        <w:rPr>
          <w:rFonts w:ascii="Arial" w:hAnsi="Arial" w:cs="Arial"/>
          <w:sz w:val="22"/>
          <w:szCs w:val="22"/>
        </w:rPr>
        <w:t>será regulada por las normas establecidas por la Ley General y por las del Estatuto que apruebe el Consejo  General, en lo relativo al sistema correspondiente a los organismos electorales.</w:t>
      </w:r>
    </w:p>
    <w:p w14:paraId="08EEB4F5" w14:textId="77777777" w:rsidR="00D92811" w:rsidRPr="00430B0B" w:rsidRDefault="00D92811" w:rsidP="00D92811">
      <w:pPr>
        <w:pStyle w:val="Ttulo2"/>
        <w:rPr>
          <w:rFonts w:ascii="Arial" w:hAnsi="Arial" w:cs="Arial"/>
          <w:sz w:val="22"/>
          <w:szCs w:val="22"/>
        </w:rPr>
      </w:pPr>
      <w:r w:rsidRPr="00430B0B">
        <w:rPr>
          <w:rFonts w:ascii="Arial" w:hAnsi="Arial" w:cs="Arial"/>
          <w:sz w:val="22"/>
          <w:szCs w:val="22"/>
        </w:rPr>
        <w:t>Integración, organización y funcionamiento del Servicio Profesional</w:t>
      </w:r>
    </w:p>
    <w:p w14:paraId="48A0C3FD" w14:textId="60D4BE3C" w:rsidR="00D92811" w:rsidRPr="00430B0B" w:rsidRDefault="00D92811" w:rsidP="00D92811">
      <w:pPr>
        <w:rPr>
          <w:rFonts w:ascii="Arial" w:hAnsi="Arial" w:cs="Arial"/>
          <w:sz w:val="22"/>
          <w:szCs w:val="22"/>
        </w:rPr>
      </w:pPr>
      <w:r w:rsidRPr="00430B0B">
        <w:rPr>
          <w:rFonts w:ascii="Arial" w:hAnsi="Arial" w:cs="Arial"/>
          <w:sz w:val="22"/>
          <w:szCs w:val="22"/>
        </w:rPr>
        <w:t xml:space="preserve">Que, conforme a lo dispuesto por el artículo 202 numerales 1 y 2 de la Ley General, el Servicio Profesional contará con dos sistemas: uno para el INE y otro para los organismos electorales, los cuales estarán integrados por las y los servidores públicos de sus órganos ejecutivos y técnicos; además, para su adecuado funcionamiento, el INE regulará la organización y aplicará los distintos mecanismos del </w:t>
      </w:r>
      <w:r w:rsidR="006963AE" w:rsidRPr="00430B0B">
        <w:rPr>
          <w:rFonts w:ascii="Arial" w:hAnsi="Arial" w:cs="Arial"/>
          <w:sz w:val="22"/>
          <w:szCs w:val="22"/>
        </w:rPr>
        <w:t>S</w:t>
      </w:r>
      <w:r w:rsidRPr="00430B0B">
        <w:rPr>
          <w:rFonts w:ascii="Arial" w:hAnsi="Arial" w:cs="Arial"/>
          <w:sz w:val="22"/>
          <w:szCs w:val="22"/>
        </w:rPr>
        <w:t xml:space="preserve">ervicio </w:t>
      </w:r>
      <w:r w:rsidR="006963AE" w:rsidRPr="00430B0B">
        <w:rPr>
          <w:rFonts w:ascii="Arial" w:hAnsi="Arial" w:cs="Arial"/>
          <w:sz w:val="22"/>
          <w:szCs w:val="22"/>
        </w:rPr>
        <w:t xml:space="preserve">Profesional </w:t>
      </w:r>
      <w:r w:rsidRPr="00430B0B">
        <w:rPr>
          <w:rFonts w:ascii="Arial" w:hAnsi="Arial" w:cs="Arial"/>
          <w:sz w:val="22"/>
          <w:szCs w:val="22"/>
        </w:rPr>
        <w:t>de conformidad con lo dispuesto en el apartado D de la Base V del artículo 41 de la Constitución Federal.</w:t>
      </w:r>
    </w:p>
    <w:p w14:paraId="5A8BA876" w14:textId="77777777" w:rsidR="00D92811" w:rsidRPr="00430B0B" w:rsidRDefault="00D92811" w:rsidP="00D92811">
      <w:pPr>
        <w:pStyle w:val="Ttulo2"/>
        <w:rPr>
          <w:rFonts w:ascii="Arial" w:hAnsi="Arial" w:cs="Arial"/>
          <w:sz w:val="22"/>
          <w:szCs w:val="22"/>
        </w:rPr>
      </w:pPr>
      <w:r w:rsidRPr="00430B0B">
        <w:rPr>
          <w:rFonts w:ascii="Arial" w:hAnsi="Arial" w:cs="Arial"/>
          <w:sz w:val="22"/>
          <w:szCs w:val="22"/>
        </w:rPr>
        <w:t xml:space="preserve">Servicio Profesional del Sistema de Organismos Electorales </w:t>
      </w:r>
    </w:p>
    <w:p w14:paraId="3ACA91C1" w14:textId="1C33EA9D" w:rsidR="00D92811" w:rsidRPr="00430B0B" w:rsidRDefault="00D92811" w:rsidP="00D92811">
      <w:pPr>
        <w:rPr>
          <w:rFonts w:ascii="Arial" w:hAnsi="Arial" w:cs="Arial"/>
          <w:sz w:val="22"/>
          <w:szCs w:val="22"/>
        </w:rPr>
      </w:pPr>
      <w:r w:rsidRPr="00430B0B">
        <w:rPr>
          <w:rFonts w:ascii="Arial" w:hAnsi="Arial" w:cs="Arial"/>
          <w:sz w:val="22"/>
          <w:szCs w:val="22"/>
        </w:rPr>
        <w:t>Que, el artículo 30 numeral 3 de la Ley General, prevé entre otras cosas que, para el desempeño de sus actividades, los organismos electorales contarán con un cuerpo de servidores públicos en sus órganos ejecutivos y técnicos, integrados en un Servicio Profesional que se regirá por el Estatuto que al efecto apruebe el Consejo General</w:t>
      </w:r>
      <w:r w:rsidR="006963AE" w:rsidRPr="00430B0B">
        <w:rPr>
          <w:rFonts w:ascii="Arial" w:hAnsi="Arial" w:cs="Arial"/>
          <w:sz w:val="22"/>
          <w:szCs w:val="22"/>
        </w:rPr>
        <w:t xml:space="preserve"> del INE</w:t>
      </w:r>
      <w:r w:rsidRPr="00430B0B">
        <w:rPr>
          <w:rFonts w:ascii="Arial" w:hAnsi="Arial" w:cs="Arial"/>
          <w:sz w:val="22"/>
          <w:szCs w:val="22"/>
        </w:rPr>
        <w:t>. Asimismo, a través del Servicio Profesional, los organismos electorales contendrán los respectivos mecanismos de selección, ingreso, capacitación, profesionalización, promoción, evaluación, rotación, permanencia y disciplina, así como el catálogo general de los cargos y puestos del personal ejecutivo y técnico, correspondiendo su regulación, organización, funcionamiento y rectoría al INE.</w:t>
      </w:r>
    </w:p>
    <w:p w14:paraId="08467F9E" w14:textId="77777777" w:rsidR="00D92811" w:rsidRPr="00430B0B" w:rsidRDefault="00D92811" w:rsidP="00D92811">
      <w:pPr>
        <w:pStyle w:val="Ttulo2"/>
        <w:rPr>
          <w:rFonts w:ascii="Arial" w:hAnsi="Arial" w:cs="Arial"/>
          <w:sz w:val="22"/>
          <w:szCs w:val="22"/>
        </w:rPr>
      </w:pPr>
      <w:r w:rsidRPr="00430B0B">
        <w:rPr>
          <w:rFonts w:ascii="Arial" w:hAnsi="Arial" w:cs="Arial"/>
          <w:sz w:val="22"/>
          <w:szCs w:val="22"/>
        </w:rPr>
        <w:t>Mecanismos de Evaluación del Servicio Profesional</w:t>
      </w:r>
    </w:p>
    <w:p w14:paraId="139A9676" w14:textId="50D9A2CF" w:rsidR="00D92811" w:rsidRPr="00430B0B" w:rsidRDefault="00D92811" w:rsidP="00D92811">
      <w:pPr>
        <w:rPr>
          <w:rFonts w:ascii="Arial" w:hAnsi="Arial" w:cs="Arial"/>
          <w:sz w:val="22"/>
          <w:szCs w:val="22"/>
        </w:rPr>
      </w:pPr>
      <w:r w:rsidRPr="00430B0B">
        <w:rPr>
          <w:rFonts w:ascii="Arial" w:hAnsi="Arial" w:cs="Arial"/>
          <w:sz w:val="22"/>
          <w:szCs w:val="22"/>
        </w:rPr>
        <w:t xml:space="preserve">Que, de conformidad con el artículo 455 del Estatuto, la evaluación del desempeño es el instrumento mediante el cual se valora, cualitativa y cuantitativamente, en qué medida las o los miembros del Servicio </w:t>
      </w:r>
      <w:r w:rsidR="006963AE" w:rsidRPr="00430B0B">
        <w:rPr>
          <w:rFonts w:ascii="Arial" w:hAnsi="Arial" w:cs="Arial"/>
          <w:sz w:val="22"/>
          <w:szCs w:val="22"/>
        </w:rPr>
        <w:t xml:space="preserve">Profesional </w:t>
      </w:r>
      <w:r w:rsidRPr="00430B0B">
        <w:rPr>
          <w:rFonts w:ascii="Arial" w:hAnsi="Arial" w:cs="Arial"/>
          <w:sz w:val="22"/>
          <w:szCs w:val="22"/>
        </w:rPr>
        <w:t>ponen en práctica los conocimientos y competencias inherentes a su cargo o puesto en el cumplimiento de sus funciones. Su propósito es generar elementos objetivos para mejorar el rendimiento personal, contribuir a la definición de estrategias de fortalecimiento de</w:t>
      </w:r>
      <w:r w:rsidR="006963AE" w:rsidRPr="00430B0B">
        <w:rPr>
          <w:rFonts w:ascii="Arial" w:hAnsi="Arial" w:cs="Arial"/>
          <w:sz w:val="22"/>
          <w:szCs w:val="22"/>
        </w:rPr>
        <w:t>l Servicio Profesional</w:t>
      </w:r>
      <w:r w:rsidRPr="00430B0B">
        <w:rPr>
          <w:rFonts w:ascii="Arial" w:hAnsi="Arial" w:cs="Arial"/>
          <w:sz w:val="22"/>
          <w:szCs w:val="22"/>
        </w:rPr>
        <w:t xml:space="preserve">, así como para nutrir el ejercicio de la planeación institucional. </w:t>
      </w:r>
    </w:p>
    <w:p w14:paraId="2C8AD9FA" w14:textId="77777777" w:rsidR="00D92811" w:rsidRPr="00430B0B" w:rsidRDefault="00D92811" w:rsidP="00D92811">
      <w:pPr>
        <w:rPr>
          <w:rFonts w:ascii="Arial" w:hAnsi="Arial" w:cs="Arial"/>
          <w:sz w:val="22"/>
          <w:szCs w:val="22"/>
        </w:rPr>
      </w:pPr>
      <w:r w:rsidRPr="00430B0B">
        <w:rPr>
          <w:rFonts w:ascii="Arial" w:hAnsi="Arial" w:cs="Arial"/>
          <w:sz w:val="22"/>
          <w:szCs w:val="22"/>
        </w:rPr>
        <w:t xml:space="preserve">Asimismo, de acuerdo con el artículo 457 del Estatuto, se establece que la evaluación del desempeño incluirá la verificación del cumplimiento de metas individuales y, en su caso </w:t>
      </w:r>
      <w:r w:rsidRPr="00430B0B">
        <w:rPr>
          <w:rFonts w:ascii="Arial" w:hAnsi="Arial" w:cs="Arial"/>
          <w:sz w:val="22"/>
          <w:szCs w:val="22"/>
        </w:rPr>
        <w:lastRenderedPageBreak/>
        <w:t>colectivas, con indicadores de actividades y/o resultados, así como la valoración de las competencias inherentes a las funciones del cargo o puesto y de los principios institucionales. La evaluación se aplicará anualmente y se obtendrá una calificación trianual ponderada. Cada trienio se definirá en función de la renovación del congreso local.</w:t>
      </w:r>
    </w:p>
    <w:p w14:paraId="65D90CA2" w14:textId="77777777" w:rsidR="00D92811" w:rsidRPr="00430B0B" w:rsidRDefault="00D92811" w:rsidP="00D92811">
      <w:pPr>
        <w:pStyle w:val="Ttulo2"/>
        <w:rPr>
          <w:rFonts w:ascii="Arial" w:hAnsi="Arial" w:cs="Arial"/>
          <w:sz w:val="22"/>
          <w:szCs w:val="22"/>
        </w:rPr>
      </w:pPr>
      <w:r w:rsidRPr="00430B0B">
        <w:rPr>
          <w:rFonts w:ascii="Arial" w:hAnsi="Arial" w:cs="Arial"/>
          <w:sz w:val="22"/>
          <w:szCs w:val="22"/>
        </w:rPr>
        <w:t>Ciclo Trianual</w:t>
      </w:r>
    </w:p>
    <w:p w14:paraId="52C68143" w14:textId="31FD3092" w:rsidR="00D92811" w:rsidRPr="00430B0B" w:rsidRDefault="00D92811" w:rsidP="00D92811">
      <w:pPr>
        <w:rPr>
          <w:rFonts w:ascii="Arial" w:hAnsi="Arial" w:cs="Arial"/>
          <w:sz w:val="22"/>
          <w:szCs w:val="22"/>
        </w:rPr>
      </w:pPr>
      <w:r w:rsidRPr="00430B0B">
        <w:rPr>
          <w:rFonts w:ascii="Arial" w:hAnsi="Arial" w:cs="Arial"/>
          <w:sz w:val="22"/>
          <w:szCs w:val="22"/>
        </w:rPr>
        <w:t xml:space="preserve">Que, de acuerdo con el artículo segundo transitorio de los Lineamientos, el primer ciclo trianual considerará únicamente los resultados de las evaluaciones anuales del desempeño de los períodos que corresponden a septiembre de 2020 a agosto de 2021, y de septiembre de 2021 a agosto de 2022. </w:t>
      </w:r>
    </w:p>
    <w:p w14:paraId="2459BC16" w14:textId="77777777" w:rsidR="00D92811" w:rsidRPr="00430B0B" w:rsidRDefault="00D92811" w:rsidP="00D92811">
      <w:pPr>
        <w:pStyle w:val="Ttulo2"/>
        <w:rPr>
          <w:rFonts w:ascii="Arial" w:hAnsi="Arial" w:cs="Arial"/>
          <w:sz w:val="22"/>
          <w:szCs w:val="22"/>
        </w:rPr>
      </w:pPr>
      <w:r w:rsidRPr="00430B0B">
        <w:rPr>
          <w:rFonts w:ascii="Arial" w:hAnsi="Arial" w:cs="Arial"/>
          <w:sz w:val="22"/>
          <w:szCs w:val="22"/>
        </w:rPr>
        <w:t>Calificación aprobatoria</w:t>
      </w:r>
    </w:p>
    <w:p w14:paraId="21915C2E" w14:textId="330EB544" w:rsidR="00D92811" w:rsidRPr="00430B0B" w:rsidRDefault="00D92811" w:rsidP="00D92811">
      <w:pPr>
        <w:rPr>
          <w:rFonts w:ascii="Arial" w:hAnsi="Arial" w:cs="Arial"/>
          <w:sz w:val="22"/>
          <w:szCs w:val="22"/>
        </w:rPr>
      </w:pPr>
      <w:r w:rsidRPr="00430B0B">
        <w:rPr>
          <w:rFonts w:ascii="Arial" w:hAnsi="Arial" w:cs="Arial"/>
          <w:sz w:val="22"/>
          <w:szCs w:val="22"/>
        </w:rPr>
        <w:t xml:space="preserve">Que, el artículo 458 del Estatuto señala que, la calificación mínima aprobatoria para acreditar la evaluación del desempeño anual será de siete en una escala de cero a diez. En caso de obtener una calificación anual reprobatoria, el </w:t>
      </w:r>
      <w:r w:rsidR="006963AE" w:rsidRPr="00430B0B">
        <w:rPr>
          <w:rFonts w:ascii="Arial" w:hAnsi="Arial" w:cs="Arial"/>
          <w:sz w:val="22"/>
          <w:szCs w:val="22"/>
        </w:rPr>
        <w:t>Ó</w:t>
      </w:r>
      <w:r w:rsidRPr="00430B0B">
        <w:rPr>
          <w:rFonts w:ascii="Arial" w:hAnsi="Arial" w:cs="Arial"/>
          <w:sz w:val="22"/>
          <w:szCs w:val="22"/>
        </w:rPr>
        <w:t xml:space="preserve">rgano de </w:t>
      </w:r>
      <w:r w:rsidR="006963AE" w:rsidRPr="00430B0B">
        <w:rPr>
          <w:rFonts w:ascii="Arial" w:hAnsi="Arial" w:cs="Arial"/>
          <w:sz w:val="22"/>
          <w:szCs w:val="22"/>
        </w:rPr>
        <w:t>E</w:t>
      </w:r>
      <w:r w:rsidRPr="00430B0B">
        <w:rPr>
          <w:rFonts w:ascii="Arial" w:hAnsi="Arial" w:cs="Arial"/>
          <w:sz w:val="22"/>
          <w:szCs w:val="22"/>
        </w:rPr>
        <w:t xml:space="preserve">nlace determinará las acciones de mejora que tendrán carácter de obligatorias. De no completar satisfactoriamente dichas acciones la o el miembro del Servicio </w:t>
      </w:r>
      <w:r w:rsidR="006963AE" w:rsidRPr="00430B0B">
        <w:rPr>
          <w:rFonts w:ascii="Arial" w:hAnsi="Arial" w:cs="Arial"/>
          <w:sz w:val="22"/>
          <w:szCs w:val="22"/>
        </w:rPr>
        <w:t xml:space="preserve">Profesional </w:t>
      </w:r>
      <w:r w:rsidRPr="00430B0B">
        <w:rPr>
          <w:rFonts w:ascii="Arial" w:hAnsi="Arial" w:cs="Arial"/>
          <w:sz w:val="22"/>
          <w:szCs w:val="22"/>
        </w:rPr>
        <w:t>será separado del organismo electoral.</w:t>
      </w:r>
    </w:p>
    <w:p w14:paraId="608A0F6D" w14:textId="77777777" w:rsidR="00D92811" w:rsidRPr="00430B0B" w:rsidRDefault="00D92811" w:rsidP="00D92811">
      <w:pPr>
        <w:pStyle w:val="Ttulo2"/>
        <w:rPr>
          <w:rFonts w:ascii="Arial" w:hAnsi="Arial" w:cs="Arial"/>
          <w:sz w:val="22"/>
          <w:szCs w:val="22"/>
        </w:rPr>
      </w:pPr>
      <w:r w:rsidRPr="00430B0B">
        <w:rPr>
          <w:rFonts w:ascii="Arial" w:hAnsi="Arial" w:cs="Arial"/>
          <w:sz w:val="22"/>
          <w:szCs w:val="22"/>
        </w:rPr>
        <w:t>Integración del dictamen general de resultados</w:t>
      </w:r>
    </w:p>
    <w:p w14:paraId="2B7EA3B6" w14:textId="77777777" w:rsidR="00D92811" w:rsidRPr="00430B0B" w:rsidRDefault="00D92811" w:rsidP="00D92811">
      <w:pPr>
        <w:rPr>
          <w:rFonts w:ascii="Arial" w:hAnsi="Arial" w:cs="Arial"/>
          <w:sz w:val="22"/>
          <w:szCs w:val="22"/>
        </w:rPr>
      </w:pPr>
      <w:r w:rsidRPr="00430B0B">
        <w:rPr>
          <w:rFonts w:ascii="Arial" w:hAnsi="Arial" w:cs="Arial"/>
          <w:sz w:val="22"/>
          <w:szCs w:val="22"/>
        </w:rPr>
        <w:t xml:space="preserve">Que, el artículo 72 de los Lineamientos establece que, el dictamen general de resultados se integra por los resultados anuales individuales obtenidos por todas y todos los evaluados e incluye: el periodo evaluado, nombre de la o el evaluado, cargo o puesto de la última adscripción de la o el evaluado, las calificaciones por factor y la calificación final, así como el nivel de desempeño alcanzado. </w:t>
      </w:r>
    </w:p>
    <w:p w14:paraId="345B5229" w14:textId="77777777" w:rsidR="00D92811" w:rsidRPr="00430B0B" w:rsidRDefault="00D92811" w:rsidP="00D92811">
      <w:pPr>
        <w:pStyle w:val="Ttulo2"/>
        <w:rPr>
          <w:rFonts w:ascii="Arial" w:hAnsi="Arial" w:cs="Arial"/>
          <w:sz w:val="22"/>
          <w:szCs w:val="22"/>
        </w:rPr>
      </w:pPr>
      <w:r w:rsidRPr="00430B0B">
        <w:rPr>
          <w:rFonts w:ascii="Arial" w:hAnsi="Arial" w:cs="Arial"/>
          <w:sz w:val="22"/>
          <w:szCs w:val="22"/>
        </w:rPr>
        <w:t>Integración del dictamen de resultados anuales individuales</w:t>
      </w:r>
    </w:p>
    <w:p w14:paraId="2E6BCEF4" w14:textId="77777777" w:rsidR="00D92811" w:rsidRPr="00430B0B" w:rsidRDefault="00D92811" w:rsidP="00D92811">
      <w:pPr>
        <w:rPr>
          <w:rFonts w:ascii="Arial" w:hAnsi="Arial" w:cs="Arial"/>
          <w:sz w:val="22"/>
          <w:szCs w:val="22"/>
        </w:rPr>
      </w:pPr>
      <w:r w:rsidRPr="00430B0B">
        <w:rPr>
          <w:rFonts w:ascii="Arial" w:hAnsi="Arial" w:cs="Arial"/>
          <w:sz w:val="22"/>
          <w:szCs w:val="22"/>
        </w:rPr>
        <w:t>Que, el artículo 73 de los Lineamientos establece que el dictamen de resultados anuales individuales incluye la calificación que obtuvo la o el evaluado en cada uno de los factores: Metas individuales, metas colectivas y competencias, así́ como los indicadores que los integran. También se incluye el periodo evaluado, la calificación final y el nivel de desempeño alcanzado.</w:t>
      </w:r>
    </w:p>
    <w:p w14:paraId="78EF3B3B" w14:textId="3CFC2AF2" w:rsidR="00D92811" w:rsidRPr="00430B0B" w:rsidRDefault="00D92811" w:rsidP="00D92811">
      <w:pPr>
        <w:pStyle w:val="Ttulo2"/>
        <w:rPr>
          <w:rFonts w:ascii="Arial" w:hAnsi="Arial" w:cs="Arial"/>
          <w:sz w:val="22"/>
          <w:szCs w:val="22"/>
        </w:rPr>
      </w:pPr>
      <w:r w:rsidRPr="00430B0B">
        <w:rPr>
          <w:rFonts w:ascii="Arial" w:hAnsi="Arial" w:cs="Arial"/>
          <w:sz w:val="22"/>
          <w:szCs w:val="22"/>
        </w:rPr>
        <w:lastRenderedPageBreak/>
        <w:t>Notificación del dictamen general de resultados de la evaluación del desempeño a los miembros del Servicio Profesional</w:t>
      </w:r>
    </w:p>
    <w:p w14:paraId="0CC04969" w14:textId="6811E8FC" w:rsidR="00D92811" w:rsidRPr="00430B0B" w:rsidRDefault="00D92811" w:rsidP="00D92811">
      <w:pPr>
        <w:rPr>
          <w:rFonts w:ascii="Arial" w:hAnsi="Arial" w:cs="Arial"/>
          <w:sz w:val="22"/>
          <w:szCs w:val="22"/>
        </w:rPr>
      </w:pPr>
      <w:r w:rsidRPr="00430B0B">
        <w:rPr>
          <w:rFonts w:ascii="Arial" w:hAnsi="Arial" w:cs="Arial"/>
          <w:sz w:val="22"/>
          <w:szCs w:val="22"/>
        </w:rPr>
        <w:t xml:space="preserve">Que, de acuerdo con el artículo 75 de los Lineamientos, una vez que el Órgano Superior de Dirección del organismo electoral apruebe el dictamen general de resultados anuales de la evaluación del desempeño, en un periodo no mayor a un mes contado a partir del siguiente día de su aprobación, el </w:t>
      </w:r>
      <w:r w:rsidR="006963AE" w:rsidRPr="00430B0B">
        <w:rPr>
          <w:rFonts w:ascii="Arial" w:hAnsi="Arial" w:cs="Arial"/>
          <w:sz w:val="22"/>
          <w:szCs w:val="22"/>
        </w:rPr>
        <w:t>Ó</w:t>
      </w:r>
      <w:r w:rsidRPr="00430B0B">
        <w:rPr>
          <w:rFonts w:ascii="Arial" w:hAnsi="Arial" w:cs="Arial"/>
          <w:sz w:val="22"/>
          <w:szCs w:val="22"/>
        </w:rPr>
        <w:t xml:space="preserve">rgano de </w:t>
      </w:r>
      <w:r w:rsidR="006963AE" w:rsidRPr="00430B0B">
        <w:rPr>
          <w:rFonts w:ascii="Arial" w:hAnsi="Arial" w:cs="Arial"/>
          <w:sz w:val="22"/>
          <w:szCs w:val="22"/>
        </w:rPr>
        <w:t>E</w:t>
      </w:r>
      <w:r w:rsidRPr="00430B0B">
        <w:rPr>
          <w:rFonts w:ascii="Arial" w:hAnsi="Arial" w:cs="Arial"/>
          <w:sz w:val="22"/>
          <w:szCs w:val="22"/>
        </w:rPr>
        <w:t>nlace notificará a las y los miembros del Servicio</w:t>
      </w:r>
      <w:r w:rsidR="006963AE" w:rsidRPr="00430B0B">
        <w:rPr>
          <w:rFonts w:ascii="Arial" w:hAnsi="Arial" w:cs="Arial"/>
          <w:sz w:val="22"/>
          <w:szCs w:val="22"/>
        </w:rPr>
        <w:t xml:space="preserve"> Profesional</w:t>
      </w:r>
      <w:r w:rsidRPr="00430B0B">
        <w:rPr>
          <w:rFonts w:ascii="Arial" w:hAnsi="Arial" w:cs="Arial"/>
          <w:sz w:val="22"/>
          <w:szCs w:val="22"/>
        </w:rPr>
        <w:t xml:space="preserve">, mediante un oficio/circular, lo siguiente: </w:t>
      </w:r>
    </w:p>
    <w:p w14:paraId="47CD081A" w14:textId="3A5B0A47" w:rsidR="00D92811" w:rsidRPr="00430B0B" w:rsidRDefault="00D92811" w:rsidP="00D92811">
      <w:pPr>
        <w:pStyle w:val="Prrafodelista"/>
        <w:numPr>
          <w:ilvl w:val="0"/>
          <w:numId w:val="2"/>
        </w:numPr>
        <w:ind w:left="703" w:hanging="703"/>
        <w:contextualSpacing w:val="0"/>
        <w:rPr>
          <w:rFonts w:ascii="Arial" w:hAnsi="Arial" w:cs="Arial"/>
          <w:sz w:val="22"/>
          <w:szCs w:val="22"/>
        </w:rPr>
      </w:pPr>
      <w:r w:rsidRPr="00430B0B">
        <w:rPr>
          <w:rFonts w:ascii="Arial" w:hAnsi="Arial" w:cs="Arial"/>
          <w:sz w:val="22"/>
          <w:szCs w:val="22"/>
        </w:rPr>
        <w:t xml:space="preserve">La fecha en que el Órgano Superior de Dirección del </w:t>
      </w:r>
      <w:r w:rsidR="000719AB" w:rsidRPr="00430B0B">
        <w:rPr>
          <w:rFonts w:ascii="Arial" w:hAnsi="Arial" w:cs="Arial"/>
          <w:sz w:val="22"/>
          <w:szCs w:val="22"/>
        </w:rPr>
        <w:t>organismo electoral</w:t>
      </w:r>
      <w:r w:rsidRPr="00430B0B">
        <w:rPr>
          <w:rFonts w:ascii="Arial" w:hAnsi="Arial" w:cs="Arial"/>
          <w:sz w:val="22"/>
          <w:szCs w:val="22"/>
        </w:rPr>
        <w:t xml:space="preserve"> aprobó́ el Dictamen General de resultados anuales de la evaluación del desempeño; y </w:t>
      </w:r>
    </w:p>
    <w:p w14:paraId="1FBCA7D0" w14:textId="0AED6D92" w:rsidR="00D92811" w:rsidRPr="00430B0B" w:rsidRDefault="00D92811" w:rsidP="00D92811">
      <w:pPr>
        <w:pStyle w:val="Prrafodelista"/>
        <w:numPr>
          <w:ilvl w:val="0"/>
          <w:numId w:val="2"/>
        </w:numPr>
        <w:ind w:left="703" w:hanging="703"/>
        <w:contextualSpacing w:val="0"/>
        <w:rPr>
          <w:rFonts w:ascii="Arial" w:hAnsi="Arial" w:cs="Arial"/>
          <w:sz w:val="22"/>
          <w:szCs w:val="22"/>
        </w:rPr>
      </w:pPr>
      <w:r w:rsidRPr="00430B0B">
        <w:rPr>
          <w:rFonts w:ascii="Arial" w:hAnsi="Arial" w:cs="Arial"/>
          <w:sz w:val="22"/>
          <w:szCs w:val="22"/>
        </w:rPr>
        <w:t>La fecha a partir de la cual podrán consultar el Dictamen de resultados individuales anual en el sistema.</w:t>
      </w:r>
    </w:p>
    <w:p w14:paraId="237E8C4A" w14:textId="77777777" w:rsidR="00D92811" w:rsidRPr="00430B0B" w:rsidRDefault="00D92811" w:rsidP="00D92811">
      <w:pPr>
        <w:pStyle w:val="Ttulo2"/>
        <w:rPr>
          <w:rFonts w:ascii="Arial" w:hAnsi="Arial" w:cs="Arial"/>
          <w:sz w:val="22"/>
          <w:szCs w:val="22"/>
        </w:rPr>
      </w:pPr>
      <w:r w:rsidRPr="00430B0B">
        <w:rPr>
          <w:rFonts w:ascii="Arial" w:hAnsi="Arial" w:cs="Arial"/>
          <w:sz w:val="22"/>
          <w:szCs w:val="22"/>
        </w:rPr>
        <w:t>Resultados de la evaluación del desempeño de las y los miembros del Servicio Profesional</w:t>
      </w:r>
    </w:p>
    <w:p w14:paraId="48D8AF6D" w14:textId="5F3AD449" w:rsidR="00D92811" w:rsidRPr="00430B0B" w:rsidRDefault="00D92811" w:rsidP="00D92811">
      <w:pPr>
        <w:rPr>
          <w:rFonts w:ascii="Arial" w:hAnsi="Arial" w:cs="Arial"/>
          <w:sz w:val="22"/>
          <w:szCs w:val="22"/>
        </w:rPr>
      </w:pPr>
      <w:r w:rsidRPr="00430B0B">
        <w:rPr>
          <w:rFonts w:ascii="Arial" w:hAnsi="Arial" w:cs="Arial"/>
          <w:sz w:val="22"/>
          <w:szCs w:val="22"/>
        </w:rPr>
        <w:t xml:space="preserve">El 4 de febrero de 2025, la Dirección Ejecutiva del Servicio Profesional Electoral Nacional, mediante oficio INE/DESPEN/DPR/111/2025, remitió el dictamen general de resultados de la evaluación del desempeño de las y los miembros del Servicio Profesional de este </w:t>
      </w:r>
      <w:r w:rsidR="006963AE" w:rsidRPr="00430B0B">
        <w:rPr>
          <w:rFonts w:ascii="Arial" w:hAnsi="Arial" w:cs="Arial"/>
          <w:sz w:val="22"/>
          <w:szCs w:val="22"/>
        </w:rPr>
        <w:t>Organismo Electoral</w:t>
      </w:r>
      <w:r w:rsidRPr="00430B0B">
        <w:rPr>
          <w:rFonts w:ascii="Arial" w:hAnsi="Arial" w:cs="Arial"/>
          <w:sz w:val="22"/>
          <w:szCs w:val="22"/>
        </w:rPr>
        <w:t>, correspondiente al periodo septiembre de 2023 a agosto de 2024, informando que los trabajos para la elaboración de este habían concluido.</w:t>
      </w:r>
    </w:p>
    <w:p w14:paraId="3BCEB972" w14:textId="5ABFED79" w:rsidR="00D92811" w:rsidRPr="00430B0B" w:rsidRDefault="00D92811" w:rsidP="00D92811">
      <w:pPr>
        <w:rPr>
          <w:rFonts w:ascii="Arial" w:hAnsi="Arial" w:cs="Arial"/>
          <w:sz w:val="22"/>
          <w:szCs w:val="22"/>
          <w:u w:val="single"/>
        </w:rPr>
      </w:pPr>
      <w:r w:rsidRPr="00430B0B">
        <w:rPr>
          <w:rFonts w:ascii="Arial" w:hAnsi="Arial" w:cs="Arial"/>
          <w:sz w:val="22"/>
          <w:szCs w:val="22"/>
        </w:rPr>
        <w:t xml:space="preserve">Consecuentemente, informó la posibilidad de realizar las gestiones correspondientes para su aprobación, haciendo referencia que el </w:t>
      </w:r>
      <w:r w:rsidR="006963AE" w:rsidRPr="00430B0B">
        <w:rPr>
          <w:rFonts w:ascii="Arial" w:hAnsi="Arial" w:cs="Arial"/>
          <w:sz w:val="22"/>
          <w:szCs w:val="22"/>
        </w:rPr>
        <w:t xml:space="preserve">Dictamen </w:t>
      </w:r>
      <w:r w:rsidRPr="00430B0B">
        <w:rPr>
          <w:rFonts w:ascii="Arial" w:hAnsi="Arial" w:cs="Arial"/>
          <w:sz w:val="22"/>
          <w:szCs w:val="22"/>
        </w:rPr>
        <w:t>no podrá modificarse de ninguna manera, debiendo someterse a la aprobación del Consejo Estatal a más tardar el 28 de febrero del presente año, previo conocimiento de la Comisión de</w:t>
      </w:r>
      <w:r w:rsidR="00FB4FCD" w:rsidRPr="00430B0B">
        <w:rPr>
          <w:rFonts w:ascii="Arial" w:hAnsi="Arial" w:cs="Arial"/>
          <w:sz w:val="22"/>
          <w:szCs w:val="22"/>
        </w:rPr>
        <w:t xml:space="preserve"> Seguimiento.</w:t>
      </w:r>
    </w:p>
    <w:p w14:paraId="04AD23E2" w14:textId="46849DFA" w:rsidR="00D92811" w:rsidRPr="00430B0B" w:rsidRDefault="00D92811" w:rsidP="00D92811">
      <w:pPr>
        <w:rPr>
          <w:rFonts w:ascii="Arial" w:hAnsi="Arial" w:cs="Arial"/>
          <w:sz w:val="22"/>
          <w:szCs w:val="22"/>
        </w:rPr>
      </w:pPr>
      <w:r w:rsidRPr="00430B0B">
        <w:rPr>
          <w:rFonts w:ascii="Arial" w:hAnsi="Arial" w:cs="Arial"/>
          <w:sz w:val="22"/>
          <w:szCs w:val="22"/>
        </w:rPr>
        <w:t xml:space="preserve">En ese contexto, el 19 de febrero de la presente anualidad, la Comisión </w:t>
      </w:r>
      <w:r w:rsidR="00FB4FCD" w:rsidRPr="00430B0B">
        <w:rPr>
          <w:rFonts w:ascii="Arial" w:hAnsi="Arial" w:cs="Arial"/>
          <w:sz w:val="22"/>
          <w:szCs w:val="22"/>
        </w:rPr>
        <w:t xml:space="preserve">de Seguimiento, </w:t>
      </w:r>
      <w:r w:rsidRPr="00430B0B">
        <w:rPr>
          <w:rFonts w:ascii="Arial" w:hAnsi="Arial" w:cs="Arial"/>
          <w:sz w:val="22"/>
          <w:szCs w:val="22"/>
        </w:rPr>
        <w:t xml:space="preserve">en ejercicio de sus atribuciones, aprobó el proyecto CPSSPE/2025/002, relativo a la propuesta correspondiente al </w:t>
      </w:r>
      <w:r w:rsidR="006963AE" w:rsidRPr="00430B0B">
        <w:rPr>
          <w:rFonts w:ascii="Arial" w:hAnsi="Arial" w:cs="Arial"/>
          <w:sz w:val="22"/>
          <w:szCs w:val="22"/>
        </w:rPr>
        <w:t xml:space="preserve">Dictamen General </w:t>
      </w:r>
      <w:r w:rsidRPr="00430B0B">
        <w:rPr>
          <w:rFonts w:ascii="Arial" w:hAnsi="Arial" w:cs="Arial"/>
          <w:sz w:val="22"/>
          <w:szCs w:val="22"/>
        </w:rPr>
        <w:t xml:space="preserve">de resultados de la evaluación del desempeño de las y los miembros del Servicio Profesional adscritos a este </w:t>
      </w:r>
      <w:r w:rsidR="006963AE" w:rsidRPr="00430B0B">
        <w:rPr>
          <w:rFonts w:ascii="Arial" w:hAnsi="Arial" w:cs="Arial"/>
          <w:sz w:val="22"/>
          <w:szCs w:val="22"/>
        </w:rPr>
        <w:t>Organismo Electoral</w:t>
      </w:r>
      <w:r w:rsidRPr="00430B0B">
        <w:rPr>
          <w:rFonts w:ascii="Arial" w:hAnsi="Arial" w:cs="Arial"/>
          <w:sz w:val="22"/>
          <w:szCs w:val="22"/>
        </w:rPr>
        <w:t>, correspondiente al periodo septiembre de 2023 a agosto de 2024.</w:t>
      </w:r>
    </w:p>
    <w:p w14:paraId="014643F0" w14:textId="0F54EF18" w:rsidR="00D92811" w:rsidRDefault="00D92811" w:rsidP="00D92811">
      <w:pPr>
        <w:rPr>
          <w:rFonts w:ascii="Arial" w:hAnsi="Arial" w:cs="Arial"/>
          <w:sz w:val="22"/>
          <w:szCs w:val="22"/>
        </w:rPr>
      </w:pPr>
      <w:r w:rsidRPr="00430B0B">
        <w:rPr>
          <w:rFonts w:ascii="Arial" w:hAnsi="Arial" w:cs="Arial"/>
          <w:sz w:val="22"/>
          <w:szCs w:val="22"/>
        </w:rPr>
        <w:t>Sobre la base de las consideraciones señaladas, este Consejo Estatal emite el siguiente:</w:t>
      </w:r>
    </w:p>
    <w:p w14:paraId="4865281C" w14:textId="77777777" w:rsidR="00430B0B" w:rsidRPr="00430B0B" w:rsidRDefault="00430B0B" w:rsidP="00D92811">
      <w:pPr>
        <w:rPr>
          <w:rFonts w:ascii="Arial" w:hAnsi="Arial" w:cs="Arial"/>
          <w:sz w:val="22"/>
          <w:szCs w:val="22"/>
        </w:rPr>
      </w:pPr>
    </w:p>
    <w:p w14:paraId="7FA8EF74" w14:textId="77777777" w:rsidR="00D92811" w:rsidRPr="00F0315B" w:rsidRDefault="00D92811" w:rsidP="00F0315B">
      <w:pPr>
        <w:pStyle w:val="Ttulo1"/>
      </w:pPr>
      <w:r w:rsidRPr="00F0315B">
        <w:lastRenderedPageBreak/>
        <w:t>Acuerdo</w:t>
      </w:r>
    </w:p>
    <w:p w14:paraId="0EF727DC" w14:textId="75C68172" w:rsidR="00D92811" w:rsidRPr="00430B0B" w:rsidRDefault="00D92811" w:rsidP="00D92811">
      <w:pPr>
        <w:rPr>
          <w:rFonts w:ascii="Arial" w:hAnsi="Arial" w:cs="Arial"/>
          <w:sz w:val="22"/>
          <w:szCs w:val="22"/>
        </w:rPr>
      </w:pPr>
      <w:r w:rsidRPr="00F0315B">
        <w:rPr>
          <w:rFonts w:ascii="Arial" w:hAnsi="Arial" w:cs="Arial"/>
          <w:b/>
          <w:bCs/>
        </w:rPr>
        <w:t>Primero.</w:t>
      </w:r>
      <w:r w:rsidRPr="00F0315B">
        <w:rPr>
          <w:rFonts w:ascii="Arial" w:hAnsi="Arial" w:cs="Arial"/>
        </w:rPr>
        <w:t xml:space="preserve"> </w:t>
      </w:r>
      <w:r w:rsidR="00FB4FCD" w:rsidRPr="00430B0B">
        <w:rPr>
          <w:rFonts w:ascii="Arial" w:hAnsi="Arial" w:cs="Arial"/>
          <w:sz w:val="22"/>
          <w:szCs w:val="22"/>
        </w:rPr>
        <w:t>S</w:t>
      </w:r>
      <w:r w:rsidRPr="00430B0B">
        <w:rPr>
          <w:rFonts w:ascii="Arial" w:hAnsi="Arial" w:cs="Arial"/>
          <w:sz w:val="22"/>
          <w:szCs w:val="22"/>
        </w:rPr>
        <w:t xml:space="preserve">e aprueba el </w:t>
      </w:r>
      <w:r w:rsidR="006963AE" w:rsidRPr="00430B0B">
        <w:rPr>
          <w:rFonts w:ascii="Arial" w:hAnsi="Arial" w:cs="Arial"/>
          <w:sz w:val="22"/>
          <w:szCs w:val="22"/>
        </w:rPr>
        <w:t xml:space="preserve">Dictamen General </w:t>
      </w:r>
      <w:r w:rsidRPr="00430B0B">
        <w:rPr>
          <w:rFonts w:ascii="Arial" w:hAnsi="Arial" w:cs="Arial"/>
          <w:sz w:val="22"/>
          <w:szCs w:val="22"/>
        </w:rPr>
        <w:t>de resultados de la evaluación del desempeño de las y los miembros del Servicio Profesional Electoral Nacional de</w:t>
      </w:r>
      <w:r w:rsidR="00A70530" w:rsidRPr="00430B0B">
        <w:rPr>
          <w:rFonts w:ascii="Arial" w:hAnsi="Arial" w:cs="Arial"/>
          <w:sz w:val="22"/>
          <w:szCs w:val="22"/>
        </w:rPr>
        <w:t xml:space="preserve">l </w:t>
      </w:r>
      <w:r w:rsidRPr="00430B0B">
        <w:rPr>
          <w:rFonts w:ascii="Arial" w:hAnsi="Arial" w:cs="Arial"/>
          <w:sz w:val="22"/>
          <w:szCs w:val="22"/>
        </w:rPr>
        <w:t>Instituto Electoral</w:t>
      </w:r>
      <w:r w:rsidR="00A70530" w:rsidRPr="00430B0B">
        <w:rPr>
          <w:rFonts w:ascii="Arial" w:hAnsi="Arial" w:cs="Arial"/>
          <w:sz w:val="22"/>
          <w:szCs w:val="22"/>
        </w:rPr>
        <w:t xml:space="preserve"> y de Participación Ciudadana de Tabasco, </w:t>
      </w:r>
      <w:r w:rsidRPr="00430B0B">
        <w:rPr>
          <w:rFonts w:ascii="Arial" w:hAnsi="Arial" w:cs="Arial"/>
          <w:sz w:val="22"/>
          <w:szCs w:val="22"/>
        </w:rPr>
        <w:t xml:space="preserve">correspondiente al período comprendido de </w:t>
      </w:r>
      <w:r w:rsidR="00A70530" w:rsidRPr="00430B0B">
        <w:rPr>
          <w:rFonts w:ascii="Arial" w:hAnsi="Arial" w:cs="Arial"/>
          <w:sz w:val="22"/>
          <w:szCs w:val="22"/>
        </w:rPr>
        <w:t>septiembre 2023 a agosto 2024</w:t>
      </w:r>
      <w:r w:rsidRPr="00430B0B">
        <w:rPr>
          <w:rFonts w:ascii="Arial" w:hAnsi="Arial" w:cs="Arial"/>
          <w:sz w:val="22"/>
          <w:szCs w:val="22"/>
        </w:rPr>
        <w:t xml:space="preserve"> anexo </w:t>
      </w:r>
      <w:r w:rsidR="00A70530" w:rsidRPr="00430B0B">
        <w:rPr>
          <w:rFonts w:ascii="Arial" w:hAnsi="Arial" w:cs="Arial"/>
          <w:sz w:val="22"/>
          <w:szCs w:val="22"/>
        </w:rPr>
        <w:t xml:space="preserve">al </w:t>
      </w:r>
      <w:r w:rsidRPr="00430B0B">
        <w:rPr>
          <w:rFonts w:ascii="Arial" w:hAnsi="Arial" w:cs="Arial"/>
          <w:sz w:val="22"/>
          <w:szCs w:val="22"/>
        </w:rPr>
        <w:t>presente acuerdo.</w:t>
      </w:r>
    </w:p>
    <w:p w14:paraId="3AC0E589" w14:textId="085088E7" w:rsidR="00D92811" w:rsidRPr="00430B0B" w:rsidRDefault="00D92811" w:rsidP="00D92811">
      <w:pPr>
        <w:rPr>
          <w:rFonts w:ascii="Arial" w:hAnsi="Arial" w:cs="Arial"/>
          <w:sz w:val="22"/>
          <w:szCs w:val="22"/>
        </w:rPr>
      </w:pPr>
      <w:r w:rsidRPr="00430B0B">
        <w:rPr>
          <w:rFonts w:ascii="Arial" w:hAnsi="Arial" w:cs="Arial"/>
          <w:b/>
          <w:bCs/>
          <w:sz w:val="22"/>
          <w:szCs w:val="22"/>
        </w:rPr>
        <w:t>Segundo.</w:t>
      </w:r>
      <w:r w:rsidRPr="00430B0B">
        <w:rPr>
          <w:rFonts w:ascii="Arial" w:hAnsi="Arial" w:cs="Arial"/>
          <w:sz w:val="22"/>
          <w:szCs w:val="22"/>
        </w:rPr>
        <w:t xml:space="preserve"> En cumplimiento al artículo 80 de los Lineamientos, se instruye al Órgano de Enlace con el Servicio Profesional Electoral Nacional notifique los resultados de la evaluación del desempeño correspondientes al periodo septiembre 2023 a agosto 2024, al personal del Servicio</w:t>
      </w:r>
      <w:r w:rsidR="006963AE" w:rsidRPr="00430B0B">
        <w:rPr>
          <w:rFonts w:ascii="Arial" w:hAnsi="Arial" w:cs="Arial"/>
          <w:sz w:val="22"/>
          <w:szCs w:val="22"/>
        </w:rPr>
        <w:t xml:space="preserve"> Profesional</w:t>
      </w:r>
      <w:r w:rsidRPr="00430B0B">
        <w:rPr>
          <w:rFonts w:ascii="Arial" w:hAnsi="Arial" w:cs="Arial"/>
          <w:sz w:val="22"/>
          <w:szCs w:val="22"/>
        </w:rPr>
        <w:t>, en un periodo no mayor a un mes, contado a partir del siguiente día de la aprobación del presente acuerdo.</w:t>
      </w:r>
    </w:p>
    <w:p w14:paraId="15327E9B" w14:textId="77777777" w:rsidR="00D92811" w:rsidRPr="00430B0B" w:rsidRDefault="00D92811" w:rsidP="00D92811">
      <w:pPr>
        <w:rPr>
          <w:rFonts w:ascii="Arial" w:hAnsi="Arial" w:cs="Arial"/>
          <w:sz w:val="22"/>
          <w:szCs w:val="22"/>
        </w:rPr>
      </w:pPr>
      <w:r w:rsidRPr="00430B0B">
        <w:rPr>
          <w:rFonts w:ascii="Arial" w:hAnsi="Arial" w:cs="Arial"/>
          <w:b/>
          <w:bCs/>
          <w:sz w:val="22"/>
          <w:szCs w:val="22"/>
        </w:rPr>
        <w:t>Tercero.</w:t>
      </w:r>
      <w:r w:rsidRPr="00430B0B">
        <w:rPr>
          <w:rFonts w:ascii="Arial" w:hAnsi="Arial" w:cs="Arial"/>
          <w:sz w:val="22"/>
          <w:szCs w:val="22"/>
        </w:rPr>
        <w:t xml:space="preserve"> Se instruye a la Secretaría Ejecutiva de este Instituto para que, a través de la Coordinación de Vinculación con el Instituto Nacional Electoral, notifique el presente acuerdo al citado organismo nacional, a través de su Unidad Técnica de Vinculación con los Organismos Públicos Locales, para los efectos correspondientes.</w:t>
      </w:r>
    </w:p>
    <w:p w14:paraId="4D2FBEE0" w14:textId="77777777" w:rsidR="00D92811" w:rsidRPr="00430B0B" w:rsidRDefault="00D92811" w:rsidP="00D92811">
      <w:pPr>
        <w:rPr>
          <w:rFonts w:ascii="Arial" w:hAnsi="Arial" w:cs="Arial"/>
          <w:sz w:val="22"/>
          <w:szCs w:val="22"/>
        </w:rPr>
      </w:pPr>
      <w:r w:rsidRPr="00430B0B">
        <w:rPr>
          <w:rFonts w:ascii="Arial" w:hAnsi="Arial" w:cs="Arial"/>
          <w:b/>
          <w:bCs/>
          <w:sz w:val="22"/>
          <w:szCs w:val="22"/>
        </w:rPr>
        <w:t>Cuarto.</w:t>
      </w:r>
      <w:r w:rsidRPr="00430B0B">
        <w:rPr>
          <w:rFonts w:ascii="Arial" w:hAnsi="Arial" w:cs="Arial"/>
          <w:sz w:val="22"/>
          <w:szCs w:val="22"/>
        </w:rPr>
        <w:t xml:space="preserve"> De conformidad con lo dispuesto en el artículo 114 de la Ley Electoral y de Partidos Políticos del Estado de Tabasco, publíquese el contenido del presente acuerdo en el Periódico Oficial del Estado y en la página de internet del Instituto.</w:t>
      </w:r>
    </w:p>
    <w:p w14:paraId="2FA212B6" w14:textId="283409CF" w:rsidR="00FB4FCD" w:rsidRDefault="00FB4FCD" w:rsidP="00FB4FCD">
      <w:pPr>
        <w:rPr>
          <w:rFonts w:ascii="Arial" w:hAnsi="Arial" w:cs="Arial"/>
          <w:sz w:val="22"/>
          <w:szCs w:val="22"/>
        </w:rPr>
      </w:pPr>
      <w:r w:rsidRPr="00430B0B">
        <w:rPr>
          <w:rFonts w:ascii="Arial" w:hAnsi="Arial" w:cs="Arial"/>
          <w:sz w:val="22"/>
          <w:szCs w:val="22"/>
        </w:rPr>
        <w:t xml:space="preserve">El presente acuerdo </w:t>
      </w:r>
      <w:r w:rsidR="00CE753D">
        <w:rPr>
          <w:rFonts w:ascii="Arial" w:hAnsi="Arial" w:cs="Arial"/>
          <w:sz w:val="22"/>
          <w:szCs w:val="22"/>
        </w:rPr>
        <w:t>fue aprobado en</w:t>
      </w:r>
      <w:r w:rsidRPr="00430B0B">
        <w:rPr>
          <w:rFonts w:ascii="Arial" w:hAnsi="Arial" w:cs="Arial"/>
          <w:sz w:val="22"/>
          <w:szCs w:val="22"/>
        </w:rPr>
        <w:t xml:space="preserve"> sesión </w:t>
      </w:r>
      <w:r w:rsidR="00CE753D">
        <w:rPr>
          <w:rFonts w:ascii="Arial" w:hAnsi="Arial" w:cs="Arial"/>
          <w:sz w:val="22"/>
          <w:szCs w:val="22"/>
        </w:rPr>
        <w:t>ordinaria</w:t>
      </w:r>
      <w:r w:rsidRPr="00430B0B">
        <w:rPr>
          <w:rFonts w:ascii="Arial" w:hAnsi="Arial" w:cs="Arial"/>
          <w:sz w:val="22"/>
          <w:szCs w:val="22"/>
        </w:rPr>
        <w:t xml:space="preserve"> efectuada el</w:t>
      </w:r>
      <w:r w:rsidR="00CE753D">
        <w:rPr>
          <w:rFonts w:ascii="Arial" w:hAnsi="Arial" w:cs="Arial"/>
          <w:sz w:val="22"/>
          <w:szCs w:val="22"/>
        </w:rPr>
        <w:t xml:space="preserve"> veintiocho </w:t>
      </w:r>
      <w:r w:rsidRPr="00430B0B">
        <w:rPr>
          <w:rFonts w:ascii="Arial" w:hAnsi="Arial" w:cs="Arial"/>
          <w:sz w:val="22"/>
          <w:szCs w:val="22"/>
        </w:rPr>
        <w:t xml:space="preserve">de </w:t>
      </w:r>
      <w:r w:rsidR="00CE753D">
        <w:rPr>
          <w:rFonts w:ascii="Arial" w:hAnsi="Arial" w:cs="Arial"/>
          <w:sz w:val="22"/>
          <w:szCs w:val="22"/>
        </w:rPr>
        <w:t>febrero</w:t>
      </w:r>
      <w:r w:rsidRPr="00430B0B">
        <w:rPr>
          <w:rFonts w:ascii="Arial" w:hAnsi="Arial" w:cs="Arial"/>
          <w:sz w:val="22"/>
          <w:szCs w:val="22"/>
        </w:rPr>
        <w:t xml:space="preserve"> del año dos mil veinticinco, por votación </w:t>
      </w:r>
      <w:r w:rsidR="00CE753D">
        <w:rPr>
          <w:rFonts w:ascii="Arial" w:hAnsi="Arial" w:cs="Arial"/>
          <w:sz w:val="22"/>
          <w:szCs w:val="22"/>
        </w:rPr>
        <w:t>unánime</w:t>
      </w:r>
      <w:r w:rsidRPr="00430B0B">
        <w:rPr>
          <w:rFonts w:ascii="Arial" w:hAnsi="Arial" w:cs="Arial"/>
          <w:sz w:val="22"/>
          <w:szCs w:val="22"/>
        </w:rPr>
        <w:t xml:space="preserve"> de las y los Consejeros Electorales del Consejo Estatal del Instituto Electoral y de Participación Ciudadana de Tabasco: Licda. María Elvia Magaña Sandoval, Lic. Hernán González Sala, Lic. Vladimir Hernández Venegas, Licda. Ángela Guadalupe Araujo Segura, Licda. Monserrat Martínez </w:t>
      </w:r>
      <w:proofErr w:type="spellStart"/>
      <w:r w:rsidRPr="00430B0B">
        <w:rPr>
          <w:rFonts w:ascii="Arial" w:hAnsi="Arial" w:cs="Arial"/>
          <w:sz w:val="22"/>
          <w:szCs w:val="22"/>
        </w:rPr>
        <w:t>Beaurregard</w:t>
      </w:r>
      <w:proofErr w:type="spellEnd"/>
      <w:r w:rsidRPr="00430B0B">
        <w:rPr>
          <w:rFonts w:ascii="Arial" w:hAnsi="Arial" w:cs="Arial"/>
          <w:sz w:val="22"/>
          <w:szCs w:val="22"/>
        </w:rPr>
        <w:t xml:space="preserve">, Mtra. Ruth </w:t>
      </w:r>
      <w:proofErr w:type="spellStart"/>
      <w:r w:rsidRPr="00430B0B">
        <w:rPr>
          <w:rFonts w:ascii="Arial" w:hAnsi="Arial" w:cs="Arial"/>
          <w:sz w:val="22"/>
          <w:szCs w:val="22"/>
        </w:rPr>
        <w:t>Lizette</w:t>
      </w:r>
      <w:proofErr w:type="spellEnd"/>
      <w:r w:rsidRPr="00430B0B">
        <w:rPr>
          <w:rFonts w:ascii="Arial" w:hAnsi="Arial" w:cs="Arial"/>
          <w:sz w:val="22"/>
          <w:szCs w:val="22"/>
        </w:rPr>
        <w:t xml:space="preserve"> Toledo Peral y la Consejera Presidenta, Mtra. Elizabeth Nava Gutiérr</w:t>
      </w:r>
      <w:r w:rsidR="00F0315B" w:rsidRPr="00430B0B">
        <w:rPr>
          <w:rFonts w:ascii="Arial" w:hAnsi="Arial" w:cs="Arial"/>
          <w:sz w:val="22"/>
          <w:szCs w:val="22"/>
        </w:rPr>
        <w:t>e</w:t>
      </w:r>
      <w:r w:rsidRPr="00430B0B">
        <w:rPr>
          <w:rFonts w:ascii="Arial" w:hAnsi="Arial" w:cs="Arial"/>
          <w:sz w:val="22"/>
          <w:szCs w:val="22"/>
        </w:rPr>
        <w:t>z.</w:t>
      </w:r>
    </w:p>
    <w:p w14:paraId="1A8B8430" w14:textId="3BC82DB4" w:rsidR="00430B0B" w:rsidRDefault="00430B0B" w:rsidP="00FB4FCD">
      <w:pPr>
        <w:rPr>
          <w:rFonts w:ascii="Arial" w:hAnsi="Arial" w:cs="Arial"/>
          <w:sz w:val="22"/>
          <w:szCs w:val="22"/>
        </w:rPr>
      </w:pPr>
      <w:bookmarkStart w:id="0" w:name="_GoBack"/>
      <w:bookmarkEnd w:id="0"/>
    </w:p>
    <w:p w14:paraId="098E1708" w14:textId="1B18A332" w:rsidR="00430B0B" w:rsidRDefault="00430B0B" w:rsidP="00FB4FCD">
      <w:pPr>
        <w:rPr>
          <w:rFonts w:ascii="Arial" w:hAnsi="Arial" w:cs="Arial"/>
          <w:sz w:val="22"/>
          <w:szCs w:val="22"/>
        </w:rPr>
      </w:pPr>
    </w:p>
    <w:p w14:paraId="1B397CF3" w14:textId="77777777" w:rsidR="00430B0B" w:rsidRPr="00430B0B" w:rsidRDefault="00430B0B" w:rsidP="00FB4FCD">
      <w:pPr>
        <w:rPr>
          <w:rFonts w:ascii="Arial" w:hAnsi="Arial" w:cs="Arial"/>
          <w:sz w:val="22"/>
          <w:szCs w:val="22"/>
        </w:rPr>
      </w:pPr>
    </w:p>
    <w:tbl>
      <w:tblPr>
        <w:tblStyle w:val="Tablaconcuadrcula"/>
        <w:tblW w:w="9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00"/>
        <w:gridCol w:w="258"/>
        <w:gridCol w:w="4594"/>
      </w:tblGrid>
      <w:tr w:rsidR="00FB4FCD" w:rsidRPr="00430B0B" w14:paraId="0306ACC6" w14:textId="77777777" w:rsidTr="00F0315B">
        <w:trPr>
          <w:trHeight w:val="883"/>
        </w:trPr>
        <w:tc>
          <w:tcPr>
            <w:tcW w:w="4800" w:type="dxa"/>
          </w:tcPr>
          <w:p w14:paraId="2579B1ED" w14:textId="77777777" w:rsidR="00FB4FCD" w:rsidRPr="00430B0B" w:rsidRDefault="00FB4FCD" w:rsidP="00F047D7">
            <w:pPr>
              <w:spacing w:before="0" w:after="0"/>
              <w:jc w:val="center"/>
              <w:rPr>
                <w:rFonts w:ascii="Arial" w:hAnsi="Arial" w:cs="Arial"/>
                <w:b/>
                <w:bCs/>
                <w:sz w:val="22"/>
                <w:szCs w:val="22"/>
              </w:rPr>
            </w:pPr>
            <w:r w:rsidRPr="00430B0B">
              <w:rPr>
                <w:rFonts w:ascii="Arial" w:hAnsi="Arial" w:cs="Arial"/>
                <w:b/>
                <w:bCs/>
                <w:sz w:val="22"/>
                <w:szCs w:val="22"/>
              </w:rPr>
              <w:t>MTRA. ELIZABETH NAVA GUTIÉRREZ</w:t>
            </w:r>
          </w:p>
          <w:p w14:paraId="48AB8B8B" w14:textId="77777777" w:rsidR="00FB4FCD" w:rsidRPr="00430B0B" w:rsidRDefault="00FB4FCD" w:rsidP="00F047D7">
            <w:pPr>
              <w:spacing w:before="0" w:after="0"/>
              <w:jc w:val="center"/>
              <w:rPr>
                <w:rFonts w:ascii="Arial" w:hAnsi="Arial" w:cs="Arial"/>
                <w:b/>
                <w:bCs/>
                <w:sz w:val="22"/>
                <w:szCs w:val="22"/>
              </w:rPr>
            </w:pPr>
            <w:r w:rsidRPr="00430B0B">
              <w:rPr>
                <w:rFonts w:ascii="Arial" w:hAnsi="Arial" w:cs="Arial"/>
                <w:b/>
                <w:bCs/>
                <w:sz w:val="22"/>
                <w:szCs w:val="22"/>
              </w:rPr>
              <w:t>CONSEJERA PRESIDENTA</w:t>
            </w:r>
          </w:p>
        </w:tc>
        <w:tc>
          <w:tcPr>
            <w:tcW w:w="258" w:type="dxa"/>
          </w:tcPr>
          <w:p w14:paraId="7815210B" w14:textId="77777777" w:rsidR="00FB4FCD" w:rsidRPr="00430B0B" w:rsidRDefault="00FB4FCD" w:rsidP="00F047D7">
            <w:pPr>
              <w:spacing w:before="0" w:after="0"/>
              <w:rPr>
                <w:rFonts w:ascii="Arial" w:hAnsi="Arial" w:cs="Arial"/>
                <w:b/>
                <w:bCs/>
                <w:sz w:val="22"/>
                <w:szCs w:val="22"/>
              </w:rPr>
            </w:pPr>
          </w:p>
        </w:tc>
        <w:tc>
          <w:tcPr>
            <w:tcW w:w="4594" w:type="dxa"/>
          </w:tcPr>
          <w:p w14:paraId="5DA1A31F" w14:textId="77777777" w:rsidR="00FB4FCD" w:rsidRPr="00430B0B" w:rsidRDefault="00FB4FCD" w:rsidP="00F047D7">
            <w:pPr>
              <w:spacing w:before="0" w:after="0"/>
              <w:jc w:val="center"/>
              <w:rPr>
                <w:rFonts w:ascii="Arial" w:hAnsi="Arial" w:cs="Arial"/>
                <w:b/>
                <w:bCs/>
                <w:sz w:val="22"/>
                <w:szCs w:val="22"/>
              </w:rPr>
            </w:pPr>
            <w:r w:rsidRPr="00430B0B">
              <w:rPr>
                <w:rFonts w:ascii="Arial" w:hAnsi="Arial" w:cs="Arial"/>
                <w:b/>
                <w:bCs/>
                <w:sz w:val="22"/>
                <w:szCs w:val="22"/>
              </w:rPr>
              <w:t>LIC. JORGE ALBERTO ZAVALA FRÍAS</w:t>
            </w:r>
          </w:p>
          <w:p w14:paraId="1CFBCD7B" w14:textId="77777777" w:rsidR="00FB4FCD" w:rsidRPr="00430B0B" w:rsidRDefault="00FB4FCD" w:rsidP="00F047D7">
            <w:pPr>
              <w:spacing w:before="0" w:after="0"/>
              <w:jc w:val="center"/>
              <w:rPr>
                <w:rFonts w:ascii="Arial" w:hAnsi="Arial" w:cs="Arial"/>
                <w:b/>
                <w:bCs/>
                <w:sz w:val="22"/>
                <w:szCs w:val="22"/>
              </w:rPr>
            </w:pPr>
            <w:r w:rsidRPr="00430B0B">
              <w:rPr>
                <w:rFonts w:ascii="Arial" w:hAnsi="Arial" w:cs="Arial"/>
                <w:b/>
                <w:bCs/>
                <w:sz w:val="22"/>
                <w:szCs w:val="22"/>
              </w:rPr>
              <w:t>SECRETARIO DEL CONSEJO</w:t>
            </w:r>
          </w:p>
        </w:tc>
      </w:tr>
    </w:tbl>
    <w:p w14:paraId="08D6B31D" w14:textId="77777777" w:rsidR="00FB4FCD" w:rsidRPr="00430B0B" w:rsidRDefault="00FB4FCD" w:rsidP="00D92811">
      <w:pPr>
        <w:rPr>
          <w:rFonts w:ascii="Arial" w:hAnsi="Arial" w:cs="Arial"/>
          <w:sz w:val="22"/>
          <w:szCs w:val="22"/>
        </w:rPr>
      </w:pPr>
    </w:p>
    <w:sectPr w:rsidR="00FB4FCD" w:rsidRPr="00430B0B" w:rsidSect="00FB4FCD">
      <w:headerReference w:type="default" r:id="rId8"/>
      <w:footerReference w:type="default" r:id="rId9"/>
      <w:pgSz w:w="12240" w:h="15840" w:code="1"/>
      <w:pgMar w:top="2836" w:right="1701"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BEE4C5" w14:textId="77777777" w:rsidR="009E6316" w:rsidRDefault="009E6316" w:rsidP="00FB4FCD">
      <w:pPr>
        <w:spacing w:before="0" w:after="0" w:line="240" w:lineRule="auto"/>
      </w:pPr>
      <w:r>
        <w:separator/>
      </w:r>
    </w:p>
  </w:endnote>
  <w:endnote w:type="continuationSeparator" w:id="0">
    <w:p w14:paraId="10517426" w14:textId="77777777" w:rsidR="009E6316" w:rsidRDefault="009E6316" w:rsidP="00FB4FC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D305B94-96BA-4B84-8A4C-0DD4211E8093}"/>
    <w:embedBold r:id="rId2" w:fontKey="{EF4F2543-50F7-409F-A3CC-38C897A683DB}"/>
    <w:embedItalic r:id="rId3" w:fontKey="{CF6DEAD6-30FE-40DD-9556-0C9EEB26436C}"/>
  </w:font>
  <w:font w:name="Exo">
    <w:charset w:val="00"/>
    <w:family w:val="auto"/>
    <w:pitch w:val="variable"/>
    <w:sig w:usb0="A00000FF" w:usb1="4000204B" w:usb2="00000000" w:usb3="00000000" w:csb0="00000193" w:csb1="00000000"/>
    <w:embedRegular r:id="rId4" w:fontKey="{7A29AE54-849D-4808-8B38-A29412B28320}"/>
    <w:embedBold r:id="rId5" w:fontKey="{1B4459AE-1D8E-4BF8-94C4-8ADD6D6EFF0C}"/>
    <w:embedItalic r:id="rId6" w:fontKey="{BA219195-0BB9-4F37-9B71-9F46FBB543B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08FE3EE6-5A6E-4975-A4BF-D151A9556533}"/>
  </w:font>
  <w:font w:name="Arial Negrita">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993366"/>
        <w:sz w:val="20"/>
        <w:szCs w:val="20"/>
      </w:rPr>
      <w:id w:val="-1267611025"/>
      <w:docPartObj>
        <w:docPartGallery w:val="Page Numbers (Top of Page)"/>
        <w:docPartUnique/>
      </w:docPartObj>
    </w:sdtPr>
    <w:sdtEndPr>
      <w:rPr>
        <w:rFonts w:ascii="Arial" w:hAnsi="Arial" w:cs="Arial"/>
      </w:rPr>
    </w:sdtEndPr>
    <w:sdtContent>
      <w:p w14:paraId="3DB35992" w14:textId="50123C8D" w:rsidR="00FB4FCD" w:rsidRPr="00430B0B" w:rsidRDefault="00FB4FCD" w:rsidP="00FB4FCD">
        <w:pPr>
          <w:pStyle w:val="Piedepgina"/>
          <w:jc w:val="right"/>
          <w:rPr>
            <w:rFonts w:ascii="Arial" w:hAnsi="Arial" w:cs="Arial"/>
            <w:color w:val="993366"/>
            <w:sz w:val="20"/>
            <w:szCs w:val="20"/>
          </w:rPr>
        </w:pPr>
        <w:r w:rsidRPr="00430B0B">
          <w:rPr>
            <w:rFonts w:ascii="Arial" w:hAnsi="Arial" w:cs="Arial"/>
            <w:b/>
            <w:bCs/>
            <w:color w:val="993366"/>
          </w:rPr>
          <w:t xml:space="preserve">Página </w:t>
        </w:r>
        <w:r w:rsidRPr="00430B0B">
          <w:rPr>
            <w:rFonts w:ascii="Arial" w:hAnsi="Arial" w:cs="Arial"/>
            <w:b/>
            <w:bCs/>
            <w:color w:val="993366"/>
          </w:rPr>
          <w:fldChar w:fldCharType="begin"/>
        </w:r>
        <w:r w:rsidRPr="00430B0B">
          <w:rPr>
            <w:rFonts w:ascii="Arial" w:hAnsi="Arial" w:cs="Arial"/>
            <w:b/>
            <w:bCs/>
            <w:color w:val="993366"/>
          </w:rPr>
          <w:instrText>PAGE</w:instrText>
        </w:r>
        <w:r w:rsidRPr="00430B0B">
          <w:rPr>
            <w:rFonts w:ascii="Arial" w:hAnsi="Arial" w:cs="Arial"/>
            <w:b/>
            <w:bCs/>
            <w:color w:val="993366"/>
          </w:rPr>
          <w:fldChar w:fldCharType="separate"/>
        </w:r>
        <w:r w:rsidR="00CE753D">
          <w:rPr>
            <w:rFonts w:ascii="Arial" w:hAnsi="Arial" w:cs="Arial"/>
            <w:b/>
            <w:bCs/>
            <w:noProof/>
            <w:color w:val="993366"/>
          </w:rPr>
          <w:t>10</w:t>
        </w:r>
        <w:r w:rsidRPr="00430B0B">
          <w:rPr>
            <w:rFonts w:ascii="Arial" w:hAnsi="Arial" w:cs="Arial"/>
            <w:b/>
            <w:bCs/>
            <w:color w:val="993366"/>
          </w:rPr>
          <w:fldChar w:fldCharType="end"/>
        </w:r>
        <w:r w:rsidRPr="00430B0B">
          <w:rPr>
            <w:rFonts w:ascii="Arial" w:hAnsi="Arial" w:cs="Arial"/>
            <w:b/>
            <w:bCs/>
            <w:color w:val="993366"/>
          </w:rPr>
          <w:t xml:space="preserve"> | </w:t>
        </w:r>
        <w:r w:rsidRPr="00430B0B">
          <w:rPr>
            <w:rFonts w:ascii="Arial" w:hAnsi="Arial" w:cs="Arial"/>
            <w:b/>
            <w:bCs/>
            <w:color w:val="993366"/>
          </w:rPr>
          <w:fldChar w:fldCharType="begin"/>
        </w:r>
        <w:r w:rsidRPr="00430B0B">
          <w:rPr>
            <w:rFonts w:ascii="Arial" w:hAnsi="Arial" w:cs="Arial"/>
            <w:b/>
            <w:bCs/>
            <w:color w:val="993366"/>
          </w:rPr>
          <w:instrText>NUMPAGES</w:instrText>
        </w:r>
        <w:r w:rsidRPr="00430B0B">
          <w:rPr>
            <w:rFonts w:ascii="Arial" w:hAnsi="Arial" w:cs="Arial"/>
            <w:b/>
            <w:bCs/>
            <w:color w:val="993366"/>
          </w:rPr>
          <w:fldChar w:fldCharType="separate"/>
        </w:r>
        <w:r w:rsidR="00CE753D">
          <w:rPr>
            <w:rFonts w:ascii="Arial" w:hAnsi="Arial" w:cs="Arial"/>
            <w:b/>
            <w:bCs/>
            <w:noProof/>
            <w:color w:val="993366"/>
          </w:rPr>
          <w:t>10</w:t>
        </w:r>
        <w:r w:rsidRPr="00430B0B">
          <w:rPr>
            <w:rFonts w:ascii="Arial" w:hAnsi="Arial" w:cs="Arial"/>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7B4487" w14:textId="77777777" w:rsidR="009E6316" w:rsidRDefault="009E6316" w:rsidP="00FB4FCD">
      <w:pPr>
        <w:spacing w:before="0" w:after="0" w:line="240" w:lineRule="auto"/>
      </w:pPr>
      <w:r>
        <w:separator/>
      </w:r>
    </w:p>
  </w:footnote>
  <w:footnote w:type="continuationSeparator" w:id="0">
    <w:p w14:paraId="416FE295" w14:textId="77777777" w:rsidR="009E6316" w:rsidRDefault="009E6316" w:rsidP="00FB4FC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21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5735"/>
      <w:gridCol w:w="1667"/>
    </w:tblGrid>
    <w:tr w:rsidR="00FB4FCD" w14:paraId="7EF41636" w14:textId="77777777" w:rsidTr="00F047D7">
      <w:tc>
        <w:tcPr>
          <w:tcW w:w="1813" w:type="dxa"/>
        </w:tcPr>
        <w:p w14:paraId="500429EB" w14:textId="77777777" w:rsidR="00FB4FCD" w:rsidRDefault="00FB4FCD" w:rsidP="00FB4FCD">
          <w:pPr>
            <w:pStyle w:val="Encabezado"/>
          </w:pPr>
          <w:r>
            <w:rPr>
              <w:b/>
              <w:noProof/>
              <w:sz w:val="32"/>
              <w:lang w:eastAsia="es-MX"/>
            </w:rPr>
            <w:drawing>
              <wp:inline distT="0" distB="0" distL="0" distR="0" wp14:anchorId="7504FED0" wp14:editId="5BB072AA">
                <wp:extent cx="1014331" cy="1199403"/>
                <wp:effectExtent l="0" t="0" r="0" b="1270"/>
                <wp:docPr id="549165210" name="Imagen 549165210"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5842" w:type="dxa"/>
        </w:tcPr>
        <w:p w14:paraId="4AC8FA7B" w14:textId="77777777" w:rsidR="00FB4FCD" w:rsidRPr="00B33A23" w:rsidRDefault="00FB4FCD" w:rsidP="00FB4FCD">
          <w:pPr>
            <w:pStyle w:val="Encabezado"/>
            <w:spacing w:before="720"/>
            <w:jc w:val="center"/>
            <w:rPr>
              <w:rFonts w:ascii="Arial Negrita" w:hAnsi="Arial Negrita" w:cs="Arial"/>
              <w:b/>
              <w:bCs/>
              <w:spacing w:val="-10"/>
              <w:sz w:val="26"/>
              <w:szCs w:val="26"/>
            </w:rPr>
          </w:pPr>
          <w:r w:rsidRPr="00B33A23">
            <w:rPr>
              <w:rFonts w:ascii="Arial Negrita" w:hAnsi="Arial Negrita" w:cs="Arial"/>
              <w:b/>
              <w:bCs/>
              <w:spacing w:val="-10"/>
              <w:sz w:val="26"/>
              <w:szCs w:val="26"/>
            </w:rPr>
            <w:t>INSTITUTO ELECTORAL Y DE PARTICIPACIÓN CIUDADANA DE TABASCO</w:t>
          </w:r>
        </w:p>
        <w:p w14:paraId="1B3E1FEC" w14:textId="77777777" w:rsidR="00FB4FCD" w:rsidRDefault="00FB4FCD" w:rsidP="00FB4FCD">
          <w:pPr>
            <w:pStyle w:val="Encabezado"/>
            <w:spacing w:before="60"/>
            <w:jc w:val="center"/>
          </w:pPr>
          <w:r w:rsidRPr="00B33A23">
            <w:rPr>
              <w:rFonts w:ascii="Arial" w:hAnsi="Arial" w:cs="Arial"/>
              <w:b/>
              <w:bCs/>
              <w:sz w:val="28"/>
              <w:szCs w:val="28"/>
            </w:rPr>
            <w:t>CONSEJO ESTATAL</w:t>
          </w:r>
        </w:p>
      </w:tc>
      <w:tc>
        <w:tcPr>
          <w:tcW w:w="1560" w:type="dxa"/>
        </w:tcPr>
        <w:p w14:paraId="395B4F0A" w14:textId="77777777" w:rsidR="00FB4FCD" w:rsidRDefault="00FB4FCD" w:rsidP="00FB4FCD">
          <w:pPr>
            <w:pStyle w:val="Encabezado"/>
            <w:spacing w:before="480"/>
            <w:jc w:val="right"/>
          </w:pPr>
          <w:r>
            <w:rPr>
              <w:noProof/>
              <w:lang w:eastAsia="es-MX"/>
            </w:rPr>
            <w:drawing>
              <wp:inline distT="0" distB="0" distL="0" distR="0" wp14:anchorId="1B2BBC67" wp14:editId="77E76A52">
                <wp:extent cx="921600" cy="756000"/>
                <wp:effectExtent l="0" t="0" r="0" b="6350"/>
                <wp:docPr id="1004160493" name="Imagen 1"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45887" name="Imagen 1" descr="Logotipo, Icon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14:paraId="3C9341BE" w14:textId="44FFE23F" w:rsidR="00FB4FCD" w:rsidRPr="00430B0B" w:rsidRDefault="00430B0B" w:rsidP="00430B0B">
    <w:pPr>
      <w:pStyle w:val="Encabezado"/>
      <w:jc w:val="right"/>
      <w:rPr>
        <w:rFonts w:ascii="Arial" w:hAnsi="Arial" w:cs="Arial"/>
        <w:b/>
      </w:rPr>
    </w:pPr>
    <w:r w:rsidRPr="00430B0B">
      <w:rPr>
        <w:rFonts w:ascii="Arial" w:hAnsi="Arial" w:cs="Arial"/>
        <w:b/>
      </w:rPr>
      <w:t>CE/2025/016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966615"/>
    <w:multiLevelType w:val="multilevel"/>
    <w:tmpl w:val="526A3D16"/>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74040C61"/>
    <w:multiLevelType w:val="hybridMultilevel"/>
    <w:tmpl w:val="879E54D8"/>
    <w:lvl w:ilvl="0" w:tplc="6B480142">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80D6983"/>
    <w:multiLevelType w:val="hybridMultilevel"/>
    <w:tmpl w:val="08224F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811"/>
    <w:rsid w:val="000719AB"/>
    <w:rsid w:val="000B70AB"/>
    <w:rsid w:val="00127ABB"/>
    <w:rsid w:val="00196D0E"/>
    <w:rsid w:val="001E0297"/>
    <w:rsid w:val="00281967"/>
    <w:rsid w:val="002A1B9E"/>
    <w:rsid w:val="002F2212"/>
    <w:rsid w:val="003356C7"/>
    <w:rsid w:val="003741A9"/>
    <w:rsid w:val="00407368"/>
    <w:rsid w:val="00430B0B"/>
    <w:rsid w:val="00556E58"/>
    <w:rsid w:val="006963AE"/>
    <w:rsid w:val="00754A2B"/>
    <w:rsid w:val="007A2AD5"/>
    <w:rsid w:val="00923489"/>
    <w:rsid w:val="009675CE"/>
    <w:rsid w:val="00994326"/>
    <w:rsid w:val="009C44AE"/>
    <w:rsid w:val="009E6316"/>
    <w:rsid w:val="00A51043"/>
    <w:rsid w:val="00A61070"/>
    <w:rsid w:val="00A70530"/>
    <w:rsid w:val="00A84E6A"/>
    <w:rsid w:val="00BA11AB"/>
    <w:rsid w:val="00C610A2"/>
    <w:rsid w:val="00C85C5D"/>
    <w:rsid w:val="00CC2EF0"/>
    <w:rsid w:val="00CE753D"/>
    <w:rsid w:val="00CF5345"/>
    <w:rsid w:val="00D838A0"/>
    <w:rsid w:val="00D92811"/>
    <w:rsid w:val="00E24CE9"/>
    <w:rsid w:val="00E83103"/>
    <w:rsid w:val="00F0315B"/>
    <w:rsid w:val="00FA3481"/>
    <w:rsid w:val="00FB4FCD"/>
    <w:rsid w:val="00FD55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56891"/>
  <w15:chartTrackingRefBased/>
  <w15:docId w15:val="{58CBEBE1-4020-4EBC-AE3A-21E59E37E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2811"/>
    <w:pPr>
      <w:spacing w:before="240" w:after="240" w:line="288" w:lineRule="auto"/>
      <w:jc w:val="both"/>
    </w:pPr>
    <w:rPr>
      <w:rFonts w:ascii="Exo" w:hAnsi="Exo"/>
      <w:sz w:val="24"/>
      <w:szCs w:val="24"/>
    </w:rPr>
  </w:style>
  <w:style w:type="paragraph" w:styleId="Ttulo1">
    <w:name w:val="heading 1"/>
    <w:basedOn w:val="Normal"/>
    <w:next w:val="Normal"/>
    <w:link w:val="Ttulo1Car"/>
    <w:autoRedefine/>
    <w:uiPriority w:val="9"/>
    <w:qFormat/>
    <w:rsid w:val="00F0315B"/>
    <w:pPr>
      <w:numPr>
        <w:numId w:val="3"/>
      </w:numPr>
      <w:spacing w:before="600"/>
      <w:jc w:val="center"/>
      <w:outlineLvl w:val="0"/>
    </w:pPr>
    <w:rPr>
      <w:rFonts w:ascii="Arial" w:hAnsi="Arial" w:cs="Arial"/>
      <w:b/>
      <w:bCs/>
    </w:rPr>
  </w:style>
  <w:style w:type="paragraph" w:styleId="Ttulo2">
    <w:name w:val="heading 2"/>
    <w:basedOn w:val="Normal"/>
    <w:next w:val="Normal"/>
    <w:link w:val="Ttulo2Car"/>
    <w:autoRedefine/>
    <w:uiPriority w:val="9"/>
    <w:unhideWhenUsed/>
    <w:qFormat/>
    <w:rsid w:val="00D92811"/>
    <w:pPr>
      <w:numPr>
        <w:ilvl w:val="1"/>
        <w:numId w:val="3"/>
      </w:numPr>
      <w:spacing w:before="480"/>
      <w:outlineLvl w:val="1"/>
    </w:pPr>
    <w:rPr>
      <w:b/>
      <w:bCs/>
    </w:rPr>
  </w:style>
  <w:style w:type="paragraph" w:styleId="Ttulo3">
    <w:name w:val="heading 3"/>
    <w:basedOn w:val="Normal"/>
    <w:next w:val="Normal"/>
    <w:link w:val="Ttulo3Car"/>
    <w:uiPriority w:val="9"/>
    <w:semiHidden/>
    <w:unhideWhenUsed/>
    <w:qFormat/>
    <w:rsid w:val="00D92811"/>
    <w:pPr>
      <w:keepNext/>
      <w:keepLines/>
      <w:numPr>
        <w:ilvl w:val="2"/>
        <w:numId w:val="3"/>
      </w:numPr>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D92811"/>
    <w:pPr>
      <w:keepNext/>
      <w:keepLines/>
      <w:numPr>
        <w:ilvl w:val="3"/>
        <w:numId w:val="3"/>
      </w:numPr>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D92811"/>
    <w:pPr>
      <w:keepNext/>
      <w:keepLines/>
      <w:numPr>
        <w:ilvl w:val="4"/>
        <w:numId w:val="3"/>
      </w:numPr>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D92811"/>
    <w:pPr>
      <w:keepNext/>
      <w:keepLines/>
      <w:numPr>
        <w:ilvl w:val="5"/>
        <w:numId w:val="3"/>
      </w:numPr>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92811"/>
    <w:pPr>
      <w:keepNext/>
      <w:keepLines/>
      <w:numPr>
        <w:ilvl w:val="6"/>
        <w:numId w:val="3"/>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92811"/>
    <w:pPr>
      <w:keepNext/>
      <w:keepLines/>
      <w:numPr>
        <w:ilvl w:val="7"/>
        <w:numId w:val="3"/>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92811"/>
    <w:pPr>
      <w:keepNext/>
      <w:keepLines/>
      <w:numPr>
        <w:ilvl w:val="8"/>
        <w:numId w:val="3"/>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0315B"/>
    <w:rPr>
      <w:rFonts w:ascii="Arial" w:hAnsi="Arial" w:cs="Arial"/>
      <w:b/>
      <w:bCs/>
      <w:sz w:val="24"/>
      <w:szCs w:val="24"/>
    </w:rPr>
  </w:style>
  <w:style w:type="character" w:customStyle="1" w:styleId="Ttulo2Car">
    <w:name w:val="Título 2 Car"/>
    <w:basedOn w:val="Fuentedeprrafopredeter"/>
    <w:link w:val="Ttulo2"/>
    <w:uiPriority w:val="9"/>
    <w:rsid w:val="00D92811"/>
    <w:rPr>
      <w:rFonts w:ascii="Exo" w:hAnsi="Exo"/>
      <w:b/>
      <w:bCs/>
      <w:sz w:val="24"/>
      <w:szCs w:val="24"/>
    </w:rPr>
  </w:style>
  <w:style w:type="character" w:customStyle="1" w:styleId="Ttulo3Car">
    <w:name w:val="Título 3 Car"/>
    <w:basedOn w:val="Fuentedeprrafopredeter"/>
    <w:link w:val="Ttulo3"/>
    <w:uiPriority w:val="9"/>
    <w:semiHidden/>
    <w:rsid w:val="00D92811"/>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D92811"/>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D92811"/>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D9281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9281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9281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92811"/>
    <w:rPr>
      <w:rFonts w:eastAsiaTheme="majorEastAsia" w:cstheme="majorBidi"/>
      <w:color w:val="272727" w:themeColor="text1" w:themeTint="D8"/>
    </w:rPr>
  </w:style>
  <w:style w:type="paragraph" w:styleId="Ttulo">
    <w:name w:val="Title"/>
    <w:basedOn w:val="Normal"/>
    <w:next w:val="Normal"/>
    <w:link w:val="TtuloCar"/>
    <w:uiPriority w:val="10"/>
    <w:qFormat/>
    <w:rsid w:val="00D928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9281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9281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9281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92811"/>
    <w:pPr>
      <w:spacing w:before="160"/>
      <w:jc w:val="center"/>
    </w:pPr>
    <w:rPr>
      <w:i/>
      <w:iCs/>
      <w:color w:val="404040" w:themeColor="text1" w:themeTint="BF"/>
    </w:rPr>
  </w:style>
  <w:style w:type="character" w:customStyle="1" w:styleId="CitaCar">
    <w:name w:val="Cita Car"/>
    <w:basedOn w:val="Fuentedeprrafopredeter"/>
    <w:link w:val="Cita"/>
    <w:uiPriority w:val="29"/>
    <w:rsid w:val="00D92811"/>
    <w:rPr>
      <w:i/>
      <w:iCs/>
      <w:color w:val="404040" w:themeColor="text1" w:themeTint="BF"/>
    </w:rPr>
  </w:style>
  <w:style w:type="paragraph" w:styleId="Prrafodelista">
    <w:name w:val="List Paragraph"/>
    <w:basedOn w:val="Normal"/>
    <w:uiPriority w:val="34"/>
    <w:qFormat/>
    <w:rsid w:val="00D92811"/>
    <w:pPr>
      <w:ind w:left="720"/>
      <w:contextualSpacing/>
    </w:pPr>
  </w:style>
  <w:style w:type="character" w:styleId="nfasisintenso">
    <w:name w:val="Intense Emphasis"/>
    <w:basedOn w:val="Fuentedeprrafopredeter"/>
    <w:uiPriority w:val="21"/>
    <w:qFormat/>
    <w:rsid w:val="00D92811"/>
    <w:rPr>
      <w:i/>
      <w:iCs/>
      <w:color w:val="2F5496" w:themeColor="accent1" w:themeShade="BF"/>
    </w:rPr>
  </w:style>
  <w:style w:type="paragraph" w:styleId="Citadestacada">
    <w:name w:val="Intense Quote"/>
    <w:basedOn w:val="Normal"/>
    <w:next w:val="Normal"/>
    <w:link w:val="CitadestacadaCar"/>
    <w:uiPriority w:val="30"/>
    <w:qFormat/>
    <w:rsid w:val="00D9281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D92811"/>
    <w:rPr>
      <w:i/>
      <w:iCs/>
      <w:color w:val="2F5496" w:themeColor="accent1" w:themeShade="BF"/>
    </w:rPr>
  </w:style>
  <w:style w:type="character" w:styleId="Referenciaintensa">
    <w:name w:val="Intense Reference"/>
    <w:basedOn w:val="Fuentedeprrafopredeter"/>
    <w:uiPriority w:val="32"/>
    <w:qFormat/>
    <w:rsid w:val="00D92811"/>
    <w:rPr>
      <w:b/>
      <w:bCs/>
      <w:smallCaps/>
      <w:color w:val="2F5496" w:themeColor="accent1" w:themeShade="BF"/>
      <w:spacing w:val="5"/>
    </w:rPr>
  </w:style>
  <w:style w:type="paragraph" w:styleId="Encabezado">
    <w:name w:val="header"/>
    <w:basedOn w:val="Normal"/>
    <w:link w:val="EncabezadoCar"/>
    <w:uiPriority w:val="99"/>
    <w:unhideWhenUsed/>
    <w:rsid w:val="00FB4FCD"/>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FB4FCD"/>
    <w:rPr>
      <w:rFonts w:ascii="Exo" w:hAnsi="Exo"/>
      <w:sz w:val="24"/>
      <w:szCs w:val="24"/>
    </w:rPr>
  </w:style>
  <w:style w:type="paragraph" w:styleId="Piedepgina">
    <w:name w:val="footer"/>
    <w:basedOn w:val="Normal"/>
    <w:link w:val="PiedepginaCar"/>
    <w:uiPriority w:val="99"/>
    <w:unhideWhenUsed/>
    <w:rsid w:val="00FB4FCD"/>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FB4FCD"/>
    <w:rPr>
      <w:rFonts w:ascii="Exo" w:hAnsi="Exo"/>
      <w:sz w:val="24"/>
      <w:szCs w:val="24"/>
    </w:rPr>
  </w:style>
  <w:style w:type="table" w:styleId="Tablaconcuadrcula">
    <w:name w:val="Table Grid"/>
    <w:basedOn w:val="Tablanormal"/>
    <w:uiPriority w:val="39"/>
    <w:rsid w:val="00FB4FC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37B03-9F68-465E-9646-861DA64E2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10</Pages>
  <Words>3097</Words>
  <Characters>17034</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 Leon</dc:creator>
  <cp:keywords/>
  <dc:description/>
  <cp:lastModifiedBy>Jaqueline del Carmen Carrillo Llergo</cp:lastModifiedBy>
  <cp:revision>18</cp:revision>
  <cp:lastPrinted>2025-02-19T19:42:00Z</cp:lastPrinted>
  <dcterms:created xsi:type="dcterms:W3CDTF">2025-02-19T18:59:00Z</dcterms:created>
  <dcterms:modified xsi:type="dcterms:W3CDTF">2025-02-28T21:20:00Z</dcterms:modified>
</cp:coreProperties>
</file>