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D1E3" w14:textId="3635B9C4" w:rsidR="00934A93" w:rsidRPr="006976BD" w:rsidRDefault="006976BD" w:rsidP="00DA2E65">
      <w:pPr>
        <w:pStyle w:val="Ttulo"/>
        <w:ind w:right="473"/>
        <w:rPr>
          <w:rFonts w:ascii="Arial" w:hAnsi="Arial" w:cs="Arial"/>
        </w:rPr>
      </w:pPr>
      <w:r w:rsidRPr="006976BD">
        <w:rPr>
          <w:rFonts w:ascii="Arial" w:hAnsi="Arial" w:cs="Arial"/>
        </w:rPr>
        <w:t xml:space="preserve">ACUERDO QUE, A PROPUESTA DE LA COMISIÓN TEMPORAL PARA LA DIFUSIÓN DE PERSONAS CANDIDATAS A UN CARGO DE ELECCIÓN EN EL PODER JUDICIAL DEL ESTADO, EMITE EL CONSEJO ESTATAL DEL INSTITUTO ELECTORAL Y DE PARTICIPACIÓN CIUDADANA DE TABASCO, MEDIANTE EL CUAL APRUEBA LA FECHA DE INICIO DE PUBLICACIÓN DE LA INFORMACIÓN EN EL </w:t>
      </w:r>
      <w:proofErr w:type="spellStart"/>
      <w:r w:rsidRPr="006976BD">
        <w:rPr>
          <w:rFonts w:ascii="Arial" w:hAnsi="Arial" w:cs="Arial"/>
        </w:rPr>
        <w:t>MICROSITIO</w:t>
      </w:r>
      <w:proofErr w:type="spellEnd"/>
      <w:r w:rsidRPr="006976BD">
        <w:rPr>
          <w:rFonts w:ascii="Arial" w:hAnsi="Arial" w:cs="Arial"/>
        </w:rPr>
        <w:t xml:space="preserve"> DE CANDIDATAS Y CANDIDATOS: CONÓCELES PARA EL PROCESO ELECTORAL LOCAL EXTRAORDINARIO PARA PERSONAS JUZGADORAS DEL PODER JUDICIAL DEL ESTADO DE TABASCO 2024 – 2025</w:t>
      </w:r>
    </w:p>
    <w:p w14:paraId="20ACE814"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Para efectos del presente acuerdo se usarán las abreviaturas y definiciones siguientes:</w:t>
      </w:r>
    </w:p>
    <w:tbl>
      <w:tblPr>
        <w:tblW w:w="7348" w:type="dxa"/>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400" w:firstRow="0" w:lastRow="0" w:firstColumn="0" w:lastColumn="0" w:noHBand="0" w:noVBand="1"/>
      </w:tblPr>
      <w:tblGrid>
        <w:gridCol w:w="3001"/>
        <w:gridCol w:w="4347"/>
      </w:tblGrid>
      <w:tr w:rsidR="006976BD" w:rsidRPr="006976BD" w14:paraId="12AE7ADE" w14:textId="77777777" w:rsidTr="00C00441">
        <w:trPr>
          <w:trHeight w:val="624"/>
          <w:jc w:val="center"/>
        </w:trPr>
        <w:tc>
          <w:tcPr>
            <w:tcW w:w="3001" w:type="dxa"/>
            <w:shd w:val="clear" w:color="auto" w:fill="auto"/>
            <w:vAlign w:val="center"/>
          </w:tcPr>
          <w:p w14:paraId="7044186B"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Comisión:</w:t>
            </w:r>
          </w:p>
        </w:tc>
        <w:tc>
          <w:tcPr>
            <w:tcW w:w="4347" w:type="dxa"/>
            <w:shd w:val="clear" w:color="auto" w:fill="auto"/>
            <w:vAlign w:val="center"/>
          </w:tcPr>
          <w:p w14:paraId="7F69A366"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Comisión Temporal para la Difusión de Personas Candidatas a un cargo de elección en el Poder Judicial del Estado.</w:t>
            </w:r>
          </w:p>
        </w:tc>
      </w:tr>
      <w:tr w:rsidR="006976BD" w:rsidRPr="006976BD" w14:paraId="56FF282E" w14:textId="77777777" w:rsidTr="00C00441">
        <w:trPr>
          <w:trHeight w:val="624"/>
          <w:jc w:val="center"/>
        </w:trPr>
        <w:tc>
          <w:tcPr>
            <w:tcW w:w="3001" w:type="dxa"/>
            <w:shd w:val="clear" w:color="auto" w:fill="auto"/>
            <w:vAlign w:val="center"/>
          </w:tcPr>
          <w:p w14:paraId="4AAC3F09"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Consejo Estatal:</w:t>
            </w:r>
          </w:p>
        </w:tc>
        <w:tc>
          <w:tcPr>
            <w:tcW w:w="4347" w:type="dxa"/>
            <w:shd w:val="clear" w:color="auto" w:fill="auto"/>
            <w:vAlign w:val="center"/>
          </w:tcPr>
          <w:p w14:paraId="4CFB1270"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Consejo Estatal del Instituto Electoral y de Participación Ciudadana de Tabasco.</w:t>
            </w:r>
          </w:p>
        </w:tc>
      </w:tr>
      <w:tr w:rsidR="006976BD" w:rsidRPr="006976BD" w14:paraId="2BED667A" w14:textId="77777777" w:rsidTr="00C00441">
        <w:trPr>
          <w:trHeight w:val="624"/>
          <w:jc w:val="center"/>
        </w:trPr>
        <w:tc>
          <w:tcPr>
            <w:tcW w:w="3001" w:type="dxa"/>
            <w:shd w:val="clear" w:color="auto" w:fill="auto"/>
            <w:vAlign w:val="center"/>
          </w:tcPr>
          <w:p w14:paraId="15B55038"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Constitución Federal:</w:t>
            </w:r>
          </w:p>
        </w:tc>
        <w:tc>
          <w:tcPr>
            <w:tcW w:w="4347" w:type="dxa"/>
            <w:shd w:val="clear" w:color="auto" w:fill="auto"/>
            <w:vAlign w:val="center"/>
          </w:tcPr>
          <w:p w14:paraId="67D33036"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Constitución Política de los Estados Unidos Mexicanos.</w:t>
            </w:r>
          </w:p>
        </w:tc>
      </w:tr>
      <w:tr w:rsidR="006976BD" w:rsidRPr="006976BD" w14:paraId="525B8878" w14:textId="77777777" w:rsidTr="00C00441">
        <w:trPr>
          <w:trHeight w:val="624"/>
          <w:jc w:val="center"/>
        </w:trPr>
        <w:tc>
          <w:tcPr>
            <w:tcW w:w="3001" w:type="dxa"/>
            <w:shd w:val="clear" w:color="auto" w:fill="auto"/>
            <w:vAlign w:val="center"/>
          </w:tcPr>
          <w:p w14:paraId="4D812E83"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Constitución Local:</w:t>
            </w:r>
          </w:p>
        </w:tc>
        <w:tc>
          <w:tcPr>
            <w:tcW w:w="4347" w:type="dxa"/>
            <w:shd w:val="clear" w:color="auto" w:fill="auto"/>
            <w:vAlign w:val="center"/>
          </w:tcPr>
          <w:p w14:paraId="6FE22969"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Constitución Política del Estado Libre y Soberano de Tabasco.</w:t>
            </w:r>
          </w:p>
        </w:tc>
      </w:tr>
      <w:tr w:rsidR="006976BD" w:rsidRPr="006976BD" w14:paraId="57AE50E9" w14:textId="77777777" w:rsidTr="00C00441">
        <w:trPr>
          <w:trHeight w:val="624"/>
          <w:jc w:val="center"/>
        </w:trPr>
        <w:tc>
          <w:tcPr>
            <w:tcW w:w="3001" w:type="dxa"/>
            <w:shd w:val="clear" w:color="auto" w:fill="auto"/>
            <w:vAlign w:val="center"/>
          </w:tcPr>
          <w:p w14:paraId="1C8F5004"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Instituto:</w:t>
            </w:r>
          </w:p>
        </w:tc>
        <w:tc>
          <w:tcPr>
            <w:tcW w:w="4347" w:type="dxa"/>
            <w:shd w:val="clear" w:color="auto" w:fill="auto"/>
          </w:tcPr>
          <w:p w14:paraId="40FD7CEC"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Instituto Electoral y de Participación Ciudadana de Tabasco.</w:t>
            </w:r>
          </w:p>
        </w:tc>
      </w:tr>
      <w:tr w:rsidR="006976BD" w:rsidRPr="006976BD" w14:paraId="12982991" w14:textId="77777777" w:rsidTr="00C00441">
        <w:trPr>
          <w:trHeight w:val="624"/>
          <w:jc w:val="center"/>
        </w:trPr>
        <w:tc>
          <w:tcPr>
            <w:tcW w:w="3001" w:type="dxa"/>
            <w:shd w:val="clear" w:color="auto" w:fill="auto"/>
            <w:vAlign w:val="center"/>
          </w:tcPr>
          <w:p w14:paraId="5562D90E"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Ley Electoral:</w:t>
            </w:r>
          </w:p>
        </w:tc>
        <w:tc>
          <w:tcPr>
            <w:tcW w:w="4347" w:type="dxa"/>
            <w:shd w:val="clear" w:color="auto" w:fill="auto"/>
            <w:vAlign w:val="center"/>
          </w:tcPr>
          <w:p w14:paraId="4C2DC2D4"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Ley Electoral y de Partidos Políticos del Estado de Tabasco.</w:t>
            </w:r>
          </w:p>
        </w:tc>
      </w:tr>
      <w:tr w:rsidR="006976BD" w:rsidRPr="006976BD" w14:paraId="268BAD19" w14:textId="77777777" w:rsidTr="00C00441">
        <w:trPr>
          <w:trHeight w:val="624"/>
          <w:jc w:val="center"/>
        </w:trPr>
        <w:tc>
          <w:tcPr>
            <w:tcW w:w="3001" w:type="dxa"/>
            <w:shd w:val="clear" w:color="auto" w:fill="auto"/>
            <w:vAlign w:val="center"/>
          </w:tcPr>
          <w:p w14:paraId="727F5E63"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Ley General:</w:t>
            </w:r>
          </w:p>
        </w:tc>
        <w:tc>
          <w:tcPr>
            <w:tcW w:w="4347" w:type="dxa"/>
            <w:shd w:val="clear" w:color="auto" w:fill="auto"/>
            <w:vAlign w:val="center"/>
          </w:tcPr>
          <w:p w14:paraId="1B54FD72"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Ley General de Instituciones y Procedimientos Electorales.</w:t>
            </w:r>
          </w:p>
        </w:tc>
      </w:tr>
      <w:tr w:rsidR="006976BD" w:rsidRPr="006976BD" w14:paraId="35B9C814" w14:textId="77777777" w:rsidTr="00C00441">
        <w:trPr>
          <w:trHeight w:val="624"/>
          <w:jc w:val="center"/>
        </w:trPr>
        <w:tc>
          <w:tcPr>
            <w:tcW w:w="3001" w:type="dxa"/>
            <w:shd w:val="clear" w:color="auto" w:fill="auto"/>
            <w:vAlign w:val="center"/>
          </w:tcPr>
          <w:p w14:paraId="577C51C7"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Lineamientos:</w:t>
            </w:r>
          </w:p>
        </w:tc>
        <w:tc>
          <w:tcPr>
            <w:tcW w:w="4347" w:type="dxa"/>
            <w:shd w:val="clear" w:color="auto" w:fill="auto"/>
            <w:vAlign w:val="center"/>
          </w:tcPr>
          <w:p w14:paraId="575A13E3"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Calibri" w:hAnsi="Arial" w:cs="Arial"/>
                <w:sz w:val="20"/>
                <w:szCs w:val="22"/>
                <w:lang w:eastAsia="es-MX"/>
              </w:rPr>
              <w:t>Lineamientos para el uso del Sistema Candidatas y Candidatos: Conóceles para el Proceso Electoral Local Extraordinario para la Elección de Personas Juzgadoras del Poder Judicial del Estado de Tabasco 2024,2025.</w:t>
            </w:r>
          </w:p>
        </w:tc>
      </w:tr>
      <w:tr w:rsidR="006976BD" w:rsidRPr="006976BD" w14:paraId="46449DA0" w14:textId="77777777" w:rsidTr="00C00441">
        <w:trPr>
          <w:trHeight w:val="624"/>
          <w:jc w:val="center"/>
        </w:trPr>
        <w:tc>
          <w:tcPr>
            <w:tcW w:w="3001" w:type="dxa"/>
            <w:shd w:val="clear" w:color="auto" w:fill="auto"/>
            <w:vAlign w:val="center"/>
          </w:tcPr>
          <w:p w14:paraId="333D6E39"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lastRenderedPageBreak/>
              <w:t>Proceso Electoral Extraordinario:</w:t>
            </w:r>
          </w:p>
        </w:tc>
        <w:tc>
          <w:tcPr>
            <w:tcW w:w="4347" w:type="dxa"/>
            <w:shd w:val="clear" w:color="auto" w:fill="auto"/>
            <w:vAlign w:val="center"/>
          </w:tcPr>
          <w:p w14:paraId="56BA5B12" w14:textId="77777777" w:rsidR="00C45C33" w:rsidRPr="006976BD" w:rsidRDefault="00C45C33" w:rsidP="00DA2E65">
            <w:pPr>
              <w:spacing w:before="120" w:after="120"/>
              <w:ind w:right="473"/>
              <w:rPr>
                <w:rFonts w:ascii="Arial" w:eastAsia="Calibri" w:hAnsi="Arial" w:cs="Arial"/>
                <w:sz w:val="20"/>
                <w:szCs w:val="22"/>
                <w:lang w:eastAsia="es-MX"/>
              </w:rPr>
            </w:pPr>
            <w:r w:rsidRPr="006976BD">
              <w:rPr>
                <w:rFonts w:ascii="Arial" w:eastAsia="Calibri" w:hAnsi="Arial" w:cs="Arial"/>
                <w:sz w:val="20"/>
                <w:szCs w:val="22"/>
                <w:lang w:eastAsia="es-MX"/>
              </w:rPr>
              <w:t>Proceso Electoral Local Extraordinario para personas juzgadoras del Poder Judicial del Estado de Tabasco 2024 – 2025.</w:t>
            </w:r>
          </w:p>
        </w:tc>
      </w:tr>
      <w:tr w:rsidR="006976BD" w:rsidRPr="006976BD" w14:paraId="4ECC7294" w14:textId="77777777" w:rsidTr="00C00441">
        <w:trPr>
          <w:trHeight w:val="624"/>
          <w:jc w:val="center"/>
        </w:trPr>
        <w:tc>
          <w:tcPr>
            <w:tcW w:w="3001" w:type="dxa"/>
            <w:shd w:val="clear" w:color="auto" w:fill="auto"/>
            <w:vAlign w:val="center"/>
          </w:tcPr>
          <w:p w14:paraId="515FE608"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Reglamento de Comisiones:</w:t>
            </w:r>
          </w:p>
        </w:tc>
        <w:tc>
          <w:tcPr>
            <w:tcW w:w="4347" w:type="dxa"/>
            <w:shd w:val="clear" w:color="auto" w:fill="auto"/>
            <w:vAlign w:val="center"/>
          </w:tcPr>
          <w:p w14:paraId="670891C0"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Reglamento de Comisiones del Consejo Estatal del Instituto Electoral y de Participación Ciudadana de Tabasco.</w:t>
            </w:r>
          </w:p>
        </w:tc>
      </w:tr>
      <w:tr w:rsidR="006976BD" w:rsidRPr="006976BD" w14:paraId="3898895A" w14:textId="77777777" w:rsidTr="00C00441">
        <w:trPr>
          <w:trHeight w:val="949"/>
          <w:jc w:val="center"/>
        </w:trPr>
        <w:tc>
          <w:tcPr>
            <w:tcW w:w="3001" w:type="dxa"/>
            <w:shd w:val="clear" w:color="auto" w:fill="auto"/>
            <w:vAlign w:val="center"/>
          </w:tcPr>
          <w:p w14:paraId="14546CF6"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Reglamento de Elecciones:</w:t>
            </w:r>
          </w:p>
        </w:tc>
        <w:tc>
          <w:tcPr>
            <w:tcW w:w="4347" w:type="dxa"/>
            <w:shd w:val="clear" w:color="auto" w:fill="auto"/>
            <w:vAlign w:val="center"/>
          </w:tcPr>
          <w:p w14:paraId="05E4E101"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Reglamento de Elecciones del Instituto Nacional Electoral.</w:t>
            </w:r>
          </w:p>
        </w:tc>
      </w:tr>
      <w:tr w:rsidR="006976BD" w:rsidRPr="006976BD" w14:paraId="3C8CC14D" w14:textId="77777777" w:rsidTr="00C00441">
        <w:trPr>
          <w:trHeight w:val="624"/>
          <w:jc w:val="center"/>
        </w:trPr>
        <w:tc>
          <w:tcPr>
            <w:tcW w:w="3001" w:type="dxa"/>
            <w:shd w:val="clear" w:color="auto" w:fill="auto"/>
            <w:vAlign w:val="center"/>
          </w:tcPr>
          <w:p w14:paraId="4EDA1F0E"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Secretaría Ejecutiva:</w:t>
            </w:r>
          </w:p>
        </w:tc>
        <w:tc>
          <w:tcPr>
            <w:tcW w:w="4347" w:type="dxa"/>
            <w:shd w:val="clear" w:color="auto" w:fill="auto"/>
            <w:vAlign w:val="center"/>
          </w:tcPr>
          <w:p w14:paraId="20E6425E"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Arial" w:hAnsi="Arial" w:cs="Arial"/>
                <w:sz w:val="20"/>
                <w:szCs w:val="22"/>
              </w:rPr>
              <w:t>Secretaría Ejecutiva del Instituto Electoral y de Participación Ciudadana de Tabasco.</w:t>
            </w:r>
          </w:p>
        </w:tc>
      </w:tr>
      <w:tr w:rsidR="006976BD" w:rsidRPr="006976BD" w14:paraId="54645797" w14:textId="77777777" w:rsidTr="00C00441">
        <w:trPr>
          <w:trHeight w:val="624"/>
          <w:jc w:val="center"/>
        </w:trPr>
        <w:tc>
          <w:tcPr>
            <w:tcW w:w="3001" w:type="dxa"/>
            <w:shd w:val="clear" w:color="auto" w:fill="auto"/>
            <w:vAlign w:val="center"/>
          </w:tcPr>
          <w:p w14:paraId="7EE086CD" w14:textId="77777777" w:rsidR="00C45C33" w:rsidRPr="006976BD" w:rsidRDefault="00C45C33" w:rsidP="00DA2E65">
            <w:pPr>
              <w:spacing w:before="120" w:after="120"/>
              <w:ind w:right="473"/>
              <w:jc w:val="right"/>
              <w:rPr>
                <w:rFonts w:ascii="Arial" w:eastAsia="Arial" w:hAnsi="Arial" w:cs="Arial"/>
                <w:b/>
                <w:sz w:val="20"/>
                <w:szCs w:val="22"/>
              </w:rPr>
            </w:pPr>
            <w:r w:rsidRPr="006976BD">
              <w:rPr>
                <w:rFonts w:ascii="Arial" w:eastAsia="Arial" w:hAnsi="Arial" w:cs="Arial"/>
                <w:b/>
                <w:sz w:val="20"/>
                <w:szCs w:val="22"/>
              </w:rPr>
              <w:t>Sistema:</w:t>
            </w:r>
          </w:p>
        </w:tc>
        <w:tc>
          <w:tcPr>
            <w:tcW w:w="4347" w:type="dxa"/>
            <w:shd w:val="clear" w:color="auto" w:fill="auto"/>
            <w:vAlign w:val="center"/>
          </w:tcPr>
          <w:p w14:paraId="06A072E4" w14:textId="77777777" w:rsidR="00C45C33" w:rsidRPr="006976BD" w:rsidRDefault="00C45C33" w:rsidP="00DA2E65">
            <w:pPr>
              <w:spacing w:before="120" w:after="120"/>
              <w:ind w:right="473"/>
              <w:rPr>
                <w:rFonts w:ascii="Arial" w:eastAsia="Arial" w:hAnsi="Arial" w:cs="Arial"/>
                <w:sz w:val="20"/>
                <w:szCs w:val="22"/>
              </w:rPr>
            </w:pPr>
            <w:r w:rsidRPr="006976BD">
              <w:rPr>
                <w:rFonts w:ascii="Arial" w:eastAsia="Calibri" w:hAnsi="Arial" w:cs="Arial"/>
                <w:sz w:val="20"/>
                <w:szCs w:val="22"/>
                <w:lang w:eastAsia="es-MX"/>
              </w:rPr>
              <w:t>Herramienta informática denominada Candidatas y Candidatos: Conóceles</w:t>
            </w:r>
          </w:p>
        </w:tc>
      </w:tr>
    </w:tbl>
    <w:p w14:paraId="031D2A04" w14:textId="69DA2BFE" w:rsidR="00934A93" w:rsidRPr="006976BD" w:rsidRDefault="00934A93" w:rsidP="00DA2E65">
      <w:pPr>
        <w:pStyle w:val="Ttulo1"/>
        <w:ind w:right="473"/>
        <w:rPr>
          <w:rFonts w:ascii="Arial" w:hAnsi="Arial" w:cs="Arial"/>
          <w:sz w:val="22"/>
          <w:szCs w:val="22"/>
        </w:rPr>
      </w:pPr>
      <w:r w:rsidRPr="006976BD">
        <w:rPr>
          <w:rFonts w:ascii="Arial" w:hAnsi="Arial" w:cs="Arial"/>
          <w:sz w:val="24"/>
          <w:szCs w:val="22"/>
        </w:rPr>
        <w:t>Antecedentes</w:t>
      </w:r>
    </w:p>
    <w:p w14:paraId="10E19E5E" w14:textId="4C2E599E"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Fines del Instituto</w:t>
      </w:r>
    </w:p>
    <w:p w14:paraId="3A85377F"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3AEC839"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0343F852"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w:t>
      </w:r>
      <w:r w:rsidRPr="006976BD">
        <w:rPr>
          <w:rFonts w:ascii="Arial" w:hAnsi="Arial" w:cs="Arial"/>
          <w:sz w:val="22"/>
          <w:szCs w:val="22"/>
        </w:rPr>
        <w:lastRenderedPageBreak/>
        <w:t>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619A0B73" w14:textId="40016DED"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Integración del órgano superior de dirección</w:t>
      </w:r>
    </w:p>
    <w:p w14:paraId="6DB61451"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D365A96"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93E33BD"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5253AE41" w14:textId="3359CF5F"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Órganos centrales del Instituto</w:t>
      </w:r>
    </w:p>
    <w:p w14:paraId="6F50D039"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De acuerdo con el artículo 105 numeral 1 de la Ley Electoral los órganos centrales del Instituto son los siguientes:</w:t>
      </w:r>
    </w:p>
    <w:p w14:paraId="0A510808" w14:textId="2E1C14E4" w:rsidR="00934A93" w:rsidRPr="006976BD" w:rsidRDefault="00934A93" w:rsidP="00DA2E65">
      <w:pPr>
        <w:pStyle w:val="Prrafodelista"/>
        <w:numPr>
          <w:ilvl w:val="0"/>
          <w:numId w:val="2"/>
        </w:numPr>
        <w:ind w:right="473"/>
        <w:rPr>
          <w:rFonts w:ascii="Arial" w:hAnsi="Arial" w:cs="Arial"/>
          <w:sz w:val="22"/>
          <w:szCs w:val="22"/>
        </w:rPr>
      </w:pPr>
      <w:r w:rsidRPr="006976BD">
        <w:rPr>
          <w:rFonts w:ascii="Arial" w:hAnsi="Arial" w:cs="Arial"/>
          <w:sz w:val="22"/>
          <w:szCs w:val="22"/>
        </w:rPr>
        <w:t>Consejo Estatal;</w:t>
      </w:r>
    </w:p>
    <w:p w14:paraId="61ADCEFB" w14:textId="4991A192" w:rsidR="00934A93" w:rsidRPr="006976BD" w:rsidRDefault="00934A93" w:rsidP="00DA2E65">
      <w:pPr>
        <w:pStyle w:val="Prrafodelista"/>
        <w:numPr>
          <w:ilvl w:val="0"/>
          <w:numId w:val="2"/>
        </w:numPr>
        <w:ind w:right="473"/>
        <w:rPr>
          <w:rFonts w:ascii="Arial" w:hAnsi="Arial" w:cs="Arial"/>
          <w:sz w:val="22"/>
          <w:szCs w:val="22"/>
        </w:rPr>
      </w:pPr>
      <w:r w:rsidRPr="006976BD">
        <w:rPr>
          <w:rFonts w:ascii="Arial" w:hAnsi="Arial" w:cs="Arial"/>
          <w:sz w:val="22"/>
          <w:szCs w:val="22"/>
        </w:rPr>
        <w:t>Presidencia del Consejo Estatal;</w:t>
      </w:r>
    </w:p>
    <w:p w14:paraId="63EA563D" w14:textId="27A8CBC6" w:rsidR="00934A93" w:rsidRPr="006976BD" w:rsidRDefault="00934A93" w:rsidP="00DA2E65">
      <w:pPr>
        <w:pStyle w:val="Prrafodelista"/>
        <w:numPr>
          <w:ilvl w:val="0"/>
          <w:numId w:val="2"/>
        </w:numPr>
        <w:ind w:right="473"/>
        <w:rPr>
          <w:rFonts w:ascii="Arial" w:hAnsi="Arial" w:cs="Arial"/>
          <w:sz w:val="22"/>
          <w:szCs w:val="22"/>
        </w:rPr>
      </w:pPr>
      <w:r w:rsidRPr="006976BD">
        <w:rPr>
          <w:rFonts w:ascii="Arial" w:hAnsi="Arial" w:cs="Arial"/>
          <w:sz w:val="22"/>
          <w:szCs w:val="22"/>
        </w:rPr>
        <w:t>Junta Estatal Ejecutiva;</w:t>
      </w:r>
    </w:p>
    <w:p w14:paraId="2FFB40F2" w14:textId="6D2FE528" w:rsidR="00934A93" w:rsidRPr="006976BD" w:rsidRDefault="00934A93" w:rsidP="00DA2E65">
      <w:pPr>
        <w:pStyle w:val="Prrafodelista"/>
        <w:numPr>
          <w:ilvl w:val="0"/>
          <w:numId w:val="2"/>
        </w:numPr>
        <w:ind w:right="473"/>
        <w:rPr>
          <w:rFonts w:ascii="Arial" w:hAnsi="Arial" w:cs="Arial"/>
          <w:sz w:val="22"/>
          <w:szCs w:val="22"/>
        </w:rPr>
      </w:pPr>
      <w:r w:rsidRPr="006976BD">
        <w:rPr>
          <w:rFonts w:ascii="Arial" w:hAnsi="Arial" w:cs="Arial"/>
          <w:sz w:val="22"/>
          <w:szCs w:val="22"/>
        </w:rPr>
        <w:t>Secretaría Ejecutiva, y</w:t>
      </w:r>
    </w:p>
    <w:p w14:paraId="54F75523" w14:textId="59970776" w:rsidR="00934A93" w:rsidRDefault="00934A93" w:rsidP="00DA2E65">
      <w:pPr>
        <w:pStyle w:val="Prrafodelista"/>
        <w:numPr>
          <w:ilvl w:val="0"/>
          <w:numId w:val="2"/>
        </w:numPr>
        <w:ind w:right="473"/>
        <w:rPr>
          <w:rFonts w:ascii="Arial" w:hAnsi="Arial" w:cs="Arial"/>
          <w:sz w:val="22"/>
          <w:szCs w:val="22"/>
        </w:rPr>
      </w:pPr>
      <w:r w:rsidRPr="006976BD">
        <w:rPr>
          <w:rFonts w:ascii="Arial" w:hAnsi="Arial" w:cs="Arial"/>
          <w:sz w:val="22"/>
          <w:szCs w:val="22"/>
        </w:rPr>
        <w:t>Órgano Técnico de Fiscalización.</w:t>
      </w:r>
    </w:p>
    <w:p w14:paraId="2F89F5A9" w14:textId="17753E7D"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lastRenderedPageBreak/>
        <w:t xml:space="preserve">Reforma Constitucional </w:t>
      </w:r>
    </w:p>
    <w:p w14:paraId="5AA214FB"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170BD10E"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B5FC0D5" w14:textId="629DF325"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Inicio del Proceso Electoral Extraordinario</w:t>
      </w:r>
    </w:p>
    <w:p w14:paraId="63756E70" w14:textId="1F06E326" w:rsidR="00934A93" w:rsidRDefault="00934A93" w:rsidP="00DA2E65">
      <w:pPr>
        <w:ind w:right="473"/>
        <w:rPr>
          <w:rFonts w:ascii="Arial" w:hAnsi="Arial" w:cs="Arial"/>
          <w:sz w:val="22"/>
          <w:szCs w:val="22"/>
        </w:rPr>
      </w:pPr>
      <w:r w:rsidRPr="006976BD">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2B1AAE55" w14:textId="78343BA4"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Sistema “Candidatas y Candidatos: Conóceles”</w:t>
      </w:r>
    </w:p>
    <w:p w14:paraId="399EBF15"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El 13 de enero de 2025, mediante acuerdo INE/CG03/2025, el Consejo General del INE aprobó el micrositio “Sistema Conóceles para la Elección de Integrantes del Poder judicial de la Federación” y los lineamientos para su uso.</w:t>
      </w:r>
    </w:p>
    <w:p w14:paraId="1A15580E" w14:textId="450FA3BA"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Reforma a la Ley Electoral</w:t>
      </w:r>
    </w:p>
    <w:p w14:paraId="3FDFD93E"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 xml:space="preserve">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w:t>
      </w:r>
      <w:r w:rsidRPr="006976BD">
        <w:rPr>
          <w:rFonts w:ascii="Arial" w:hAnsi="Arial" w:cs="Arial"/>
          <w:sz w:val="22"/>
          <w:szCs w:val="22"/>
        </w:rPr>
        <w:lastRenderedPageBreak/>
        <w:t>la fracción XL al numeral 1 del artículo 115, el numeral 5 del artículo 115, segundo párrafo al numeral 1 del artículo 127, el libro noveno que comprenden los artículos 384 al 419, todos de la Ley Electoral.</w:t>
      </w:r>
    </w:p>
    <w:p w14:paraId="099DF64B" w14:textId="40180B47"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Directrices emitidas por el INE</w:t>
      </w:r>
    </w:p>
    <w:p w14:paraId="0BFE5BC3"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El 30 de enero de 2025, mediante acuerdo INE/CG52/2025, el Consejo General del INE emitió directrices generales para la organización de los procesos electorales de los poderes judiciales de las entidades federativas en el proceso extraordinario 2025, en los que, entre otras, se determinó que los Lineamientos del Sistema “Conóceles: Candidatas y Candidatos” podrán ser utilizados por los organismos electorales que así lo requieran, como referencia para que en el marco de sus atribuciones emitan sus propias directrices para las elecciones locales, en donde se recomienda prever que será obligación de las personas candidatas que suban su información a los micrositios o plataformas dispuestas para tal efecto.</w:t>
      </w:r>
    </w:p>
    <w:p w14:paraId="493CC10C" w14:textId="77777777"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Aprobación del Programa de Trabajo y los Lineamientos</w:t>
      </w:r>
    </w:p>
    <w:p w14:paraId="3AC6C885"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El 04 de abril de 2025, mediante Acuerdo CE/2025/041, el Consejo Estatal aprobó el Programa de Trabajo de la Comisión Temporal para la Difusión de Personas Candidatas a un cargo de elección en el Poder Judicial del Estado, y los Lineamientos para el uso del Sistema Candidatas y candidatos: Conóceles para el Para el Proceso Electoral Local Extraordinario para Personas Juzgadoras del Poder Judicial del Estado 2024-2025.</w:t>
      </w:r>
    </w:p>
    <w:p w14:paraId="38130A61" w14:textId="77076404"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Jornada electoral</w:t>
      </w:r>
    </w:p>
    <w:p w14:paraId="4D81EA1A"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5C2D7D2D" w14:textId="77777777" w:rsidR="004034F9" w:rsidRPr="006976BD" w:rsidRDefault="004034F9" w:rsidP="00DA2E65">
      <w:pPr>
        <w:pStyle w:val="Ttulo2"/>
        <w:ind w:right="473"/>
        <w:rPr>
          <w:rFonts w:ascii="Arial" w:hAnsi="Arial" w:cs="Arial"/>
          <w:sz w:val="22"/>
          <w:szCs w:val="22"/>
        </w:rPr>
      </w:pPr>
      <w:r w:rsidRPr="006976BD">
        <w:rPr>
          <w:rFonts w:ascii="Arial" w:hAnsi="Arial" w:cs="Arial"/>
          <w:sz w:val="22"/>
          <w:szCs w:val="22"/>
        </w:rPr>
        <w:t>Presentación de la propuesta</w:t>
      </w:r>
    </w:p>
    <w:p w14:paraId="58280B00" w14:textId="2D0E9C2D" w:rsidR="004034F9" w:rsidRDefault="004034F9" w:rsidP="00DA2E65">
      <w:pPr>
        <w:ind w:right="473"/>
        <w:rPr>
          <w:rFonts w:ascii="Arial" w:hAnsi="Arial" w:cs="Arial"/>
          <w:sz w:val="22"/>
          <w:szCs w:val="22"/>
        </w:rPr>
      </w:pPr>
      <w:r w:rsidRPr="006976BD">
        <w:rPr>
          <w:rFonts w:ascii="Arial" w:hAnsi="Arial" w:cs="Arial"/>
          <w:sz w:val="22"/>
          <w:szCs w:val="22"/>
        </w:rPr>
        <w:t>El 28 de abril de 2025, la Secretaria Técnica de la Comisión remitió a la Presidencia del Consejo, la propuesta relativa a</w:t>
      </w:r>
      <w:r w:rsidR="007A3F69" w:rsidRPr="006976BD">
        <w:rPr>
          <w:rFonts w:ascii="Arial" w:hAnsi="Arial" w:cs="Arial"/>
          <w:sz w:val="22"/>
          <w:szCs w:val="22"/>
        </w:rPr>
        <w:t xml:space="preserve"> la fecha de inicio de publicación de la Información en el micrositio de Candidatas y Candidatos: Conóceles para el Proceso Electoral Extraordinario</w:t>
      </w:r>
      <w:r w:rsidRPr="006976BD">
        <w:rPr>
          <w:rFonts w:ascii="Arial" w:hAnsi="Arial" w:cs="Arial"/>
          <w:sz w:val="22"/>
          <w:szCs w:val="22"/>
        </w:rPr>
        <w:t xml:space="preserve">, </w:t>
      </w:r>
      <w:r w:rsidR="007A3F69" w:rsidRPr="006976BD">
        <w:rPr>
          <w:rFonts w:ascii="Arial" w:hAnsi="Arial" w:cs="Arial"/>
          <w:sz w:val="22"/>
          <w:szCs w:val="22"/>
        </w:rPr>
        <w:t xml:space="preserve">presentada </w:t>
      </w:r>
      <w:r w:rsidRPr="006976BD">
        <w:rPr>
          <w:rFonts w:ascii="Arial" w:hAnsi="Arial" w:cs="Arial"/>
          <w:sz w:val="22"/>
          <w:szCs w:val="22"/>
        </w:rPr>
        <w:t>por dicha Comisión; lo anterior, para efectos de someterlo a la deliberación de este Consejo Estatal.</w:t>
      </w:r>
    </w:p>
    <w:p w14:paraId="5A0804A2" w14:textId="3E5D569C" w:rsidR="00934A93" w:rsidRPr="006976BD" w:rsidRDefault="00934A93" w:rsidP="00DA2E65">
      <w:pPr>
        <w:pStyle w:val="Ttulo1"/>
        <w:ind w:right="473"/>
        <w:rPr>
          <w:rFonts w:ascii="Arial" w:hAnsi="Arial" w:cs="Arial"/>
          <w:sz w:val="22"/>
          <w:szCs w:val="22"/>
        </w:rPr>
      </w:pPr>
      <w:r w:rsidRPr="006976BD">
        <w:rPr>
          <w:rFonts w:ascii="Arial" w:hAnsi="Arial" w:cs="Arial"/>
          <w:sz w:val="24"/>
          <w:szCs w:val="22"/>
        </w:rPr>
        <w:lastRenderedPageBreak/>
        <w:t>Considerando</w:t>
      </w:r>
    </w:p>
    <w:p w14:paraId="00A69D89" w14:textId="5A9E7A58"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 xml:space="preserve">Competencia del Consejo Estatal </w:t>
      </w:r>
    </w:p>
    <w:p w14:paraId="12F64CB7"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Que, de conformidad con los artículos 115 numeral 1, fracción XL y 393 numeral 1, fracción XI de la Ley Electoral, el Consejo Estatal es competente para organizar el proceso electivo de las personas juzgadoras, su jornada electoral y los cómputos de los resultados electorales, en los términos que determine la Ley General y dicha Ley, así como coadyuvar en la difusión equitativa de las propuestas de personas candidatas y promover la participación ciudadana en el proceso electivo.</w:t>
      </w:r>
    </w:p>
    <w:p w14:paraId="0DE9C7F3"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5CA86E7C" w14:textId="1DAFCFE8"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Órganos auxiliares del Consejo Estatal</w:t>
      </w:r>
    </w:p>
    <w:p w14:paraId="44A36BE4"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4C6EEE15"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56B076D1" w14:textId="23F93FA0"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Atribuciones de la Comisión</w:t>
      </w:r>
    </w:p>
    <w:p w14:paraId="4ACB0BF0"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 xml:space="preserve">Que, de conformidad con lo previsto por los artículos 113 numerales 1 y 3 de la Ley Electoral; 11, numeral 1, fracción I, 12 numeral 1 fracción I y 17 numeral 3 del Reglamento de </w:t>
      </w:r>
      <w:r w:rsidRPr="006976BD">
        <w:rPr>
          <w:rFonts w:ascii="Arial" w:hAnsi="Arial" w:cs="Arial"/>
          <w:sz w:val="22"/>
          <w:szCs w:val="22"/>
        </w:rPr>
        <w:lastRenderedPageBreak/>
        <w:t>Comisiones y acorde a lo señalado en el acuerdo CE/2025/07, la Comisión tiene como objetivo supervisar la metodología para la difusión y promoción de la participación ciudadana en el proceso de elección, la implementación del portal o micrositio que se utilice para difundir la identidad, perfil e información curricular de las personas candidatas y dar seguimiento a la implementación del Sistema “Candidatas y Candidatos: Conóceles” con motivo del Proceso Electoral Extraordinario.</w:t>
      </w:r>
    </w:p>
    <w:p w14:paraId="6A95D21F" w14:textId="734D3256"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Proceso electoral de las personas juzgadoras</w:t>
      </w:r>
    </w:p>
    <w:p w14:paraId="10AAEA99"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07F6A250" w14:textId="21444A8E"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Etapas del proceso electoral de las personas juzgadoras</w:t>
      </w:r>
    </w:p>
    <w:p w14:paraId="1BBD896B"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Que, el artículo 387 numeral 1 de la Ley Electoral establece que, el proceso de elección de las personas juzgadoras del Poder Judicial comprende las siguientes etapas:</w:t>
      </w:r>
    </w:p>
    <w:p w14:paraId="514D83BE" w14:textId="1CB09245" w:rsidR="00934A93" w:rsidRPr="006976BD" w:rsidRDefault="00934A93" w:rsidP="00DA2E65">
      <w:pPr>
        <w:pStyle w:val="Prrafodelista"/>
        <w:numPr>
          <w:ilvl w:val="0"/>
          <w:numId w:val="4"/>
        </w:numPr>
        <w:ind w:right="473"/>
        <w:rPr>
          <w:rFonts w:ascii="Arial" w:hAnsi="Arial" w:cs="Arial"/>
          <w:sz w:val="22"/>
          <w:szCs w:val="22"/>
        </w:rPr>
      </w:pPr>
      <w:r w:rsidRPr="006976BD">
        <w:rPr>
          <w:rFonts w:ascii="Arial" w:hAnsi="Arial" w:cs="Arial"/>
          <w:sz w:val="22"/>
          <w:szCs w:val="22"/>
        </w:rPr>
        <w:t>Preparación de la elección;</w:t>
      </w:r>
    </w:p>
    <w:p w14:paraId="25C400DE" w14:textId="60CFD19B" w:rsidR="00934A93" w:rsidRPr="006976BD" w:rsidRDefault="00934A93" w:rsidP="00DA2E65">
      <w:pPr>
        <w:pStyle w:val="Prrafodelista"/>
        <w:numPr>
          <w:ilvl w:val="0"/>
          <w:numId w:val="4"/>
        </w:numPr>
        <w:ind w:right="473"/>
        <w:rPr>
          <w:rFonts w:ascii="Arial" w:hAnsi="Arial" w:cs="Arial"/>
          <w:sz w:val="22"/>
          <w:szCs w:val="22"/>
        </w:rPr>
      </w:pPr>
      <w:r w:rsidRPr="006976BD">
        <w:rPr>
          <w:rFonts w:ascii="Arial" w:hAnsi="Arial" w:cs="Arial"/>
          <w:sz w:val="22"/>
          <w:szCs w:val="22"/>
        </w:rPr>
        <w:t>Convocatoria y postulación de candidaturas;</w:t>
      </w:r>
    </w:p>
    <w:p w14:paraId="6B620D40" w14:textId="2310F345" w:rsidR="00934A93" w:rsidRPr="006976BD" w:rsidRDefault="00934A93" w:rsidP="00DA2E65">
      <w:pPr>
        <w:pStyle w:val="Prrafodelista"/>
        <w:numPr>
          <w:ilvl w:val="0"/>
          <w:numId w:val="4"/>
        </w:numPr>
        <w:ind w:right="473"/>
        <w:rPr>
          <w:rFonts w:ascii="Arial" w:hAnsi="Arial" w:cs="Arial"/>
          <w:sz w:val="22"/>
          <w:szCs w:val="22"/>
        </w:rPr>
      </w:pPr>
      <w:r w:rsidRPr="006976BD">
        <w:rPr>
          <w:rFonts w:ascii="Arial" w:hAnsi="Arial" w:cs="Arial"/>
          <w:sz w:val="22"/>
          <w:szCs w:val="22"/>
        </w:rPr>
        <w:t>Jornada electoral;</w:t>
      </w:r>
    </w:p>
    <w:p w14:paraId="2BA350D4" w14:textId="4AB790CD" w:rsidR="00934A93" w:rsidRPr="006976BD" w:rsidRDefault="00934A93" w:rsidP="00DA2E65">
      <w:pPr>
        <w:pStyle w:val="Prrafodelista"/>
        <w:numPr>
          <w:ilvl w:val="0"/>
          <w:numId w:val="4"/>
        </w:numPr>
        <w:ind w:right="473"/>
        <w:rPr>
          <w:rFonts w:ascii="Arial" w:hAnsi="Arial" w:cs="Arial"/>
          <w:sz w:val="22"/>
          <w:szCs w:val="22"/>
        </w:rPr>
      </w:pPr>
      <w:r w:rsidRPr="006976BD">
        <w:rPr>
          <w:rFonts w:ascii="Arial" w:hAnsi="Arial" w:cs="Arial"/>
          <w:sz w:val="22"/>
          <w:szCs w:val="22"/>
        </w:rPr>
        <w:t>Cómputos y sumatoria;</w:t>
      </w:r>
    </w:p>
    <w:p w14:paraId="3360A32B" w14:textId="467533F6" w:rsidR="00934A93" w:rsidRPr="006976BD" w:rsidRDefault="00934A93" w:rsidP="00DA2E65">
      <w:pPr>
        <w:pStyle w:val="Prrafodelista"/>
        <w:numPr>
          <w:ilvl w:val="0"/>
          <w:numId w:val="4"/>
        </w:numPr>
        <w:ind w:right="473"/>
        <w:rPr>
          <w:rFonts w:ascii="Arial" w:hAnsi="Arial" w:cs="Arial"/>
          <w:sz w:val="22"/>
          <w:szCs w:val="22"/>
        </w:rPr>
      </w:pPr>
      <w:r w:rsidRPr="006976BD">
        <w:rPr>
          <w:rFonts w:ascii="Arial" w:hAnsi="Arial" w:cs="Arial"/>
          <w:sz w:val="22"/>
          <w:szCs w:val="22"/>
        </w:rPr>
        <w:t>Asignación de cargos, y</w:t>
      </w:r>
    </w:p>
    <w:p w14:paraId="1D606D68" w14:textId="2DF3FA22" w:rsidR="00934A93" w:rsidRPr="006976BD" w:rsidRDefault="00934A93" w:rsidP="00DA2E65">
      <w:pPr>
        <w:pStyle w:val="Prrafodelista"/>
        <w:numPr>
          <w:ilvl w:val="0"/>
          <w:numId w:val="4"/>
        </w:numPr>
        <w:ind w:right="473"/>
        <w:rPr>
          <w:rFonts w:ascii="Arial" w:hAnsi="Arial" w:cs="Arial"/>
          <w:sz w:val="22"/>
          <w:szCs w:val="22"/>
        </w:rPr>
      </w:pPr>
      <w:r w:rsidRPr="006976BD">
        <w:rPr>
          <w:rFonts w:ascii="Arial" w:hAnsi="Arial" w:cs="Arial"/>
          <w:sz w:val="22"/>
          <w:szCs w:val="22"/>
        </w:rPr>
        <w:t>La entrega de constancias de mayoría y declaración de validez de la elección.</w:t>
      </w:r>
    </w:p>
    <w:p w14:paraId="1751FEE2"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3FABDE3F"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3F79EEEE"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lastRenderedPageBreak/>
        <w:t>En el caso de la jornada electoral, ésta inicia a las 8:00 horas del primer domingo de junio del año que corresponda y concluye con el cómputo de los votos en casilla, de conformidad con el numeral 4 del artículo 387 de la Ley Electoral.</w:t>
      </w:r>
    </w:p>
    <w:p w14:paraId="43CFE459"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1977F38A"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29C6BA5E"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47E87BB1" w14:textId="53D86981"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Derecho de la ciudadanía a participar en los procesos de selección y evaluación de candidaturas</w:t>
      </w:r>
    </w:p>
    <w:p w14:paraId="3CDE2372"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3102A6B4" w14:textId="5269145A"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Cargos por elegir en el Proceso Electoral Extraordinario</w:t>
      </w:r>
    </w:p>
    <w:p w14:paraId="4DC21C82"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2ACC8E41"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lastRenderedPageBreak/>
        <w:t>En ese sentido, para el Proceso Electoral Extraordinario se elegirán 72 cargos de elección, distribuidos de acuerdo con la siguiente forma y especialidad:</w:t>
      </w:r>
    </w:p>
    <w:p w14:paraId="047A2417" w14:textId="4CEE5373"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5 Magistraturas del Tribunal de Disciplina Judicial;</w:t>
      </w:r>
    </w:p>
    <w:p w14:paraId="5CC73CFA" w14:textId="11E8D050"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12 Magistraturas del Pleno del Tribunal Superior de Justicia;</w:t>
      </w:r>
    </w:p>
    <w:p w14:paraId="627B2C9E" w14:textId="06760607"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19 juezas y jueces civiles;</w:t>
      </w:r>
    </w:p>
    <w:p w14:paraId="2A6B9586" w14:textId="20271365"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27 juezas y jueces en materia de oralidad penal;</w:t>
      </w:r>
    </w:p>
    <w:p w14:paraId="7C53ED46" w14:textId="15C46AA3"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3 juezas y jueces en materia familiar;</w:t>
      </w:r>
    </w:p>
    <w:p w14:paraId="3AC28E17" w14:textId="710F4B35"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1 jueza o juez en materia de oralidad mercantil; y</w:t>
      </w:r>
    </w:p>
    <w:p w14:paraId="54D1E557" w14:textId="287BB5DF" w:rsidR="00934A93" w:rsidRPr="006976BD" w:rsidRDefault="00934A93" w:rsidP="00DA2E65">
      <w:pPr>
        <w:pStyle w:val="Prrafodelista"/>
        <w:numPr>
          <w:ilvl w:val="0"/>
          <w:numId w:val="6"/>
        </w:numPr>
        <w:ind w:right="473"/>
        <w:rPr>
          <w:rFonts w:ascii="Arial" w:hAnsi="Arial" w:cs="Arial"/>
          <w:sz w:val="22"/>
          <w:szCs w:val="22"/>
        </w:rPr>
      </w:pPr>
      <w:r w:rsidRPr="006976BD">
        <w:rPr>
          <w:rFonts w:ascii="Arial" w:hAnsi="Arial" w:cs="Arial"/>
          <w:sz w:val="22"/>
          <w:szCs w:val="22"/>
        </w:rPr>
        <w:t>5 juezas y jueces en materia laboral.</w:t>
      </w:r>
    </w:p>
    <w:p w14:paraId="13582468" w14:textId="583A2832"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Difusión y promoción de la participación ciudadana</w:t>
      </w:r>
    </w:p>
    <w:p w14:paraId="37796F8A"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Que, el artículo 410 numeral 1 de la Ley Electoral establece que, el Consejo Estatal aprobará la metodología para la difusión y promoción de la participación ciudadana en el proceso de elección de personas juzgadoras, privilegiando el uso de las tecnologías de la información y observando al efecto los principios de austeridad, eficacia y eficiencia del gasto público.</w:t>
      </w:r>
    </w:p>
    <w:p w14:paraId="48B8DF18" w14:textId="77777777" w:rsidR="00934A93" w:rsidRPr="006976BD" w:rsidRDefault="00934A93" w:rsidP="00DA2E65">
      <w:pPr>
        <w:ind w:right="473"/>
        <w:rPr>
          <w:rFonts w:ascii="Arial" w:hAnsi="Arial" w:cs="Arial"/>
          <w:sz w:val="22"/>
          <w:szCs w:val="22"/>
        </w:rPr>
      </w:pPr>
      <w:r w:rsidRPr="006976BD">
        <w:rPr>
          <w:rFonts w:ascii="Arial" w:hAnsi="Arial" w:cs="Arial"/>
          <w:sz w:val="22"/>
          <w:szCs w:val="22"/>
        </w:rPr>
        <w:t>La metodología en cuestión, en términos del numeral 2 del artículo citado, deberá ser imparcial, objetiva y con fines informativos, y contemplará por lo menos la creación de un micrositio en la página de Internet oficial del Instituto para informar a la ciudadanía sobre el proceso electivo y dar a conocer las candidaturas registradas.</w:t>
      </w:r>
    </w:p>
    <w:p w14:paraId="77536D03" w14:textId="73B48F3A" w:rsidR="00934A93" w:rsidRPr="006976BD" w:rsidRDefault="00934A93" w:rsidP="00DA2E65">
      <w:pPr>
        <w:pStyle w:val="Ttulo2"/>
        <w:ind w:right="473"/>
        <w:rPr>
          <w:rFonts w:ascii="Arial" w:hAnsi="Arial" w:cs="Arial"/>
          <w:sz w:val="22"/>
          <w:szCs w:val="22"/>
        </w:rPr>
      </w:pPr>
      <w:r w:rsidRPr="006976BD">
        <w:rPr>
          <w:rFonts w:ascii="Arial" w:hAnsi="Arial" w:cs="Arial"/>
          <w:sz w:val="22"/>
          <w:szCs w:val="22"/>
        </w:rPr>
        <w:t>Características de la información a difundir</w:t>
      </w:r>
    </w:p>
    <w:p w14:paraId="6B037FB2" w14:textId="1E98F792" w:rsidR="008E4C85" w:rsidRPr="006976BD" w:rsidRDefault="00934A93" w:rsidP="00DA2E65">
      <w:pPr>
        <w:ind w:right="473"/>
        <w:rPr>
          <w:rFonts w:ascii="Arial" w:hAnsi="Arial" w:cs="Arial"/>
          <w:sz w:val="22"/>
          <w:szCs w:val="22"/>
        </w:rPr>
      </w:pPr>
      <w:r w:rsidRPr="006976BD">
        <w:rPr>
          <w:rFonts w:ascii="Arial" w:hAnsi="Arial" w:cs="Arial"/>
          <w:sz w:val="22"/>
          <w:szCs w:val="22"/>
        </w:rPr>
        <w:t>Que, de conformidad con el numeral 3 del artículo 410 de la Ley Electoral, el micrositio que determine el Consejo Estatal tendrá por objeto difundir la identidad, perfil e información curricular de las personas candidatas, incluyendo la versión pública de los expedientes que acrediten su elegibilidad e idoneidad para el cargo que se trate, así como información relativa al proceso electivo, ajustándose al menos a lo siguiente:</w:t>
      </w:r>
    </w:p>
    <w:p w14:paraId="097C459F" w14:textId="11757DE0" w:rsidR="00934A93" w:rsidRPr="006976BD" w:rsidRDefault="00934A93" w:rsidP="00DA2E65">
      <w:pPr>
        <w:pStyle w:val="Prrafodelista"/>
        <w:numPr>
          <w:ilvl w:val="0"/>
          <w:numId w:val="8"/>
        </w:numPr>
        <w:ind w:left="703" w:right="473" w:hanging="703"/>
        <w:contextualSpacing w:val="0"/>
        <w:rPr>
          <w:rFonts w:ascii="Arial" w:hAnsi="Arial" w:cs="Arial"/>
          <w:sz w:val="22"/>
          <w:szCs w:val="22"/>
        </w:rPr>
      </w:pPr>
      <w:r w:rsidRPr="006976BD">
        <w:rPr>
          <w:rFonts w:ascii="Arial" w:hAnsi="Arial" w:cs="Arial"/>
          <w:sz w:val="22"/>
          <w:szCs w:val="22"/>
        </w:rPr>
        <w:t>No será un medio de propaganda política;</w:t>
      </w:r>
    </w:p>
    <w:p w14:paraId="7F878846" w14:textId="384907E2" w:rsidR="00934A93" w:rsidRPr="006976BD" w:rsidRDefault="00934A93" w:rsidP="00DA2E65">
      <w:pPr>
        <w:pStyle w:val="Prrafodelista"/>
        <w:numPr>
          <w:ilvl w:val="0"/>
          <w:numId w:val="8"/>
        </w:numPr>
        <w:ind w:left="703" w:right="473" w:hanging="703"/>
        <w:contextualSpacing w:val="0"/>
        <w:rPr>
          <w:rFonts w:ascii="Arial" w:hAnsi="Arial" w:cs="Arial"/>
          <w:sz w:val="22"/>
          <w:szCs w:val="22"/>
        </w:rPr>
      </w:pPr>
      <w:r w:rsidRPr="006976BD">
        <w:rPr>
          <w:rFonts w:ascii="Arial" w:hAnsi="Arial" w:cs="Arial"/>
          <w:sz w:val="22"/>
          <w:szCs w:val="22"/>
        </w:rPr>
        <w:t>Proporcionará a la ciudadanía información suficiente y relevante relacionada con el proceso electivo, e incluirá como mínimo el perfil personal, fotografía, medios de contacto público, trayectoria académica e historial profesional y laboral de cada candidatura;</w:t>
      </w:r>
    </w:p>
    <w:p w14:paraId="0D83E962" w14:textId="238A2CA3" w:rsidR="00934A93" w:rsidRPr="006976BD" w:rsidRDefault="00934A93" w:rsidP="00DA2E65">
      <w:pPr>
        <w:pStyle w:val="Prrafodelista"/>
        <w:numPr>
          <w:ilvl w:val="0"/>
          <w:numId w:val="8"/>
        </w:numPr>
        <w:ind w:left="703" w:right="473" w:hanging="703"/>
        <w:contextualSpacing w:val="0"/>
        <w:rPr>
          <w:rFonts w:ascii="Arial" w:hAnsi="Arial" w:cs="Arial"/>
          <w:sz w:val="22"/>
          <w:szCs w:val="22"/>
        </w:rPr>
      </w:pPr>
      <w:r w:rsidRPr="006976BD">
        <w:rPr>
          <w:rFonts w:ascii="Arial" w:hAnsi="Arial" w:cs="Arial"/>
          <w:sz w:val="22"/>
          <w:szCs w:val="22"/>
        </w:rPr>
        <w:lastRenderedPageBreak/>
        <w:t>Incorporará las visiones de las personas candidatas acerca de la función jurisdiccional y la impartición de justicia, así como sus propuestas de mejora;</w:t>
      </w:r>
    </w:p>
    <w:p w14:paraId="189D0323" w14:textId="39836201" w:rsidR="00934A93" w:rsidRPr="006976BD" w:rsidRDefault="00934A93" w:rsidP="00DA2E65">
      <w:pPr>
        <w:pStyle w:val="Prrafodelista"/>
        <w:numPr>
          <w:ilvl w:val="0"/>
          <w:numId w:val="8"/>
        </w:numPr>
        <w:ind w:left="703" w:right="473" w:hanging="703"/>
        <w:contextualSpacing w:val="0"/>
        <w:rPr>
          <w:rFonts w:ascii="Arial" w:hAnsi="Arial" w:cs="Arial"/>
          <w:sz w:val="22"/>
          <w:szCs w:val="22"/>
        </w:rPr>
      </w:pPr>
      <w:r w:rsidRPr="006976BD">
        <w:rPr>
          <w:rFonts w:ascii="Arial" w:hAnsi="Arial" w:cs="Arial"/>
          <w:sz w:val="22"/>
          <w:szCs w:val="22"/>
        </w:rPr>
        <w:t>La información de las candidaturas será proporcionada por las personas candidatas y autorizada por el Instituto Estatal, que deberá supervisar que se ajuste a esta Ley y los parámetros que al efecto determine el Consejo Estatal, y</w:t>
      </w:r>
    </w:p>
    <w:p w14:paraId="5A8E0179" w14:textId="6C868DA4" w:rsidR="00934A93" w:rsidRPr="006976BD" w:rsidRDefault="00934A93" w:rsidP="00DA2E65">
      <w:pPr>
        <w:pStyle w:val="Prrafodelista"/>
        <w:numPr>
          <w:ilvl w:val="0"/>
          <w:numId w:val="8"/>
        </w:numPr>
        <w:ind w:left="703" w:right="473" w:hanging="703"/>
        <w:contextualSpacing w:val="0"/>
        <w:rPr>
          <w:rFonts w:ascii="Arial" w:hAnsi="Arial" w:cs="Arial"/>
          <w:sz w:val="22"/>
          <w:szCs w:val="22"/>
        </w:rPr>
      </w:pPr>
      <w:r w:rsidRPr="006976BD">
        <w:rPr>
          <w:rFonts w:ascii="Arial" w:hAnsi="Arial" w:cs="Arial"/>
          <w:sz w:val="22"/>
          <w:szCs w:val="22"/>
        </w:rPr>
        <w:t>La información deberá estar disponible de manera clara, completa y accesible a más tardar en la fecha de inicio del periodo de campañas y hasta el día de la jornada electoral.</w:t>
      </w:r>
    </w:p>
    <w:p w14:paraId="336B0682" w14:textId="14DB5BCC" w:rsidR="00934A93" w:rsidRPr="006976BD" w:rsidRDefault="00934A93" w:rsidP="00DA2E65">
      <w:pPr>
        <w:ind w:right="473"/>
        <w:rPr>
          <w:rFonts w:ascii="Arial" w:hAnsi="Arial" w:cs="Arial"/>
          <w:sz w:val="22"/>
          <w:szCs w:val="22"/>
        </w:rPr>
      </w:pPr>
      <w:r w:rsidRPr="006976BD">
        <w:rPr>
          <w:rFonts w:ascii="Arial" w:hAnsi="Arial" w:cs="Arial"/>
          <w:sz w:val="22"/>
          <w:szCs w:val="22"/>
        </w:rPr>
        <w:t>Además, en términos del artículo 410 numeral 4 de la Ley Electoral, las actividades que realice el Instituto para la promoción de la participación ciudadana en el proceso de elección se realizarán privilegiando el uso de medios electrónicos, entre ellos, la página de Internet del propio órgano electoral, los medios electrónicos o digitales institucionales y los periódicos de mayor circulación y cobertura en la entidad que corresponda, entre otros.</w:t>
      </w:r>
    </w:p>
    <w:p w14:paraId="0DBA95CD" w14:textId="7E539F11" w:rsidR="00934A93" w:rsidRPr="006976BD" w:rsidRDefault="00214165" w:rsidP="00DA2E65">
      <w:pPr>
        <w:pStyle w:val="Ttulo2"/>
        <w:ind w:right="473"/>
        <w:rPr>
          <w:rFonts w:ascii="Arial" w:hAnsi="Arial" w:cs="Arial"/>
          <w:sz w:val="22"/>
          <w:szCs w:val="22"/>
        </w:rPr>
      </w:pPr>
      <w:r w:rsidRPr="006976BD">
        <w:rPr>
          <w:rFonts w:ascii="Arial" w:hAnsi="Arial" w:cs="Arial"/>
          <w:sz w:val="22"/>
          <w:szCs w:val="22"/>
        </w:rPr>
        <w:t>Desarrollo del Sistema</w:t>
      </w:r>
    </w:p>
    <w:p w14:paraId="37A8599E" w14:textId="5E9CED47" w:rsidR="00214165" w:rsidRPr="006976BD" w:rsidRDefault="00214165" w:rsidP="00DA2E65">
      <w:pPr>
        <w:ind w:right="473"/>
        <w:rPr>
          <w:rFonts w:ascii="Arial" w:hAnsi="Arial" w:cs="Arial"/>
          <w:sz w:val="22"/>
          <w:szCs w:val="22"/>
        </w:rPr>
      </w:pPr>
      <w:r w:rsidRPr="006976BD">
        <w:rPr>
          <w:rFonts w:ascii="Arial" w:hAnsi="Arial" w:cs="Arial"/>
          <w:sz w:val="22"/>
          <w:szCs w:val="22"/>
        </w:rPr>
        <w:t xml:space="preserve">Que, de acuerdo con el artículo 1, los Lineamientos tienen por objeto establecer las condiciones de uso del Sistema, a través del cual se realizará la captura y difusión de la información de las personas candidatas en el Proceso Electoral Extraordinario.  Para tal efecto, como lo dispone el artículo 2 del ordenamiento en cita, el Instituto generará un sistema que tendrá por objeto difundir la identidad, perfil e información curricular de las personas candidatas, el cual será desarrollado por la Unidad de Tecnologías de la Información y Comunicación de este Instituto y será implementado por la Unidad de Transparencia y Acceso a la Información Pública. </w:t>
      </w:r>
    </w:p>
    <w:p w14:paraId="2514C26C" w14:textId="77777777" w:rsidR="00577F2D" w:rsidRPr="006976BD" w:rsidRDefault="00577F2D" w:rsidP="00DA2E65">
      <w:pPr>
        <w:ind w:right="473"/>
        <w:rPr>
          <w:rFonts w:ascii="Arial" w:hAnsi="Arial" w:cs="Arial"/>
          <w:sz w:val="22"/>
          <w:szCs w:val="22"/>
        </w:rPr>
      </w:pPr>
      <w:r w:rsidRPr="006976BD">
        <w:rPr>
          <w:rFonts w:ascii="Arial" w:hAnsi="Arial" w:cs="Arial"/>
          <w:sz w:val="22"/>
          <w:szCs w:val="22"/>
        </w:rPr>
        <w:t>La carga de la información será independiente y responsabilidad de cada candidatura y deberán observar lo dispuesto en los Lineamientos en lo relativo a la publicación de su información en el Sistema.</w:t>
      </w:r>
    </w:p>
    <w:p w14:paraId="408522BA" w14:textId="39CB5DD6" w:rsidR="00214165" w:rsidRPr="006976BD" w:rsidRDefault="00214165" w:rsidP="00DA2E65">
      <w:pPr>
        <w:ind w:right="473"/>
        <w:rPr>
          <w:rFonts w:ascii="Arial" w:hAnsi="Arial" w:cs="Arial"/>
          <w:sz w:val="22"/>
          <w:szCs w:val="22"/>
        </w:rPr>
      </w:pPr>
      <w:r w:rsidRPr="006976BD">
        <w:rPr>
          <w:rFonts w:ascii="Arial" w:hAnsi="Arial" w:cs="Arial"/>
          <w:sz w:val="22"/>
          <w:szCs w:val="22"/>
        </w:rPr>
        <w:t xml:space="preserve">Por su parte, en términos del numeral 5 del Programa de Trabajo, la creación, desarrollo e implementación del Sistema estará compuesto por dos componentes principales:  </w:t>
      </w:r>
    </w:p>
    <w:p w14:paraId="25A801E7" w14:textId="77777777" w:rsidR="00214165" w:rsidRPr="006976BD" w:rsidRDefault="00214165" w:rsidP="00DA2E65">
      <w:pPr>
        <w:pStyle w:val="Prrafodelista"/>
        <w:numPr>
          <w:ilvl w:val="0"/>
          <w:numId w:val="9"/>
        </w:numPr>
        <w:ind w:right="473"/>
        <w:rPr>
          <w:rFonts w:ascii="Arial" w:hAnsi="Arial" w:cs="Arial"/>
          <w:sz w:val="22"/>
          <w:szCs w:val="22"/>
        </w:rPr>
      </w:pPr>
      <w:r w:rsidRPr="006976BD">
        <w:rPr>
          <w:rFonts w:ascii="Arial" w:hAnsi="Arial" w:cs="Arial"/>
          <w:sz w:val="22"/>
          <w:szCs w:val="22"/>
        </w:rPr>
        <w:t>El desarrollo de módulos en el Sistema de Información Estatal Electoral (SIEE); y</w:t>
      </w:r>
    </w:p>
    <w:p w14:paraId="530EB575" w14:textId="13FCACD5" w:rsidR="00214165" w:rsidRPr="006976BD" w:rsidRDefault="00214165" w:rsidP="00DA2E65">
      <w:pPr>
        <w:pStyle w:val="Prrafodelista"/>
        <w:numPr>
          <w:ilvl w:val="0"/>
          <w:numId w:val="9"/>
        </w:numPr>
        <w:ind w:right="473"/>
        <w:rPr>
          <w:rFonts w:ascii="Arial" w:hAnsi="Arial" w:cs="Arial"/>
          <w:sz w:val="22"/>
          <w:szCs w:val="22"/>
        </w:rPr>
      </w:pPr>
      <w:r w:rsidRPr="006976BD">
        <w:rPr>
          <w:rFonts w:ascii="Arial" w:hAnsi="Arial" w:cs="Arial"/>
          <w:sz w:val="22"/>
          <w:szCs w:val="22"/>
        </w:rPr>
        <w:t>Un sitio web para la consulta pública (Conóceles).</w:t>
      </w:r>
    </w:p>
    <w:p w14:paraId="02156647" w14:textId="4621D6C8" w:rsidR="00577F2D" w:rsidRPr="006976BD" w:rsidRDefault="00577F2D" w:rsidP="00DA2E65">
      <w:pPr>
        <w:ind w:right="473"/>
        <w:rPr>
          <w:rFonts w:ascii="Arial" w:hAnsi="Arial" w:cs="Arial"/>
          <w:sz w:val="22"/>
          <w:szCs w:val="22"/>
        </w:rPr>
      </w:pPr>
      <w:r w:rsidRPr="006976BD">
        <w:rPr>
          <w:rFonts w:ascii="Arial" w:hAnsi="Arial" w:cs="Arial"/>
          <w:sz w:val="22"/>
          <w:szCs w:val="22"/>
        </w:rPr>
        <w:t xml:space="preserve">Previo a la liberación del primer componente, de conformidad con el artículo 6 numeral 2 inciso c) de los Lineamientos, el Instituto por medio de la Unidad de Tecnologías de la </w:t>
      </w:r>
      <w:r w:rsidRPr="006976BD">
        <w:rPr>
          <w:rFonts w:ascii="Arial" w:hAnsi="Arial" w:cs="Arial"/>
          <w:sz w:val="22"/>
          <w:szCs w:val="22"/>
        </w:rPr>
        <w:lastRenderedPageBreak/>
        <w:t>Información y Comunicación, entregará a las personas candidatas a juzgadoras, a través del mecanismo de comunicación (correo electrónico), el Manual de uso y los usuarios y contraseñas para que capturen la información en el Sistema de Candidatas y Candidatos: Conóceles.</w:t>
      </w:r>
    </w:p>
    <w:p w14:paraId="49C324F9" w14:textId="0658626D" w:rsidR="00577F2D" w:rsidRPr="006976BD" w:rsidRDefault="00577F2D" w:rsidP="00DA2E65">
      <w:pPr>
        <w:pStyle w:val="Ttulo2"/>
        <w:ind w:right="473"/>
        <w:rPr>
          <w:rFonts w:ascii="Arial" w:hAnsi="Arial" w:cs="Arial"/>
          <w:sz w:val="22"/>
          <w:szCs w:val="22"/>
        </w:rPr>
      </w:pPr>
      <w:r w:rsidRPr="006976BD">
        <w:rPr>
          <w:rFonts w:ascii="Arial" w:hAnsi="Arial" w:cs="Arial"/>
          <w:sz w:val="22"/>
          <w:szCs w:val="22"/>
        </w:rPr>
        <w:t>Publicación de la Información</w:t>
      </w:r>
    </w:p>
    <w:p w14:paraId="59BE4704" w14:textId="016D5F64" w:rsidR="00577F2D" w:rsidRDefault="00577F2D" w:rsidP="00DA2E65">
      <w:pPr>
        <w:ind w:right="473"/>
        <w:rPr>
          <w:rFonts w:ascii="Arial" w:hAnsi="Arial" w:cs="Arial"/>
          <w:sz w:val="22"/>
          <w:szCs w:val="22"/>
        </w:rPr>
      </w:pPr>
      <w:r w:rsidRPr="006976BD">
        <w:rPr>
          <w:rFonts w:ascii="Arial" w:hAnsi="Arial" w:cs="Arial"/>
          <w:sz w:val="22"/>
          <w:szCs w:val="22"/>
        </w:rPr>
        <w:t xml:space="preserve">Que, para dar cumplimiento a las actividades establecidas en el numeral 6 del Programa de Trabajo, la Comisión propuso que la información de las personas candidatas a cargos de elección en el Poder Judicial del Estado que se divulgue a través del </w:t>
      </w:r>
      <w:proofErr w:type="spellStart"/>
      <w:r w:rsidRPr="006976BD">
        <w:rPr>
          <w:rFonts w:ascii="Arial" w:hAnsi="Arial" w:cs="Arial"/>
          <w:sz w:val="22"/>
          <w:szCs w:val="22"/>
        </w:rPr>
        <w:t>micrositio</w:t>
      </w:r>
      <w:proofErr w:type="spellEnd"/>
      <w:r w:rsidRPr="006976BD">
        <w:rPr>
          <w:rFonts w:ascii="Arial" w:hAnsi="Arial" w:cs="Arial"/>
          <w:sz w:val="22"/>
          <w:szCs w:val="22"/>
        </w:rPr>
        <w:t xml:space="preserve"> se realice de conformidad con lo siguiente:</w:t>
      </w:r>
    </w:p>
    <w:tbl>
      <w:tblPr>
        <w:tblStyle w:val="Tablaconcuadrcula"/>
        <w:tblW w:w="0" w:type="auto"/>
        <w:jc w:val="center"/>
        <w:tblLook w:val="04A0" w:firstRow="1" w:lastRow="0" w:firstColumn="1" w:lastColumn="0" w:noHBand="0" w:noVBand="1"/>
      </w:tblPr>
      <w:tblGrid>
        <w:gridCol w:w="4564"/>
        <w:gridCol w:w="2998"/>
      </w:tblGrid>
      <w:tr w:rsidR="006976BD" w:rsidRPr="006976BD" w14:paraId="130D93CE" w14:textId="77777777" w:rsidTr="00C00441">
        <w:trPr>
          <w:trHeight w:val="1081"/>
          <w:jc w:val="center"/>
        </w:trPr>
        <w:tc>
          <w:tcPr>
            <w:tcW w:w="4564" w:type="dxa"/>
            <w:shd w:val="clear" w:color="auto" w:fill="D9D9D9" w:themeFill="background1" w:themeFillShade="D9"/>
            <w:vAlign w:val="center"/>
          </w:tcPr>
          <w:p w14:paraId="350DD2BF" w14:textId="77777777" w:rsidR="00577F2D" w:rsidRPr="00C0459D" w:rsidRDefault="00577F2D" w:rsidP="00DA2E65">
            <w:pPr>
              <w:spacing w:before="40" w:after="40" w:line="216" w:lineRule="auto"/>
              <w:ind w:right="473"/>
              <w:jc w:val="center"/>
              <w:rPr>
                <w:rFonts w:ascii="Arial" w:hAnsi="Arial" w:cs="Arial"/>
                <w:b/>
                <w:bCs/>
                <w:sz w:val="20"/>
              </w:rPr>
            </w:pPr>
            <w:r w:rsidRPr="00C0459D">
              <w:rPr>
                <w:rFonts w:ascii="Arial" w:hAnsi="Arial" w:cs="Arial"/>
                <w:b/>
                <w:bCs/>
                <w:sz w:val="20"/>
              </w:rPr>
              <w:t>Cargo de elección</w:t>
            </w:r>
          </w:p>
        </w:tc>
        <w:tc>
          <w:tcPr>
            <w:tcW w:w="2998" w:type="dxa"/>
            <w:shd w:val="clear" w:color="auto" w:fill="D9D9D9" w:themeFill="background1" w:themeFillShade="D9"/>
            <w:vAlign w:val="center"/>
          </w:tcPr>
          <w:p w14:paraId="6E5AA63A" w14:textId="77777777" w:rsidR="00577F2D" w:rsidRPr="00C0459D" w:rsidRDefault="00577F2D" w:rsidP="00DA2E65">
            <w:pPr>
              <w:spacing w:before="40" w:after="40" w:line="216" w:lineRule="auto"/>
              <w:ind w:right="473"/>
              <w:jc w:val="center"/>
              <w:rPr>
                <w:rFonts w:ascii="Arial" w:hAnsi="Arial" w:cs="Arial"/>
                <w:b/>
                <w:bCs/>
                <w:sz w:val="20"/>
              </w:rPr>
            </w:pPr>
            <w:r w:rsidRPr="00C0459D">
              <w:rPr>
                <w:rFonts w:ascii="Arial" w:hAnsi="Arial" w:cs="Arial"/>
                <w:b/>
                <w:bCs/>
                <w:sz w:val="20"/>
              </w:rPr>
              <w:t>Componente 2</w:t>
            </w:r>
          </w:p>
          <w:p w14:paraId="26A7EBCB" w14:textId="77777777" w:rsidR="00577F2D" w:rsidRPr="00C0459D" w:rsidRDefault="00577F2D" w:rsidP="00DA2E65">
            <w:pPr>
              <w:spacing w:before="40" w:after="40" w:line="216" w:lineRule="auto"/>
              <w:ind w:right="473"/>
              <w:jc w:val="center"/>
              <w:rPr>
                <w:rFonts w:ascii="Arial" w:hAnsi="Arial" w:cs="Arial"/>
                <w:b/>
                <w:bCs/>
                <w:sz w:val="20"/>
              </w:rPr>
            </w:pPr>
            <w:r w:rsidRPr="00C0459D">
              <w:rPr>
                <w:rFonts w:ascii="Arial" w:hAnsi="Arial" w:cs="Arial"/>
                <w:b/>
                <w:bCs/>
                <w:sz w:val="20"/>
              </w:rPr>
              <w:t>Sitio Web para la consulta pública (Conóceles).</w:t>
            </w:r>
          </w:p>
        </w:tc>
      </w:tr>
      <w:tr w:rsidR="006976BD" w:rsidRPr="006976BD" w14:paraId="2AE2751D" w14:textId="77777777" w:rsidTr="00C00441">
        <w:trPr>
          <w:trHeight w:val="2205"/>
          <w:jc w:val="center"/>
        </w:trPr>
        <w:tc>
          <w:tcPr>
            <w:tcW w:w="4564" w:type="dxa"/>
            <w:vAlign w:val="center"/>
          </w:tcPr>
          <w:p w14:paraId="0AEBFD23" w14:textId="77777777" w:rsidR="00577F2D" w:rsidRPr="00C0459D" w:rsidRDefault="00577F2D" w:rsidP="00DA2E65">
            <w:pPr>
              <w:widowControl w:val="0"/>
              <w:spacing w:before="40" w:after="40"/>
              <w:ind w:right="473"/>
              <w:rPr>
                <w:rFonts w:ascii="Arial" w:hAnsi="Arial" w:cs="Arial"/>
                <w:b/>
                <w:bCs/>
                <w:sz w:val="20"/>
              </w:rPr>
            </w:pPr>
            <w:r w:rsidRPr="00C0459D">
              <w:rPr>
                <w:rFonts w:ascii="Arial" w:hAnsi="Arial" w:cs="Arial"/>
                <w:b/>
                <w:bCs/>
                <w:sz w:val="20"/>
              </w:rPr>
              <w:t>Magistradas y Magistrados integrantes del Tribunal de Disciplina Judicial, Magistradas y Magistrados integrantes del Pleno del Tribunal Superior de Justicia, las Juezas y Jueces del Poder Judicial del Estado.</w:t>
            </w:r>
          </w:p>
        </w:tc>
        <w:tc>
          <w:tcPr>
            <w:tcW w:w="2998" w:type="dxa"/>
            <w:vAlign w:val="center"/>
          </w:tcPr>
          <w:p w14:paraId="1A5ADD24" w14:textId="77777777" w:rsidR="00577F2D" w:rsidRPr="00C0459D" w:rsidRDefault="00577F2D" w:rsidP="00DA2E65">
            <w:pPr>
              <w:spacing w:before="40" w:after="40" w:line="216" w:lineRule="auto"/>
              <w:ind w:right="473"/>
              <w:jc w:val="center"/>
              <w:rPr>
                <w:rFonts w:ascii="Arial" w:hAnsi="Arial" w:cs="Arial"/>
                <w:b/>
                <w:bCs/>
                <w:sz w:val="20"/>
              </w:rPr>
            </w:pPr>
            <w:r w:rsidRPr="00C0459D">
              <w:rPr>
                <w:rFonts w:ascii="Arial" w:hAnsi="Arial" w:cs="Arial"/>
                <w:b/>
                <w:bCs/>
                <w:sz w:val="20"/>
              </w:rPr>
              <w:t>29 de abril de 2025</w:t>
            </w:r>
          </w:p>
        </w:tc>
      </w:tr>
    </w:tbl>
    <w:p w14:paraId="0B3A6188" w14:textId="2C057492" w:rsidR="003F47A3" w:rsidRPr="006976BD" w:rsidRDefault="009827F8" w:rsidP="00DA2E65">
      <w:pPr>
        <w:ind w:right="473"/>
        <w:rPr>
          <w:rFonts w:ascii="Arial" w:hAnsi="Arial" w:cs="Arial"/>
          <w:sz w:val="22"/>
          <w:szCs w:val="22"/>
        </w:rPr>
      </w:pPr>
      <w:r w:rsidRPr="006976BD">
        <w:rPr>
          <w:rFonts w:ascii="Arial" w:hAnsi="Arial" w:cs="Arial"/>
          <w:sz w:val="22"/>
          <w:szCs w:val="22"/>
        </w:rPr>
        <w:t>Conforme a lo anterior, l</w:t>
      </w:r>
      <w:r w:rsidR="00577F2D" w:rsidRPr="006976BD">
        <w:rPr>
          <w:rFonts w:ascii="Arial" w:hAnsi="Arial" w:cs="Arial"/>
          <w:sz w:val="22"/>
          <w:szCs w:val="22"/>
        </w:rPr>
        <w:t xml:space="preserve">a información contenida en el micrositio estará disponible a la ciudadanía </w:t>
      </w:r>
      <w:r w:rsidRPr="006976BD">
        <w:rPr>
          <w:rFonts w:ascii="Arial" w:hAnsi="Arial" w:cs="Arial"/>
          <w:sz w:val="22"/>
          <w:szCs w:val="22"/>
        </w:rPr>
        <w:t xml:space="preserve">desde el 29 de abril de 2025 </w:t>
      </w:r>
      <w:r w:rsidR="00577F2D" w:rsidRPr="006976BD">
        <w:rPr>
          <w:rFonts w:ascii="Arial" w:hAnsi="Arial" w:cs="Arial"/>
          <w:sz w:val="22"/>
          <w:szCs w:val="22"/>
        </w:rPr>
        <w:t xml:space="preserve">desde las cero horas con cero minutos (OO:00) </w:t>
      </w:r>
      <w:r w:rsidRPr="006976BD">
        <w:rPr>
          <w:rFonts w:ascii="Arial" w:hAnsi="Arial" w:cs="Arial"/>
          <w:sz w:val="22"/>
          <w:szCs w:val="22"/>
        </w:rPr>
        <w:t xml:space="preserve">y hasta </w:t>
      </w:r>
      <w:r w:rsidR="00FE2DD8" w:rsidRPr="006976BD">
        <w:rPr>
          <w:rFonts w:ascii="Arial" w:hAnsi="Arial" w:cs="Arial"/>
          <w:sz w:val="22"/>
          <w:szCs w:val="22"/>
        </w:rPr>
        <w:t>la jornada electoral</w:t>
      </w:r>
      <w:r w:rsidR="00DF1384" w:rsidRPr="006976BD">
        <w:rPr>
          <w:rFonts w:ascii="Arial" w:hAnsi="Arial" w:cs="Arial"/>
          <w:sz w:val="22"/>
          <w:szCs w:val="22"/>
        </w:rPr>
        <w:t>.</w:t>
      </w:r>
    </w:p>
    <w:p w14:paraId="66C2D4A2" w14:textId="461646DF" w:rsidR="00934A93" w:rsidRPr="006976BD" w:rsidRDefault="00934A93" w:rsidP="00DA2E65">
      <w:pPr>
        <w:ind w:right="473"/>
        <w:rPr>
          <w:rFonts w:ascii="Arial" w:hAnsi="Arial" w:cs="Arial"/>
          <w:sz w:val="22"/>
          <w:szCs w:val="22"/>
        </w:rPr>
      </w:pPr>
      <w:r w:rsidRPr="006976BD">
        <w:rPr>
          <w:rFonts w:ascii="Arial" w:hAnsi="Arial" w:cs="Arial"/>
          <w:sz w:val="22"/>
          <w:szCs w:val="22"/>
        </w:rPr>
        <w:t>Sobre la base de las consideraciones señaladas, este Consejo Estatal emite el siguiente:</w:t>
      </w:r>
    </w:p>
    <w:p w14:paraId="4EBC6357" w14:textId="0E0766CC" w:rsidR="00934A93" w:rsidRPr="006976BD" w:rsidRDefault="00934A93" w:rsidP="00DA2E65">
      <w:pPr>
        <w:pStyle w:val="Ttulo1"/>
        <w:ind w:right="473"/>
        <w:rPr>
          <w:rFonts w:ascii="Arial" w:hAnsi="Arial" w:cs="Arial"/>
          <w:sz w:val="22"/>
          <w:szCs w:val="22"/>
        </w:rPr>
      </w:pPr>
      <w:r w:rsidRPr="006976BD">
        <w:rPr>
          <w:rFonts w:ascii="Arial" w:hAnsi="Arial" w:cs="Arial"/>
          <w:sz w:val="24"/>
          <w:szCs w:val="22"/>
        </w:rPr>
        <w:t>Acuerdo</w:t>
      </w:r>
    </w:p>
    <w:p w14:paraId="35AC3717" w14:textId="569D863F" w:rsidR="00934A93" w:rsidRPr="006976BD" w:rsidRDefault="00934A93" w:rsidP="00DA2E65">
      <w:pPr>
        <w:ind w:right="473"/>
        <w:rPr>
          <w:rFonts w:ascii="Arial" w:hAnsi="Arial" w:cs="Arial"/>
          <w:sz w:val="22"/>
          <w:szCs w:val="22"/>
        </w:rPr>
      </w:pPr>
      <w:r w:rsidRPr="006976BD">
        <w:rPr>
          <w:rFonts w:ascii="Arial" w:hAnsi="Arial" w:cs="Arial"/>
          <w:b/>
          <w:bCs/>
          <w:sz w:val="22"/>
          <w:szCs w:val="22"/>
        </w:rPr>
        <w:t>Primero.</w:t>
      </w:r>
      <w:r w:rsidRPr="006976BD">
        <w:rPr>
          <w:rFonts w:ascii="Arial" w:hAnsi="Arial" w:cs="Arial"/>
          <w:sz w:val="22"/>
          <w:szCs w:val="22"/>
        </w:rPr>
        <w:t xml:space="preserve"> Se aprueba la fecha de inicio de publicación de la información en el Micrositio de Candidatas y Candidatos: Conóceles para el Proceso Electoral Local Extraordinario para personas Juzgadoras del Poder Judicial del Estado de Tabasco 2024 – 2025 propuesta por la Comisión Temporal para la Difusión de Personas Candidatas a un cargo de elección en el Poder Judicial del Estado, en términos del considerando 2.11 del presente Acuerdo.</w:t>
      </w:r>
    </w:p>
    <w:p w14:paraId="457F14CD" w14:textId="41B7CC4E" w:rsidR="00934A93" w:rsidRPr="006976BD" w:rsidRDefault="00934A93" w:rsidP="00DA2E65">
      <w:pPr>
        <w:spacing w:line="264" w:lineRule="auto"/>
        <w:ind w:right="473"/>
        <w:rPr>
          <w:rFonts w:ascii="Arial" w:hAnsi="Arial" w:cs="Arial"/>
          <w:sz w:val="22"/>
          <w:szCs w:val="22"/>
        </w:rPr>
      </w:pPr>
      <w:r w:rsidRPr="006976BD">
        <w:rPr>
          <w:rFonts w:ascii="Arial" w:hAnsi="Arial" w:cs="Arial"/>
          <w:b/>
          <w:bCs/>
          <w:sz w:val="22"/>
          <w:szCs w:val="22"/>
        </w:rPr>
        <w:lastRenderedPageBreak/>
        <w:t xml:space="preserve">Segundo. </w:t>
      </w:r>
      <w:r w:rsidRPr="006976BD">
        <w:rPr>
          <w:rFonts w:ascii="Arial" w:hAnsi="Arial" w:cs="Arial"/>
          <w:sz w:val="22"/>
          <w:szCs w:val="22"/>
        </w:rPr>
        <w:t>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374DCF32" w14:textId="599D2781" w:rsidR="00934A93" w:rsidRPr="006976BD" w:rsidRDefault="00934A93" w:rsidP="00DA2E65">
      <w:pPr>
        <w:spacing w:line="264" w:lineRule="auto"/>
        <w:ind w:right="473"/>
        <w:rPr>
          <w:rFonts w:ascii="Arial" w:hAnsi="Arial" w:cs="Arial"/>
          <w:sz w:val="22"/>
          <w:szCs w:val="22"/>
        </w:rPr>
      </w:pPr>
      <w:r w:rsidRPr="006976BD">
        <w:rPr>
          <w:rFonts w:ascii="Arial" w:hAnsi="Arial" w:cs="Arial"/>
          <w:b/>
          <w:bCs/>
          <w:sz w:val="22"/>
          <w:szCs w:val="22"/>
        </w:rPr>
        <w:t>Tercero.</w:t>
      </w:r>
      <w:r w:rsidRPr="006976BD">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31D5FC08" w14:textId="77777777" w:rsidR="00AC574B" w:rsidRPr="006976BD" w:rsidRDefault="00AC574B" w:rsidP="00DA2E65">
      <w:pPr>
        <w:spacing w:line="264" w:lineRule="auto"/>
        <w:ind w:right="473"/>
        <w:rPr>
          <w:rFonts w:ascii="Arial" w:hAnsi="Arial" w:cs="Arial"/>
          <w:sz w:val="22"/>
          <w:szCs w:val="22"/>
        </w:rPr>
      </w:pPr>
      <w:r w:rsidRPr="006976BD">
        <w:rPr>
          <w:rFonts w:ascii="Arial" w:hAnsi="Arial" w:cs="Arial"/>
          <w:sz w:val="22"/>
          <w:szCs w:val="22"/>
        </w:rPr>
        <w:t xml:space="preserve">El presente acuerdo fue aprobado en sesión extraordinaria efectuada el día veintiocho de abril del año dos mil veinticinco, por votación unánime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6976BD">
        <w:rPr>
          <w:rFonts w:ascii="Arial" w:hAnsi="Arial" w:cs="Arial"/>
          <w:sz w:val="22"/>
          <w:szCs w:val="22"/>
        </w:rPr>
        <w:t>Beaurregard</w:t>
      </w:r>
      <w:proofErr w:type="spellEnd"/>
      <w:r w:rsidRPr="006976BD">
        <w:rPr>
          <w:rFonts w:ascii="Arial" w:hAnsi="Arial" w:cs="Arial"/>
          <w:sz w:val="22"/>
          <w:szCs w:val="22"/>
        </w:rPr>
        <w:t xml:space="preserve">, Mtra. Ruth </w:t>
      </w:r>
      <w:proofErr w:type="spellStart"/>
      <w:r w:rsidRPr="006976BD">
        <w:rPr>
          <w:rFonts w:ascii="Arial" w:hAnsi="Arial" w:cs="Arial"/>
          <w:sz w:val="22"/>
          <w:szCs w:val="22"/>
        </w:rPr>
        <w:t>Lizette</w:t>
      </w:r>
      <w:proofErr w:type="spellEnd"/>
      <w:r w:rsidRPr="006976BD">
        <w:rPr>
          <w:rFonts w:ascii="Arial" w:hAnsi="Arial" w:cs="Arial"/>
          <w:sz w:val="22"/>
          <w:szCs w:val="22"/>
        </w:rPr>
        <w:t xml:space="preserve"> Toledo Peral y la Consejera Presidenta, Mtra. Elizabeth Nava Gutiérrez</w:t>
      </w:r>
    </w:p>
    <w:p w14:paraId="64BF27E6" w14:textId="56F90C77" w:rsidR="00934A93" w:rsidRDefault="00934A93" w:rsidP="00DA2E65">
      <w:pPr>
        <w:spacing w:line="264" w:lineRule="auto"/>
        <w:ind w:right="473"/>
        <w:rPr>
          <w:rFonts w:ascii="Arial" w:hAnsi="Arial" w:cs="Arial"/>
          <w:sz w:val="22"/>
          <w:szCs w:val="22"/>
        </w:rPr>
      </w:pPr>
    </w:p>
    <w:p w14:paraId="2B601782" w14:textId="46358E48" w:rsidR="00DA2E65" w:rsidRDefault="00DA2E65" w:rsidP="00DA2E65">
      <w:pPr>
        <w:spacing w:line="264" w:lineRule="auto"/>
        <w:ind w:right="473"/>
        <w:rPr>
          <w:rFonts w:ascii="Arial" w:hAnsi="Arial" w:cs="Arial"/>
          <w:sz w:val="22"/>
          <w:szCs w:val="22"/>
        </w:rPr>
      </w:pPr>
    </w:p>
    <w:p w14:paraId="0FA03102" w14:textId="39AB8D4F" w:rsidR="00DA2E65" w:rsidRDefault="00DA2E65" w:rsidP="00DA2E65">
      <w:pPr>
        <w:spacing w:line="264" w:lineRule="auto"/>
        <w:ind w:right="473"/>
        <w:rPr>
          <w:rFonts w:ascii="Arial" w:hAnsi="Arial" w:cs="Arial"/>
          <w:sz w:val="22"/>
          <w:szCs w:val="22"/>
        </w:rPr>
      </w:pPr>
    </w:p>
    <w:p w14:paraId="0558CF9E" w14:textId="07C31423" w:rsidR="00DA2E65" w:rsidRDefault="00DA2E65" w:rsidP="00DA2E65">
      <w:pPr>
        <w:spacing w:line="264" w:lineRule="auto"/>
        <w:ind w:right="473"/>
        <w:rPr>
          <w:rFonts w:ascii="Arial" w:hAnsi="Arial" w:cs="Arial"/>
          <w:sz w:val="22"/>
          <w:szCs w:val="22"/>
        </w:rPr>
      </w:pPr>
    </w:p>
    <w:p w14:paraId="61E84147" w14:textId="59EBE441" w:rsidR="00DA2E65" w:rsidRDefault="00DA2E65" w:rsidP="00DA2E65">
      <w:pPr>
        <w:spacing w:line="264" w:lineRule="auto"/>
        <w:ind w:right="473"/>
        <w:rPr>
          <w:rFonts w:ascii="Arial" w:hAnsi="Arial" w:cs="Arial"/>
          <w:sz w:val="22"/>
          <w:szCs w:val="22"/>
        </w:rPr>
      </w:pPr>
    </w:p>
    <w:p w14:paraId="49A07857" w14:textId="77777777" w:rsidR="00DA2E65" w:rsidRPr="006976BD" w:rsidRDefault="00DA2E65" w:rsidP="00DA2E65">
      <w:pPr>
        <w:spacing w:line="264" w:lineRule="auto"/>
        <w:ind w:right="473"/>
        <w:rPr>
          <w:rFonts w:ascii="Arial" w:hAnsi="Arial" w:cs="Arial"/>
          <w:sz w:val="22"/>
          <w:szCs w:val="22"/>
        </w:rPr>
      </w:pPr>
    </w:p>
    <w:tbl>
      <w:tblPr>
        <w:tblStyle w:val="Tablaconcuadrcula"/>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8"/>
        <w:gridCol w:w="244"/>
        <w:gridCol w:w="4841"/>
      </w:tblGrid>
      <w:tr w:rsidR="00DA2E65" w:rsidRPr="006976BD" w14:paraId="593E9893" w14:textId="77777777" w:rsidTr="00C93C47">
        <w:trPr>
          <w:trHeight w:val="702"/>
        </w:trPr>
        <w:tc>
          <w:tcPr>
            <w:tcW w:w="4838" w:type="dxa"/>
          </w:tcPr>
          <w:p w14:paraId="146A89F5" w14:textId="77777777" w:rsidR="00934A93" w:rsidRPr="006976BD" w:rsidRDefault="00934A93" w:rsidP="00DA2E65">
            <w:pPr>
              <w:spacing w:before="0" w:after="0" w:line="264" w:lineRule="auto"/>
              <w:ind w:right="473"/>
              <w:jc w:val="center"/>
              <w:rPr>
                <w:rFonts w:ascii="Arial" w:hAnsi="Arial" w:cs="Arial"/>
                <w:b/>
                <w:bCs/>
              </w:rPr>
            </w:pPr>
            <w:r w:rsidRPr="006976BD">
              <w:rPr>
                <w:rFonts w:ascii="Arial" w:hAnsi="Arial" w:cs="Arial"/>
                <w:b/>
                <w:bCs/>
              </w:rPr>
              <w:t>MTRA. ELIZABETH NAVA GUTIÉRREZ</w:t>
            </w:r>
          </w:p>
          <w:p w14:paraId="563B48F4" w14:textId="77777777" w:rsidR="00934A93" w:rsidRPr="006976BD" w:rsidRDefault="00934A93" w:rsidP="00DA2E65">
            <w:pPr>
              <w:spacing w:before="0" w:after="0" w:line="264" w:lineRule="auto"/>
              <w:ind w:right="473"/>
              <w:jc w:val="center"/>
              <w:rPr>
                <w:rFonts w:ascii="Arial" w:hAnsi="Arial" w:cs="Arial"/>
                <w:b/>
                <w:bCs/>
              </w:rPr>
            </w:pPr>
            <w:r w:rsidRPr="006976BD">
              <w:rPr>
                <w:rFonts w:ascii="Arial" w:hAnsi="Arial" w:cs="Arial"/>
                <w:b/>
                <w:bCs/>
              </w:rPr>
              <w:t>CONSEJERA PRESIDENTA</w:t>
            </w:r>
          </w:p>
        </w:tc>
        <w:tc>
          <w:tcPr>
            <w:tcW w:w="244" w:type="dxa"/>
          </w:tcPr>
          <w:p w14:paraId="3B6AA763" w14:textId="77777777" w:rsidR="00934A93" w:rsidRPr="006976BD" w:rsidRDefault="00934A93" w:rsidP="00DA2E65">
            <w:pPr>
              <w:spacing w:before="0" w:after="0" w:line="264" w:lineRule="auto"/>
              <w:ind w:right="473"/>
              <w:rPr>
                <w:rFonts w:ascii="Arial" w:hAnsi="Arial" w:cs="Arial"/>
                <w:b/>
                <w:bCs/>
              </w:rPr>
            </w:pPr>
          </w:p>
        </w:tc>
        <w:tc>
          <w:tcPr>
            <w:tcW w:w="4841" w:type="dxa"/>
          </w:tcPr>
          <w:p w14:paraId="05A44647" w14:textId="77777777" w:rsidR="00934A93" w:rsidRPr="006976BD" w:rsidRDefault="00934A93" w:rsidP="00DA2E65">
            <w:pPr>
              <w:spacing w:before="0" w:after="0" w:line="264" w:lineRule="auto"/>
              <w:ind w:right="473"/>
              <w:jc w:val="center"/>
              <w:rPr>
                <w:rFonts w:ascii="Arial" w:hAnsi="Arial" w:cs="Arial"/>
                <w:b/>
                <w:bCs/>
              </w:rPr>
            </w:pPr>
            <w:r w:rsidRPr="006976BD">
              <w:rPr>
                <w:rFonts w:ascii="Arial" w:hAnsi="Arial" w:cs="Arial"/>
                <w:b/>
                <w:bCs/>
              </w:rPr>
              <w:t>LIC. JORGE ALBERTO ZAVALA FRÍAS</w:t>
            </w:r>
          </w:p>
          <w:p w14:paraId="0A28C5F2" w14:textId="77777777" w:rsidR="00934A93" w:rsidRPr="006976BD" w:rsidRDefault="00934A93" w:rsidP="00DA2E65">
            <w:pPr>
              <w:spacing w:before="0" w:after="0" w:line="264" w:lineRule="auto"/>
              <w:ind w:right="473"/>
              <w:jc w:val="center"/>
              <w:rPr>
                <w:rFonts w:ascii="Arial" w:hAnsi="Arial" w:cs="Arial"/>
                <w:b/>
                <w:bCs/>
              </w:rPr>
            </w:pPr>
            <w:r w:rsidRPr="006976BD">
              <w:rPr>
                <w:rFonts w:ascii="Arial" w:hAnsi="Arial" w:cs="Arial"/>
                <w:b/>
                <w:bCs/>
              </w:rPr>
              <w:t>SECRETARIO DEL CONSEJO</w:t>
            </w:r>
          </w:p>
        </w:tc>
      </w:tr>
    </w:tbl>
    <w:p w14:paraId="0CB3BCE3" w14:textId="77777777" w:rsidR="00934A93" w:rsidRPr="006976BD" w:rsidRDefault="00934A93" w:rsidP="00DA2E65">
      <w:pPr>
        <w:widowControl w:val="0"/>
        <w:spacing w:line="264" w:lineRule="auto"/>
        <w:ind w:right="473"/>
        <w:rPr>
          <w:rFonts w:ascii="Arial" w:hAnsi="Arial" w:cs="Arial"/>
          <w:sz w:val="22"/>
          <w:szCs w:val="22"/>
        </w:rPr>
      </w:pPr>
      <w:bookmarkStart w:id="0" w:name="_GoBack"/>
      <w:bookmarkEnd w:id="0"/>
    </w:p>
    <w:sectPr w:rsidR="00934A93" w:rsidRPr="006976BD" w:rsidSect="008E4C85">
      <w:headerReference w:type="default" r:id="rId7"/>
      <w:footerReference w:type="default" r:id="rId8"/>
      <w:pgSz w:w="12240" w:h="15840" w:code="1"/>
      <w:pgMar w:top="2835" w:right="1418"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D9FEA" w14:textId="77777777" w:rsidR="00707618" w:rsidRDefault="00707618" w:rsidP="00934A93">
      <w:pPr>
        <w:spacing w:before="0" w:after="0" w:line="240" w:lineRule="auto"/>
      </w:pPr>
      <w:r>
        <w:separator/>
      </w:r>
    </w:p>
  </w:endnote>
  <w:endnote w:type="continuationSeparator" w:id="0">
    <w:p w14:paraId="0B888EBF" w14:textId="77777777" w:rsidR="00707618" w:rsidRDefault="00707618" w:rsidP="00934A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5446CC8D-6A86-45D5-8FB0-454FF38CE855}"/>
    <w:embedBold r:id="rId2" w:fontKey="{2A5021C5-9211-4BDB-85E5-1E8D29E36D0A}"/>
    <w:embedItalic r:id="rId3" w:fontKey="{E84B231C-24B2-4CBD-A5F9-F375EAFA316C}"/>
  </w:font>
  <w:font w:name="Exo">
    <w:altName w:val="Times New Roman"/>
    <w:charset w:val="00"/>
    <w:family w:val="auto"/>
    <w:pitch w:val="variable"/>
    <w:sig w:usb0="A00000FF" w:usb1="4000204B" w:usb2="00000000" w:usb3="00000000" w:csb0="00000193" w:csb1="00000000"/>
    <w:embedRegular r:id="rId4" w:fontKey="{3169FA1E-1A45-46ED-A96E-2A8D3597BCC8}"/>
    <w:embedBold r:id="rId5" w:fontKey="{92EA1EF6-CDCF-4555-B284-C1037B0B52A2}"/>
    <w:embedItalic r:id="rId6" w:fontKey="{34C3254D-D445-4FEA-814C-877E7BDCA0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339483EC-5C4E-49FB-A97B-2AFA4632DAEF}"/>
  </w:font>
  <w:font w:name="Aptos Display">
    <w:charset w:val="00"/>
    <w:family w:val="swiss"/>
    <w:pitch w:val="variable"/>
    <w:sig w:usb0="00000001" w:usb1="00000003" w:usb2="00000000" w:usb3="00000000" w:csb0="0000019F" w:csb1="00000000"/>
    <w:embedRegular r:id="rId8" w:fontKey="{943BFC09-6FF5-4E0A-8F6A-350E28FDA8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86995637"/>
      <w:docPartObj>
        <w:docPartGallery w:val="Page Numbers (Top of Page)"/>
        <w:docPartUnique/>
      </w:docPartObj>
    </w:sdtPr>
    <w:sdtEndPr/>
    <w:sdtContent>
      <w:p w14:paraId="58203023" w14:textId="11F9C0FC" w:rsidR="00BC47E0" w:rsidRPr="00AC574B" w:rsidRDefault="00BC47E0" w:rsidP="00BC47E0">
        <w:pPr>
          <w:pStyle w:val="Piedepgina"/>
          <w:spacing w:before="120"/>
          <w:jc w:val="right"/>
          <w:rPr>
            <w:rFonts w:ascii="Arial" w:hAnsi="Arial" w:cs="Arial"/>
            <w:color w:val="993366"/>
            <w:sz w:val="20"/>
            <w:szCs w:val="20"/>
          </w:rPr>
        </w:pPr>
        <w:r w:rsidRPr="00AC574B">
          <w:rPr>
            <w:rFonts w:ascii="Arial" w:hAnsi="Arial" w:cs="Arial"/>
            <w:b/>
            <w:bCs/>
            <w:color w:val="993366"/>
          </w:rPr>
          <w:t xml:space="preserve">Página </w:t>
        </w:r>
        <w:r w:rsidRPr="00AC574B">
          <w:rPr>
            <w:rFonts w:ascii="Arial" w:hAnsi="Arial" w:cs="Arial"/>
            <w:b/>
            <w:bCs/>
            <w:color w:val="993366"/>
          </w:rPr>
          <w:fldChar w:fldCharType="begin"/>
        </w:r>
        <w:r w:rsidRPr="00AC574B">
          <w:rPr>
            <w:rFonts w:ascii="Arial" w:hAnsi="Arial" w:cs="Arial"/>
            <w:b/>
            <w:bCs/>
            <w:color w:val="993366"/>
          </w:rPr>
          <w:instrText>PAGE</w:instrText>
        </w:r>
        <w:r w:rsidRPr="00AC574B">
          <w:rPr>
            <w:rFonts w:ascii="Arial" w:hAnsi="Arial" w:cs="Arial"/>
            <w:b/>
            <w:bCs/>
            <w:color w:val="993366"/>
          </w:rPr>
          <w:fldChar w:fldCharType="separate"/>
        </w:r>
        <w:r w:rsidR="00C93C47">
          <w:rPr>
            <w:rFonts w:ascii="Arial" w:hAnsi="Arial" w:cs="Arial"/>
            <w:b/>
            <w:bCs/>
            <w:noProof/>
            <w:color w:val="993366"/>
          </w:rPr>
          <w:t>10</w:t>
        </w:r>
        <w:r w:rsidRPr="00AC574B">
          <w:rPr>
            <w:rFonts w:ascii="Arial" w:hAnsi="Arial" w:cs="Arial"/>
            <w:b/>
            <w:bCs/>
            <w:color w:val="993366"/>
          </w:rPr>
          <w:fldChar w:fldCharType="end"/>
        </w:r>
        <w:r w:rsidRPr="00AC574B">
          <w:rPr>
            <w:rFonts w:ascii="Arial" w:hAnsi="Arial" w:cs="Arial"/>
            <w:b/>
            <w:bCs/>
            <w:color w:val="993366"/>
          </w:rPr>
          <w:t xml:space="preserve"> | </w:t>
        </w:r>
        <w:r w:rsidRPr="00AC574B">
          <w:rPr>
            <w:rFonts w:ascii="Arial" w:hAnsi="Arial" w:cs="Arial"/>
            <w:b/>
            <w:bCs/>
            <w:color w:val="993366"/>
          </w:rPr>
          <w:fldChar w:fldCharType="begin"/>
        </w:r>
        <w:r w:rsidRPr="00AC574B">
          <w:rPr>
            <w:rFonts w:ascii="Arial" w:hAnsi="Arial" w:cs="Arial"/>
            <w:b/>
            <w:bCs/>
            <w:color w:val="993366"/>
          </w:rPr>
          <w:instrText>NUMPAGES</w:instrText>
        </w:r>
        <w:r w:rsidRPr="00AC574B">
          <w:rPr>
            <w:rFonts w:ascii="Arial" w:hAnsi="Arial" w:cs="Arial"/>
            <w:b/>
            <w:bCs/>
            <w:color w:val="993366"/>
          </w:rPr>
          <w:fldChar w:fldCharType="separate"/>
        </w:r>
        <w:r w:rsidR="00C93C47">
          <w:rPr>
            <w:rFonts w:ascii="Arial" w:hAnsi="Arial" w:cs="Arial"/>
            <w:b/>
            <w:bCs/>
            <w:noProof/>
            <w:color w:val="993366"/>
          </w:rPr>
          <w:t>12</w:t>
        </w:r>
        <w:r w:rsidRPr="00AC574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7D96F" w14:textId="77777777" w:rsidR="00707618" w:rsidRDefault="00707618" w:rsidP="00934A93">
      <w:pPr>
        <w:spacing w:before="0" w:after="0" w:line="240" w:lineRule="auto"/>
      </w:pPr>
      <w:r>
        <w:separator/>
      </w:r>
    </w:p>
  </w:footnote>
  <w:footnote w:type="continuationSeparator" w:id="0">
    <w:p w14:paraId="6F1EB687" w14:textId="77777777" w:rsidR="00707618" w:rsidRDefault="00707618" w:rsidP="00934A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934A93" w14:paraId="072F9011" w14:textId="77777777" w:rsidTr="00C00441">
      <w:tc>
        <w:tcPr>
          <w:tcW w:w="1813" w:type="dxa"/>
        </w:tcPr>
        <w:p w14:paraId="347A5C1C" w14:textId="77777777" w:rsidR="00934A93" w:rsidRDefault="00934A93" w:rsidP="00934A93">
          <w:pPr>
            <w:pStyle w:val="Encabezado"/>
          </w:pPr>
          <w:r>
            <w:rPr>
              <w:b/>
              <w:noProof/>
              <w:sz w:val="32"/>
              <w:lang w:eastAsia="es-MX"/>
            </w:rPr>
            <w:drawing>
              <wp:inline distT="0" distB="0" distL="0" distR="0" wp14:anchorId="46B69DD0" wp14:editId="66D112E5">
                <wp:extent cx="1014331" cy="1199403"/>
                <wp:effectExtent l="0" t="0" r="0" b="1270"/>
                <wp:docPr id="608773249" name="Imagen 60877324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552C67E6" w14:textId="77777777" w:rsidR="00934A93" w:rsidRPr="006976BD" w:rsidRDefault="00934A93" w:rsidP="00934A93">
          <w:pPr>
            <w:pStyle w:val="Encabezado"/>
            <w:spacing w:before="720"/>
            <w:jc w:val="center"/>
            <w:rPr>
              <w:rFonts w:ascii="Arial" w:hAnsi="Arial" w:cs="Arial"/>
              <w:b/>
              <w:bCs/>
              <w:spacing w:val="-10"/>
              <w:sz w:val="26"/>
              <w:szCs w:val="26"/>
            </w:rPr>
          </w:pPr>
          <w:r w:rsidRPr="006976BD">
            <w:rPr>
              <w:rFonts w:ascii="Arial" w:hAnsi="Arial" w:cs="Arial"/>
              <w:b/>
              <w:bCs/>
              <w:spacing w:val="-10"/>
              <w:sz w:val="26"/>
              <w:szCs w:val="26"/>
            </w:rPr>
            <w:t>INSTITUTO ELECTORAL Y DE PARTICIPACIÓN CIUDADANA DE TABASCO</w:t>
          </w:r>
        </w:p>
        <w:p w14:paraId="239AD892" w14:textId="77777777" w:rsidR="00934A93" w:rsidRDefault="00934A93" w:rsidP="00934A93">
          <w:pPr>
            <w:pStyle w:val="Encabezado"/>
            <w:spacing w:before="60"/>
            <w:jc w:val="center"/>
          </w:pPr>
          <w:r w:rsidRPr="006976BD">
            <w:rPr>
              <w:rFonts w:ascii="Arial" w:hAnsi="Arial" w:cs="Arial"/>
              <w:b/>
              <w:bCs/>
              <w:sz w:val="28"/>
              <w:szCs w:val="28"/>
            </w:rPr>
            <w:t>CONSEJO ESTATAL</w:t>
          </w:r>
        </w:p>
      </w:tc>
      <w:tc>
        <w:tcPr>
          <w:tcW w:w="1560" w:type="dxa"/>
        </w:tcPr>
        <w:p w14:paraId="06730FBE" w14:textId="77777777" w:rsidR="00934A93" w:rsidRDefault="00934A93" w:rsidP="00934A93">
          <w:pPr>
            <w:pStyle w:val="Encabezado"/>
            <w:spacing w:before="480"/>
            <w:jc w:val="right"/>
          </w:pPr>
          <w:r>
            <w:rPr>
              <w:noProof/>
              <w:lang w:eastAsia="es-MX"/>
            </w:rPr>
            <w:drawing>
              <wp:inline distT="0" distB="0" distL="0" distR="0" wp14:anchorId="7DCECF54" wp14:editId="01F4B830">
                <wp:extent cx="921600" cy="756000"/>
                <wp:effectExtent l="0" t="0" r="0" b="6350"/>
                <wp:docPr id="207603697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6E0A330A" w14:textId="23AD02E5" w:rsidR="00934A93" w:rsidRPr="006976BD" w:rsidRDefault="006976BD" w:rsidP="006976BD">
    <w:pPr>
      <w:pStyle w:val="Encabezado"/>
      <w:jc w:val="right"/>
      <w:rPr>
        <w:rFonts w:ascii="Arial" w:hAnsi="Arial" w:cs="Arial"/>
        <w:b/>
      </w:rPr>
    </w:pPr>
    <w:r w:rsidRPr="006976BD">
      <w:rPr>
        <w:rFonts w:ascii="Arial" w:hAnsi="Arial" w:cs="Arial"/>
        <w:b/>
      </w:rPr>
      <w:t>CE/2025</w:t>
    </w:r>
    <w:r>
      <w:rPr>
        <w:rFonts w:ascii="Arial" w:hAnsi="Arial" w:cs="Arial"/>
        <w:b/>
      </w:rPr>
      <w:t>/054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42A"/>
    <w:multiLevelType w:val="hybridMultilevel"/>
    <w:tmpl w:val="43C2D534"/>
    <w:lvl w:ilvl="0" w:tplc="8CB0AA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383881"/>
    <w:multiLevelType w:val="hybridMultilevel"/>
    <w:tmpl w:val="C27EEAB8"/>
    <w:lvl w:ilvl="0" w:tplc="4AF4D22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054725"/>
    <w:multiLevelType w:val="hybridMultilevel"/>
    <w:tmpl w:val="2AA68370"/>
    <w:lvl w:ilvl="0" w:tplc="4AF4D22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DA1462"/>
    <w:multiLevelType w:val="hybridMultilevel"/>
    <w:tmpl w:val="C912657A"/>
    <w:lvl w:ilvl="0" w:tplc="4AF4D22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BA7EBD"/>
    <w:multiLevelType w:val="hybridMultilevel"/>
    <w:tmpl w:val="D41CB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D4518F"/>
    <w:multiLevelType w:val="hybridMultilevel"/>
    <w:tmpl w:val="64163C04"/>
    <w:lvl w:ilvl="0" w:tplc="4AF4D22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2D72A5"/>
    <w:multiLevelType w:val="hybridMultilevel"/>
    <w:tmpl w:val="0EFC1AF2"/>
    <w:lvl w:ilvl="0" w:tplc="8CB0AA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BB104E"/>
    <w:multiLevelType w:val="hybridMultilevel"/>
    <w:tmpl w:val="382EC888"/>
    <w:lvl w:ilvl="0" w:tplc="4AF4D22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042DEE"/>
    <w:multiLevelType w:val="multilevel"/>
    <w:tmpl w:val="D310B982"/>
    <w:lvl w:ilvl="0">
      <w:start w:val="1"/>
      <w:numFmt w:val="decimal"/>
      <w:pStyle w:val="Ttulo1"/>
      <w:lvlText w:val="%1"/>
      <w:lvlJc w:val="left"/>
      <w:pPr>
        <w:ind w:left="432" w:hanging="432"/>
      </w:pPr>
      <w:rPr>
        <w:sz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74621754"/>
    <w:multiLevelType w:val="hybridMultilevel"/>
    <w:tmpl w:val="4E047C90"/>
    <w:lvl w:ilvl="0" w:tplc="4AF4D22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3"/>
  </w:num>
  <w:num w:numId="5">
    <w:abstractNumId w:val="5"/>
  </w:num>
  <w:num w:numId="6">
    <w:abstractNumId w:val="7"/>
  </w:num>
  <w:num w:numId="7">
    <w:abstractNumId w:val="2"/>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A93"/>
    <w:rsid w:val="000A69E4"/>
    <w:rsid w:val="00214165"/>
    <w:rsid w:val="002F248D"/>
    <w:rsid w:val="00324CB5"/>
    <w:rsid w:val="003F47A3"/>
    <w:rsid w:val="004034F9"/>
    <w:rsid w:val="004864CC"/>
    <w:rsid w:val="00530F52"/>
    <w:rsid w:val="00577F2D"/>
    <w:rsid w:val="00583FCA"/>
    <w:rsid w:val="005A291B"/>
    <w:rsid w:val="006976BD"/>
    <w:rsid w:val="00707618"/>
    <w:rsid w:val="007A3F69"/>
    <w:rsid w:val="008C35AF"/>
    <w:rsid w:val="008E4C85"/>
    <w:rsid w:val="009318A8"/>
    <w:rsid w:val="00934A93"/>
    <w:rsid w:val="009827F8"/>
    <w:rsid w:val="00AB4C8B"/>
    <w:rsid w:val="00AC574B"/>
    <w:rsid w:val="00BC47E0"/>
    <w:rsid w:val="00C0459D"/>
    <w:rsid w:val="00C45C33"/>
    <w:rsid w:val="00C93C47"/>
    <w:rsid w:val="00DA2E65"/>
    <w:rsid w:val="00DF1384"/>
    <w:rsid w:val="00E0240F"/>
    <w:rsid w:val="00F247E5"/>
    <w:rsid w:val="00FD2B03"/>
    <w:rsid w:val="00FE2D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C18E5B"/>
  <w15:chartTrackingRefBased/>
  <w15:docId w15:val="{F9C6BF54-BD6A-40C5-945C-679FC164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A93"/>
    <w:pPr>
      <w:spacing w:before="240" w:after="240" w:line="276" w:lineRule="auto"/>
      <w:jc w:val="both"/>
    </w:pPr>
    <w:rPr>
      <w:rFonts w:ascii="Exo" w:hAnsi="Exo"/>
    </w:rPr>
  </w:style>
  <w:style w:type="paragraph" w:styleId="Ttulo1">
    <w:name w:val="heading 1"/>
    <w:basedOn w:val="Normal"/>
    <w:next w:val="Normal"/>
    <w:link w:val="Ttulo1Car"/>
    <w:uiPriority w:val="9"/>
    <w:qFormat/>
    <w:rsid w:val="00934A93"/>
    <w:pPr>
      <w:numPr>
        <w:numId w:val="10"/>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934A93"/>
    <w:pPr>
      <w:numPr>
        <w:ilvl w:val="1"/>
        <w:numId w:val="10"/>
      </w:numPr>
      <w:spacing w:before="480"/>
      <w:outlineLvl w:val="1"/>
    </w:pPr>
    <w:rPr>
      <w:b/>
      <w:bCs/>
    </w:rPr>
  </w:style>
  <w:style w:type="paragraph" w:styleId="Ttulo3">
    <w:name w:val="heading 3"/>
    <w:basedOn w:val="Normal"/>
    <w:next w:val="Normal"/>
    <w:link w:val="Ttulo3Car"/>
    <w:uiPriority w:val="9"/>
    <w:semiHidden/>
    <w:unhideWhenUsed/>
    <w:qFormat/>
    <w:rsid w:val="00934A93"/>
    <w:pPr>
      <w:keepNext/>
      <w:keepLines/>
      <w:numPr>
        <w:ilvl w:val="2"/>
        <w:numId w:val="10"/>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34A93"/>
    <w:pPr>
      <w:keepNext/>
      <w:keepLines/>
      <w:numPr>
        <w:ilvl w:val="3"/>
        <w:numId w:val="10"/>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34A93"/>
    <w:pPr>
      <w:keepNext/>
      <w:keepLines/>
      <w:numPr>
        <w:ilvl w:val="4"/>
        <w:numId w:val="10"/>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34A93"/>
    <w:pPr>
      <w:keepNext/>
      <w:keepLines/>
      <w:numPr>
        <w:ilvl w:val="5"/>
        <w:numId w:val="10"/>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34A93"/>
    <w:pPr>
      <w:keepNext/>
      <w:keepLines/>
      <w:numPr>
        <w:ilvl w:val="6"/>
        <w:numId w:val="10"/>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34A93"/>
    <w:pPr>
      <w:keepNext/>
      <w:keepLines/>
      <w:numPr>
        <w:ilvl w:val="7"/>
        <w:numId w:val="10"/>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34A93"/>
    <w:pPr>
      <w:keepNext/>
      <w:keepLines/>
      <w:numPr>
        <w:ilvl w:val="8"/>
        <w:numId w:val="10"/>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4A93"/>
    <w:rPr>
      <w:rFonts w:ascii="Exo" w:hAnsi="Exo"/>
      <w:b/>
      <w:bCs/>
      <w:sz w:val="28"/>
      <w:szCs w:val="28"/>
    </w:rPr>
  </w:style>
  <w:style w:type="character" w:customStyle="1" w:styleId="Ttulo2Car">
    <w:name w:val="Título 2 Car"/>
    <w:basedOn w:val="Fuentedeprrafopredeter"/>
    <w:link w:val="Ttulo2"/>
    <w:uiPriority w:val="9"/>
    <w:rsid w:val="00934A93"/>
    <w:rPr>
      <w:rFonts w:ascii="Exo" w:hAnsi="Exo"/>
      <w:b/>
      <w:bCs/>
    </w:rPr>
  </w:style>
  <w:style w:type="character" w:customStyle="1" w:styleId="Ttulo3Car">
    <w:name w:val="Título 3 Car"/>
    <w:basedOn w:val="Fuentedeprrafopredeter"/>
    <w:link w:val="Ttulo3"/>
    <w:uiPriority w:val="9"/>
    <w:semiHidden/>
    <w:rsid w:val="00934A9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34A9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34A9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34A9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34A9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34A9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34A93"/>
    <w:rPr>
      <w:rFonts w:eastAsiaTheme="majorEastAsia" w:cstheme="majorBidi"/>
      <w:color w:val="272727" w:themeColor="text1" w:themeTint="D8"/>
    </w:rPr>
  </w:style>
  <w:style w:type="paragraph" w:styleId="Ttulo">
    <w:name w:val="Title"/>
    <w:basedOn w:val="Normal"/>
    <w:next w:val="Normal"/>
    <w:link w:val="TtuloCar"/>
    <w:uiPriority w:val="10"/>
    <w:qFormat/>
    <w:rsid w:val="00934A93"/>
    <w:rPr>
      <w:b/>
      <w:bCs/>
    </w:rPr>
  </w:style>
  <w:style w:type="character" w:customStyle="1" w:styleId="TtuloCar">
    <w:name w:val="Título Car"/>
    <w:basedOn w:val="Fuentedeprrafopredeter"/>
    <w:link w:val="Ttulo"/>
    <w:uiPriority w:val="10"/>
    <w:rsid w:val="00934A93"/>
    <w:rPr>
      <w:rFonts w:ascii="Exo" w:hAnsi="Exo"/>
      <w:b/>
      <w:bCs/>
    </w:rPr>
  </w:style>
  <w:style w:type="paragraph" w:styleId="Subttulo">
    <w:name w:val="Subtitle"/>
    <w:basedOn w:val="Normal"/>
    <w:next w:val="Normal"/>
    <w:link w:val="SubttuloCar"/>
    <w:uiPriority w:val="11"/>
    <w:qFormat/>
    <w:rsid w:val="00934A9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34A9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34A93"/>
    <w:pPr>
      <w:spacing w:before="160"/>
      <w:jc w:val="center"/>
    </w:pPr>
    <w:rPr>
      <w:i/>
      <w:iCs/>
      <w:color w:val="404040" w:themeColor="text1" w:themeTint="BF"/>
    </w:rPr>
  </w:style>
  <w:style w:type="character" w:customStyle="1" w:styleId="CitaCar">
    <w:name w:val="Cita Car"/>
    <w:basedOn w:val="Fuentedeprrafopredeter"/>
    <w:link w:val="Cita"/>
    <w:uiPriority w:val="29"/>
    <w:rsid w:val="00934A93"/>
    <w:rPr>
      <w:i/>
      <w:iCs/>
      <w:color w:val="404040" w:themeColor="text1" w:themeTint="BF"/>
    </w:rPr>
  </w:style>
  <w:style w:type="paragraph" w:styleId="Prrafodelista">
    <w:name w:val="List Paragraph"/>
    <w:basedOn w:val="Normal"/>
    <w:uiPriority w:val="34"/>
    <w:qFormat/>
    <w:rsid w:val="00934A93"/>
    <w:pPr>
      <w:ind w:left="720"/>
      <w:contextualSpacing/>
    </w:pPr>
  </w:style>
  <w:style w:type="character" w:styleId="nfasisintenso">
    <w:name w:val="Intense Emphasis"/>
    <w:basedOn w:val="Fuentedeprrafopredeter"/>
    <w:uiPriority w:val="21"/>
    <w:qFormat/>
    <w:rsid w:val="00934A93"/>
    <w:rPr>
      <w:i/>
      <w:iCs/>
      <w:color w:val="0F4761" w:themeColor="accent1" w:themeShade="BF"/>
    </w:rPr>
  </w:style>
  <w:style w:type="paragraph" w:styleId="Citadestacada">
    <w:name w:val="Intense Quote"/>
    <w:basedOn w:val="Normal"/>
    <w:next w:val="Normal"/>
    <w:link w:val="CitadestacadaCar"/>
    <w:uiPriority w:val="30"/>
    <w:qFormat/>
    <w:rsid w:val="00934A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34A93"/>
    <w:rPr>
      <w:i/>
      <w:iCs/>
      <w:color w:val="0F4761" w:themeColor="accent1" w:themeShade="BF"/>
    </w:rPr>
  </w:style>
  <w:style w:type="character" w:styleId="Referenciaintensa">
    <w:name w:val="Intense Reference"/>
    <w:basedOn w:val="Fuentedeprrafopredeter"/>
    <w:uiPriority w:val="32"/>
    <w:qFormat/>
    <w:rsid w:val="00934A93"/>
    <w:rPr>
      <w:b/>
      <w:bCs/>
      <w:smallCaps/>
      <w:color w:val="0F4761" w:themeColor="accent1" w:themeShade="BF"/>
      <w:spacing w:val="5"/>
    </w:rPr>
  </w:style>
  <w:style w:type="table" w:styleId="Tablaconcuadrcula">
    <w:name w:val="Table Grid"/>
    <w:basedOn w:val="Tablanormal"/>
    <w:uiPriority w:val="39"/>
    <w:rsid w:val="00934A9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4A9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34A93"/>
    <w:rPr>
      <w:rFonts w:ascii="Exo" w:hAnsi="Exo"/>
    </w:rPr>
  </w:style>
  <w:style w:type="paragraph" w:styleId="Piedepgina">
    <w:name w:val="footer"/>
    <w:basedOn w:val="Normal"/>
    <w:link w:val="PiedepginaCar"/>
    <w:uiPriority w:val="99"/>
    <w:unhideWhenUsed/>
    <w:rsid w:val="00934A9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34A93"/>
    <w:rPr>
      <w:rFonts w:ascii="Exo" w:hAnsi="Ex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12</Pages>
  <Words>3696</Words>
  <Characters>20334</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Coordinación Técnica</cp:lastModifiedBy>
  <cp:revision>24</cp:revision>
  <dcterms:created xsi:type="dcterms:W3CDTF">2025-04-28T22:15:00Z</dcterms:created>
  <dcterms:modified xsi:type="dcterms:W3CDTF">2025-04-29T01:22:00Z</dcterms:modified>
</cp:coreProperties>
</file>