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70C08" w14:textId="497568D6" w:rsidR="00964142" w:rsidRDefault="00AA17D2" w:rsidP="00FD0C23">
      <w:pPr>
        <w:rPr>
          <w:rFonts w:ascii="Arial" w:hAnsi="Arial" w:cs="Arial"/>
          <w:b/>
          <w:bCs/>
        </w:rPr>
      </w:pPr>
      <w:r w:rsidRPr="00AA17D2">
        <w:rPr>
          <w:rFonts w:ascii="Arial" w:hAnsi="Arial" w:cs="Arial"/>
          <w:b/>
          <w:bCs/>
        </w:rPr>
        <w:t>ACUERDO QUE</w:t>
      </w:r>
      <w:r w:rsidR="0011401C">
        <w:rPr>
          <w:rFonts w:ascii="Arial" w:hAnsi="Arial" w:cs="Arial"/>
          <w:b/>
          <w:bCs/>
        </w:rPr>
        <w:t xml:space="preserve"> </w:t>
      </w:r>
      <w:r w:rsidRPr="00AA17D2">
        <w:rPr>
          <w:rFonts w:ascii="Arial" w:hAnsi="Arial" w:cs="Arial"/>
          <w:b/>
          <w:bCs/>
        </w:rPr>
        <w:t>EMITE EL CONSEJO ESTATAL DEL INSTITUTO ELECTORAL Y DE PARTICIPACIÓN CIUDADANA DE TABASCO</w:t>
      </w:r>
      <w:r w:rsidR="00DA0C26">
        <w:rPr>
          <w:rFonts w:ascii="Arial" w:hAnsi="Arial" w:cs="Arial"/>
          <w:b/>
          <w:bCs/>
        </w:rPr>
        <w:t>,</w:t>
      </w:r>
      <w:r w:rsidR="0011401C">
        <w:rPr>
          <w:rFonts w:ascii="Arial" w:hAnsi="Arial" w:cs="Arial"/>
          <w:b/>
          <w:bCs/>
        </w:rPr>
        <w:t xml:space="preserve"> A PROPUESTA DE LA SECRETARÍA EJECUTIVA,</w:t>
      </w:r>
      <w:r w:rsidRPr="00AA17D2">
        <w:rPr>
          <w:rFonts w:ascii="Arial" w:hAnsi="Arial" w:cs="Arial"/>
          <w:b/>
          <w:bCs/>
        </w:rPr>
        <w:t xml:space="preserve"> POR EL QUE APRUEBA EL MANUAL DE </w:t>
      </w:r>
      <w:r w:rsidR="00DA0C26">
        <w:rPr>
          <w:rFonts w:ascii="Arial" w:hAnsi="Arial" w:cs="Arial"/>
          <w:b/>
          <w:bCs/>
        </w:rPr>
        <w:t>PROCEDIMIENTOS PARA LA RECEPCIÓN DE DOCUMENTOS DE LA UNIDAD DE CORRESPONDENCIA</w:t>
      </w:r>
      <w:r w:rsidR="00C1668E">
        <w:rPr>
          <w:rFonts w:ascii="Arial" w:hAnsi="Arial" w:cs="Arial"/>
          <w:b/>
          <w:bCs/>
        </w:rPr>
        <w:t xml:space="preserve"> DEL PROPIO INSTITUTO</w:t>
      </w:r>
    </w:p>
    <w:p w14:paraId="3843AC8A" w14:textId="77777777" w:rsidR="004F4153" w:rsidRPr="00AA17D2" w:rsidRDefault="004F4153" w:rsidP="00FD0C23">
      <w:pPr>
        <w:rPr>
          <w:rFonts w:ascii="Arial" w:hAnsi="Arial" w:cs="Arial"/>
          <w:b/>
          <w:bCs/>
        </w:rPr>
      </w:pPr>
    </w:p>
    <w:p w14:paraId="4E089F06" w14:textId="49FCD7F8" w:rsidR="00FD0C23" w:rsidRPr="004F4153" w:rsidRDefault="00FD0C23" w:rsidP="00FD0C23">
      <w:pPr>
        <w:rPr>
          <w:rFonts w:ascii="Arial" w:hAnsi="Arial" w:cs="Arial"/>
          <w:sz w:val="22"/>
          <w:szCs w:val="22"/>
        </w:rPr>
      </w:pPr>
      <w:r w:rsidRPr="004F4153">
        <w:rPr>
          <w:rFonts w:ascii="Arial" w:hAnsi="Arial" w:cs="Arial"/>
          <w:sz w:val="22"/>
          <w:szCs w:val="22"/>
        </w:rPr>
        <w:t>Para efectos del presente acuerdo se usarán las abreviaturas y definiciones siguientes:</w:t>
      </w:r>
    </w:p>
    <w:tbl>
      <w:tblPr>
        <w:tblW w:w="4162" w:type="pct"/>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2888"/>
        <w:gridCol w:w="4183"/>
      </w:tblGrid>
      <w:tr w:rsidR="00302619" w:rsidRPr="00AA17D2" w14:paraId="3F5D7F83" w14:textId="77777777" w:rsidTr="003C1586">
        <w:trPr>
          <w:trHeight w:val="624"/>
          <w:jc w:val="center"/>
        </w:trPr>
        <w:tc>
          <w:tcPr>
            <w:tcW w:w="2042" w:type="pct"/>
            <w:vAlign w:val="center"/>
          </w:tcPr>
          <w:p w14:paraId="0DA17937" w14:textId="77777777" w:rsidR="00302619" w:rsidRPr="004F4153" w:rsidRDefault="00302619" w:rsidP="003C1586">
            <w:pPr>
              <w:widowControl w:val="0"/>
              <w:spacing w:before="60" w:after="60"/>
              <w:ind w:left="57"/>
              <w:jc w:val="right"/>
              <w:rPr>
                <w:rFonts w:ascii="Arial" w:hAnsi="Arial" w:cs="Arial"/>
                <w:b/>
                <w:sz w:val="20"/>
                <w:szCs w:val="20"/>
              </w:rPr>
            </w:pPr>
            <w:r w:rsidRPr="004F4153">
              <w:rPr>
                <w:rFonts w:ascii="Arial" w:hAnsi="Arial" w:cs="Arial"/>
                <w:b/>
                <w:sz w:val="20"/>
                <w:szCs w:val="20"/>
              </w:rPr>
              <w:t>Consejo Estatal:</w:t>
            </w:r>
          </w:p>
        </w:tc>
        <w:tc>
          <w:tcPr>
            <w:tcW w:w="2958" w:type="pct"/>
            <w:vAlign w:val="center"/>
          </w:tcPr>
          <w:p w14:paraId="06B3EB7B" w14:textId="77777777" w:rsidR="00302619" w:rsidRPr="004F4153" w:rsidRDefault="00302619" w:rsidP="003C1586">
            <w:pPr>
              <w:widowControl w:val="0"/>
              <w:spacing w:before="60" w:after="60"/>
              <w:ind w:left="57"/>
              <w:rPr>
                <w:rFonts w:ascii="Arial" w:hAnsi="Arial" w:cs="Arial"/>
                <w:sz w:val="20"/>
                <w:szCs w:val="20"/>
              </w:rPr>
            </w:pPr>
            <w:r w:rsidRPr="004F4153">
              <w:rPr>
                <w:rFonts w:ascii="Arial" w:hAnsi="Arial" w:cs="Arial"/>
                <w:sz w:val="20"/>
                <w:szCs w:val="20"/>
              </w:rPr>
              <w:t>Consejo Estatal del Instituto Electoral y de Participación Ciudadana de Tabasco.</w:t>
            </w:r>
          </w:p>
        </w:tc>
      </w:tr>
      <w:tr w:rsidR="005E6415" w:rsidRPr="00AA17D2" w14:paraId="4459E7C5" w14:textId="77777777" w:rsidTr="003C1586">
        <w:trPr>
          <w:trHeight w:val="624"/>
          <w:jc w:val="center"/>
        </w:trPr>
        <w:tc>
          <w:tcPr>
            <w:tcW w:w="2042" w:type="pct"/>
            <w:vAlign w:val="center"/>
          </w:tcPr>
          <w:p w14:paraId="5F23338E" w14:textId="1CBC2540" w:rsidR="005E6415" w:rsidRPr="004F4153" w:rsidRDefault="005E6415" w:rsidP="003C1586">
            <w:pPr>
              <w:widowControl w:val="0"/>
              <w:spacing w:before="60" w:after="60"/>
              <w:ind w:left="57"/>
              <w:jc w:val="right"/>
              <w:rPr>
                <w:rFonts w:ascii="Arial" w:hAnsi="Arial" w:cs="Arial"/>
                <w:b/>
                <w:sz w:val="20"/>
                <w:szCs w:val="20"/>
              </w:rPr>
            </w:pPr>
            <w:r w:rsidRPr="004F4153">
              <w:rPr>
                <w:rFonts w:ascii="Arial" w:hAnsi="Arial" w:cs="Arial"/>
                <w:b/>
                <w:sz w:val="20"/>
                <w:szCs w:val="20"/>
              </w:rPr>
              <w:t>Coordinación de Archivos:</w:t>
            </w:r>
          </w:p>
        </w:tc>
        <w:tc>
          <w:tcPr>
            <w:tcW w:w="2958" w:type="pct"/>
            <w:vAlign w:val="center"/>
          </w:tcPr>
          <w:p w14:paraId="647DACC5" w14:textId="4DFCCEC7" w:rsidR="005E6415" w:rsidRPr="004F4153" w:rsidRDefault="005E6415" w:rsidP="003C1586">
            <w:pPr>
              <w:widowControl w:val="0"/>
              <w:spacing w:before="60" w:after="60"/>
              <w:ind w:left="57"/>
              <w:rPr>
                <w:rFonts w:ascii="Arial" w:hAnsi="Arial" w:cs="Arial"/>
                <w:sz w:val="20"/>
                <w:szCs w:val="20"/>
              </w:rPr>
            </w:pPr>
            <w:r w:rsidRPr="004F4153">
              <w:rPr>
                <w:rFonts w:ascii="Arial" w:hAnsi="Arial" w:cs="Arial"/>
                <w:sz w:val="20"/>
                <w:szCs w:val="20"/>
              </w:rPr>
              <w:t>Coordinación de Archivos adscrita a la Secretaría Ejecutiva del Instituto</w:t>
            </w:r>
            <w:r w:rsidR="00862747" w:rsidRPr="004F4153">
              <w:rPr>
                <w:rFonts w:ascii="Arial" w:hAnsi="Arial" w:cs="Arial"/>
                <w:sz w:val="20"/>
                <w:szCs w:val="20"/>
              </w:rPr>
              <w:t xml:space="preserve"> Electoral y de Participación Ciudadana de Tabasco</w:t>
            </w:r>
            <w:r w:rsidRPr="004F4153">
              <w:rPr>
                <w:rFonts w:ascii="Arial" w:hAnsi="Arial" w:cs="Arial"/>
                <w:sz w:val="20"/>
                <w:szCs w:val="20"/>
              </w:rPr>
              <w:t>.</w:t>
            </w:r>
          </w:p>
        </w:tc>
      </w:tr>
      <w:tr w:rsidR="00302619" w:rsidRPr="00AA17D2" w14:paraId="2DBC5D86" w14:textId="77777777" w:rsidTr="003C1586">
        <w:trPr>
          <w:trHeight w:val="624"/>
          <w:jc w:val="center"/>
        </w:trPr>
        <w:tc>
          <w:tcPr>
            <w:tcW w:w="2042" w:type="pct"/>
            <w:vAlign w:val="center"/>
          </w:tcPr>
          <w:p w14:paraId="528D3885" w14:textId="77777777" w:rsidR="00302619" w:rsidRPr="004F4153" w:rsidRDefault="00302619" w:rsidP="003C1586">
            <w:pPr>
              <w:widowControl w:val="0"/>
              <w:spacing w:before="60" w:after="60"/>
              <w:ind w:left="57"/>
              <w:jc w:val="right"/>
              <w:rPr>
                <w:rFonts w:ascii="Arial" w:hAnsi="Arial" w:cs="Arial"/>
                <w:b/>
                <w:sz w:val="20"/>
                <w:szCs w:val="20"/>
              </w:rPr>
            </w:pPr>
            <w:r w:rsidRPr="004F4153">
              <w:rPr>
                <w:rFonts w:ascii="Arial" w:hAnsi="Arial" w:cs="Arial"/>
                <w:b/>
                <w:sz w:val="20"/>
                <w:szCs w:val="20"/>
              </w:rPr>
              <w:t>Instituto:</w:t>
            </w:r>
          </w:p>
        </w:tc>
        <w:tc>
          <w:tcPr>
            <w:tcW w:w="2958" w:type="pct"/>
          </w:tcPr>
          <w:p w14:paraId="0EBE1871" w14:textId="77777777" w:rsidR="00302619" w:rsidRPr="004F4153" w:rsidRDefault="00302619" w:rsidP="003C1586">
            <w:pPr>
              <w:widowControl w:val="0"/>
              <w:spacing w:before="60" w:after="60"/>
              <w:ind w:left="57"/>
              <w:rPr>
                <w:rFonts w:ascii="Arial" w:hAnsi="Arial" w:cs="Arial"/>
                <w:sz w:val="20"/>
                <w:szCs w:val="20"/>
              </w:rPr>
            </w:pPr>
            <w:r w:rsidRPr="004F4153">
              <w:rPr>
                <w:rFonts w:ascii="Arial" w:hAnsi="Arial" w:cs="Arial"/>
                <w:sz w:val="20"/>
                <w:szCs w:val="20"/>
              </w:rPr>
              <w:t>Instituto Electoral y de Participación Ciudadana de Tabasco.</w:t>
            </w:r>
          </w:p>
        </w:tc>
      </w:tr>
      <w:tr w:rsidR="0011401C" w:rsidRPr="00AA17D2" w14:paraId="41D37CFA" w14:textId="77777777" w:rsidTr="003C1586">
        <w:trPr>
          <w:trHeight w:val="624"/>
          <w:jc w:val="center"/>
        </w:trPr>
        <w:tc>
          <w:tcPr>
            <w:tcW w:w="2042" w:type="pct"/>
            <w:vAlign w:val="center"/>
          </w:tcPr>
          <w:p w14:paraId="5FD0FBCE" w14:textId="266A55D6" w:rsidR="0011401C" w:rsidRPr="004F4153" w:rsidRDefault="0011401C" w:rsidP="003C1586">
            <w:pPr>
              <w:widowControl w:val="0"/>
              <w:spacing w:before="60" w:after="60"/>
              <w:ind w:left="57"/>
              <w:jc w:val="right"/>
              <w:rPr>
                <w:rFonts w:ascii="Arial" w:hAnsi="Arial" w:cs="Arial"/>
                <w:b/>
                <w:sz w:val="20"/>
                <w:szCs w:val="20"/>
              </w:rPr>
            </w:pPr>
            <w:r w:rsidRPr="004F4153">
              <w:rPr>
                <w:rFonts w:ascii="Arial" w:hAnsi="Arial" w:cs="Arial"/>
                <w:b/>
                <w:sz w:val="20"/>
                <w:szCs w:val="20"/>
              </w:rPr>
              <w:t>Ley de Archivo:</w:t>
            </w:r>
          </w:p>
        </w:tc>
        <w:tc>
          <w:tcPr>
            <w:tcW w:w="2958" w:type="pct"/>
          </w:tcPr>
          <w:p w14:paraId="6F58EEF1" w14:textId="36BB2729" w:rsidR="0011401C" w:rsidRPr="004F4153" w:rsidRDefault="0011401C" w:rsidP="003C1586">
            <w:pPr>
              <w:widowControl w:val="0"/>
              <w:spacing w:before="60" w:after="60"/>
              <w:ind w:left="57"/>
              <w:rPr>
                <w:rFonts w:ascii="Arial" w:hAnsi="Arial" w:cs="Arial"/>
                <w:sz w:val="20"/>
                <w:szCs w:val="20"/>
              </w:rPr>
            </w:pPr>
            <w:r w:rsidRPr="004F4153">
              <w:rPr>
                <w:rFonts w:ascii="Arial" w:hAnsi="Arial" w:cs="Arial"/>
                <w:sz w:val="20"/>
                <w:szCs w:val="20"/>
              </w:rPr>
              <w:t>Ley de Archivo para el Estado de Tabasco.</w:t>
            </w:r>
          </w:p>
        </w:tc>
      </w:tr>
      <w:tr w:rsidR="00302619" w:rsidRPr="00AA17D2" w14:paraId="0426959D" w14:textId="77777777" w:rsidTr="003C1586">
        <w:trPr>
          <w:trHeight w:val="624"/>
          <w:jc w:val="center"/>
        </w:trPr>
        <w:tc>
          <w:tcPr>
            <w:tcW w:w="2042" w:type="pct"/>
            <w:vAlign w:val="center"/>
          </w:tcPr>
          <w:p w14:paraId="05082EAD" w14:textId="77777777" w:rsidR="00302619" w:rsidRPr="004F4153" w:rsidRDefault="00302619" w:rsidP="003C1586">
            <w:pPr>
              <w:widowControl w:val="0"/>
              <w:spacing w:before="60" w:after="60"/>
              <w:ind w:left="57"/>
              <w:jc w:val="right"/>
              <w:rPr>
                <w:rFonts w:ascii="Arial" w:hAnsi="Arial" w:cs="Arial"/>
                <w:b/>
                <w:sz w:val="20"/>
                <w:szCs w:val="20"/>
              </w:rPr>
            </w:pPr>
            <w:r w:rsidRPr="004F4153">
              <w:rPr>
                <w:rFonts w:ascii="Arial" w:hAnsi="Arial" w:cs="Arial"/>
                <w:b/>
                <w:sz w:val="20"/>
                <w:szCs w:val="20"/>
              </w:rPr>
              <w:t>Ley Electoral:</w:t>
            </w:r>
          </w:p>
        </w:tc>
        <w:tc>
          <w:tcPr>
            <w:tcW w:w="2958" w:type="pct"/>
            <w:vAlign w:val="center"/>
          </w:tcPr>
          <w:p w14:paraId="25F35C3F" w14:textId="77777777" w:rsidR="00302619" w:rsidRPr="004F4153" w:rsidRDefault="00302619" w:rsidP="003C1586">
            <w:pPr>
              <w:widowControl w:val="0"/>
              <w:spacing w:before="60" w:after="60"/>
              <w:ind w:left="57"/>
              <w:rPr>
                <w:rFonts w:ascii="Arial" w:hAnsi="Arial" w:cs="Arial"/>
                <w:sz w:val="20"/>
                <w:szCs w:val="20"/>
              </w:rPr>
            </w:pPr>
            <w:r w:rsidRPr="004F4153">
              <w:rPr>
                <w:rFonts w:ascii="Arial" w:hAnsi="Arial" w:cs="Arial"/>
                <w:sz w:val="20"/>
                <w:szCs w:val="20"/>
              </w:rPr>
              <w:t>Ley Electoral y de Partidos Políticos del Estado de Tabasco.</w:t>
            </w:r>
          </w:p>
        </w:tc>
      </w:tr>
      <w:tr w:rsidR="0011401C" w:rsidRPr="00AA17D2" w14:paraId="45DA4CC1" w14:textId="77777777" w:rsidTr="003C1586">
        <w:trPr>
          <w:trHeight w:val="624"/>
          <w:jc w:val="center"/>
        </w:trPr>
        <w:tc>
          <w:tcPr>
            <w:tcW w:w="2042" w:type="pct"/>
            <w:vAlign w:val="center"/>
          </w:tcPr>
          <w:p w14:paraId="009F2180" w14:textId="69B3D430" w:rsidR="0011401C" w:rsidRPr="004F4153" w:rsidRDefault="0011401C" w:rsidP="003C1586">
            <w:pPr>
              <w:widowControl w:val="0"/>
              <w:spacing w:before="60" w:after="60"/>
              <w:ind w:left="57"/>
              <w:jc w:val="right"/>
              <w:rPr>
                <w:rFonts w:ascii="Arial" w:hAnsi="Arial" w:cs="Arial"/>
                <w:b/>
                <w:sz w:val="20"/>
                <w:szCs w:val="20"/>
              </w:rPr>
            </w:pPr>
            <w:r w:rsidRPr="004F4153">
              <w:rPr>
                <w:rFonts w:ascii="Arial" w:hAnsi="Arial" w:cs="Arial"/>
                <w:b/>
                <w:sz w:val="20"/>
                <w:szCs w:val="20"/>
              </w:rPr>
              <w:t>Ley General:</w:t>
            </w:r>
          </w:p>
        </w:tc>
        <w:tc>
          <w:tcPr>
            <w:tcW w:w="2958" w:type="pct"/>
            <w:vAlign w:val="center"/>
          </w:tcPr>
          <w:p w14:paraId="73D4CD71" w14:textId="4AABAA90" w:rsidR="0011401C" w:rsidRPr="004F4153" w:rsidRDefault="0011401C" w:rsidP="003C1586">
            <w:pPr>
              <w:widowControl w:val="0"/>
              <w:spacing w:before="60" w:after="60"/>
              <w:ind w:left="57"/>
              <w:rPr>
                <w:rFonts w:ascii="Arial" w:hAnsi="Arial" w:cs="Arial"/>
                <w:sz w:val="20"/>
                <w:szCs w:val="20"/>
              </w:rPr>
            </w:pPr>
            <w:r w:rsidRPr="004F4153">
              <w:rPr>
                <w:rFonts w:ascii="Arial" w:hAnsi="Arial" w:cs="Arial"/>
                <w:sz w:val="20"/>
                <w:szCs w:val="20"/>
              </w:rPr>
              <w:t>Ley General de Archivos.</w:t>
            </w:r>
          </w:p>
        </w:tc>
      </w:tr>
      <w:tr w:rsidR="004773B2" w:rsidRPr="00AA17D2" w14:paraId="230C98B0" w14:textId="77777777" w:rsidTr="003C1586">
        <w:trPr>
          <w:trHeight w:val="624"/>
          <w:jc w:val="center"/>
        </w:trPr>
        <w:tc>
          <w:tcPr>
            <w:tcW w:w="2042" w:type="pct"/>
            <w:vAlign w:val="center"/>
          </w:tcPr>
          <w:p w14:paraId="66ACD8AE" w14:textId="048EE100" w:rsidR="004773B2" w:rsidRPr="004F4153" w:rsidRDefault="004773B2" w:rsidP="003C1586">
            <w:pPr>
              <w:widowControl w:val="0"/>
              <w:spacing w:before="60" w:after="60"/>
              <w:ind w:left="57"/>
              <w:jc w:val="right"/>
              <w:rPr>
                <w:rFonts w:ascii="Arial" w:hAnsi="Arial" w:cs="Arial"/>
                <w:b/>
                <w:sz w:val="20"/>
                <w:szCs w:val="20"/>
              </w:rPr>
            </w:pPr>
            <w:r w:rsidRPr="004F4153">
              <w:rPr>
                <w:rFonts w:ascii="Arial" w:hAnsi="Arial" w:cs="Arial"/>
                <w:b/>
                <w:sz w:val="20"/>
                <w:szCs w:val="20"/>
              </w:rPr>
              <w:t>Manual:</w:t>
            </w:r>
          </w:p>
        </w:tc>
        <w:tc>
          <w:tcPr>
            <w:tcW w:w="2958" w:type="pct"/>
            <w:vAlign w:val="center"/>
          </w:tcPr>
          <w:p w14:paraId="100175B0" w14:textId="6CAA31BE" w:rsidR="004773B2" w:rsidRPr="004F4153" w:rsidRDefault="004773B2" w:rsidP="003C1586">
            <w:pPr>
              <w:widowControl w:val="0"/>
              <w:spacing w:before="60" w:after="60"/>
              <w:ind w:left="57"/>
              <w:rPr>
                <w:rFonts w:ascii="Arial" w:hAnsi="Arial" w:cs="Arial"/>
                <w:sz w:val="20"/>
                <w:szCs w:val="20"/>
              </w:rPr>
            </w:pPr>
            <w:r w:rsidRPr="004F4153">
              <w:rPr>
                <w:rFonts w:ascii="Arial" w:hAnsi="Arial" w:cs="Arial"/>
                <w:sz w:val="20"/>
                <w:szCs w:val="20"/>
              </w:rPr>
              <w:t xml:space="preserve">Manual de Procedimientos </w:t>
            </w:r>
            <w:r w:rsidR="00FD1CE4" w:rsidRPr="004F4153">
              <w:rPr>
                <w:rFonts w:ascii="Arial" w:hAnsi="Arial" w:cs="Arial"/>
                <w:sz w:val="20"/>
                <w:szCs w:val="20"/>
              </w:rPr>
              <w:t>para la recepción de Documentos de la Unidad de Correspondencia.</w:t>
            </w:r>
          </w:p>
        </w:tc>
      </w:tr>
      <w:tr w:rsidR="00302619" w:rsidRPr="00AA17D2" w14:paraId="1782F35E" w14:textId="77777777" w:rsidTr="003C1586">
        <w:trPr>
          <w:trHeight w:val="624"/>
          <w:jc w:val="center"/>
        </w:trPr>
        <w:tc>
          <w:tcPr>
            <w:tcW w:w="2042" w:type="pct"/>
            <w:vAlign w:val="center"/>
          </w:tcPr>
          <w:p w14:paraId="317000A7" w14:textId="77777777" w:rsidR="00302619" w:rsidRPr="004F4153" w:rsidRDefault="00302619" w:rsidP="003C1586">
            <w:pPr>
              <w:widowControl w:val="0"/>
              <w:spacing w:before="60" w:after="60"/>
              <w:ind w:left="57"/>
              <w:jc w:val="right"/>
              <w:rPr>
                <w:rFonts w:ascii="Arial" w:hAnsi="Arial" w:cs="Arial"/>
                <w:b/>
                <w:sz w:val="20"/>
                <w:szCs w:val="20"/>
              </w:rPr>
            </w:pPr>
            <w:r w:rsidRPr="004F4153">
              <w:rPr>
                <w:rFonts w:ascii="Arial" w:hAnsi="Arial" w:cs="Arial"/>
                <w:b/>
                <w:sz w:val="20"/>
                <w:szCs w:val="20"/>
              </w:rPr>
              <w:t>Secretaría Ejecutiva:</w:t>
            </w:r>
          </w:p>
        </w:tc>
        <w:tc>
          <w:tcPr>
            <w:tcW w:w="2958" w:type="pct"/>
            <w:vAlign w:val="center"/>
          </w:tcPr>
          <w:p w14:paraId="30D5DCC3" w14:textId="34F64C02" w:rsidR="00302619" w:rsidRPr="004F4153" w:rsidRDefault="00302619" w:rsidP="003C1586">
            <w:pPr>
              <w:widowControl w:val="0"/>
              <w:spacing w:before="60" w:after="60"/>
              <w:ind w:left="57"/>
              <w:rPr>
                <w:rFonts w:ascii="Arial" w:hAnsi="Arial" w:cs="Arial"/>
                <w:sz w:val="20"/>
                <w:szCs w:val="20"/>
              </w:rPr>
            </w:pPr>
            <w:r w:rsidRPr="004F4153">
              <w:rPr>
                <w:rFonts w:ascii="Arial" w:hAnsi="Arial" w:cs="Arial"/>
                <w:sz w:val="20"/>
                <w:szCs w:val="20"/>
              </w:rPr>
              <w:t>Secretaría Ejecutiva del Instituto.</w:t>
            </w:r>
          </w:p>
        </w:tc>
      </w:tr>
      <w:tr w:rsidR="00B82B6B" w:rsidRPr="00AA17D2" w14:paraId="21C0A4CD" w14:textId="77777777" w:rsidTr="003C1586">
        <w:trPr>
          <w:trHeight w:val="624"/>
          <w:jc w:val="center"/>
        </w:trPr>
        <w:tc>
          <w:tcPr>
            <w:tcW w:w="2042" w:type="pct"/>
            <w:vAlign w:val="center"/>
          </w:tcPr>
          <w:p w14:paraId="6C46E989" w14:textId="17F91BC9" w:rsidR="00B82B6B" w:rsidRPr="004F4153" w:rsidRDefault="00B82B6B" w:rsidP="003C1586">
            <w:pPr>
              <w:widowControl w:val="0"/>
              <w:spacing w:before="60" w:after="60"/>
              <w:ind w:left="57"/>
              <w:jc w:val="right"/>
              <w:rPr>
                <w:rFonts w:ascii="Arial" w:hAnsi="Arial" w:cs="Arial"/>
                <w:b/>
                <w:sz w:val="20"/>
                <w:szCs w:val="20"/>
              </w:rPr>
            </w:pPr>
            <w:r w:rsidRPr="004F4153">
              <w:rPr>
                <w:rFonts w:ascii="Arial" w:hAnsi="Arial" w:cs="Arial"/>
                <w:b/>
                <w:sz w:val="20"/>
                <w:szCs w:val="20"/>
              </w:rPr>
              <w:t>Unidad de Correspondencia</w:t>
            </w:r>
            <w:r w:rsidR="0011401C" w:rsidRPr="004F4153">
              <w:rPr>
                <w:rFonts w:ascii="Arial" w:hAnsi="Arial" w:cs="Arial"/>
                <w:b/>
                <w:sz w:val="20"/>
                <w:szCs w:val="20"/>
              </w:rPr>
              <w:t>:</w:t>
            </w:r>
          </w:p>
        </w:tc>
        <w:tc>
          <w:tcPr>
            <w:tcW w:w="2958" w:type="pct"/>
            <w:vAlign w:val="center"/>
          </w:tcPr>
          <w:p w14:paraId="777A1691" w14:textId="67CEB287" w:rsidR="00B82B6B" w:rsidRPr="004F4153" w:rsidRDefault="00B82B6B" w:rsidP="003C1586">
            <w:pPr>
              <w:widowControl w:val="0"/>
              <w:spacing w:before="60" w:after="60"/>
              <w:ind w:left="57"/>
              <w:rPr>
                <w:rFonts w:ascii="Arial" w:hAnsi="Arial" w:cs="Arial"/>
                <w:sz w:val="20"/>
                <w:szCs w:val="20"/>
              </w:rPr>
            </w:pPr>
            <w:r w:rsidRPr="004F4153">
              <w:rPr>
                <w:rFonts w:ascii="Arial" w:hAnsi="Arial" w:cs="Arial"/>
                <w:sz w:val="20"/>
                <w:szCs w:val="20"/>
              </w:rPr>
              <w:t>Unidad de Correspondencia de la Coordinación de Archivos del Instituto.</w:t>
            </w:r>
          </w:p>
        </w:tc>
      </w:tr>
    </w:tbl>
    <w:p w14:paraId="4568CAFB" w14:textId="77777777" w:rsidR="004F4153" w:rsidRDefault="004F4153" w:rsidP="0011401C">
      <w:pPr>
        <w:pStyle w:val="Ttulo1"/>
        <w:numPr>
          <w:ilvl w:val="0"/>
          <w:numId w:val="0"/>
        </w:numPr>
        <w:ind w:left="432"/>
        <w:rPr>
          <w:rFonts w:ascii="Arial" w:hAnsi="Arial" w:cs="Arial"/>
        </w:rPr>
      </w:pPr>
    </w:p>
    <w:p w14:paraId="1E9C7920" w14:textId="77777777" w:rsidR="004F4153" w:rsidRDefault="004F4153" w:rsidP="0011401C">
      <w:pPr>
        <w:pStyle w:val="Ttulo1"/>
        <w:numPr>
          <w:ilvl w:val="0"/>
          <w:numId w:val="0"/>
        </w:numPr>
        <w:ind w:left="432"/>
        <w:rPr>
          <w:rFonts w:ascii="Arial" w:hAnsi="Arial" w:cs="Arial"/>
        </w:rPr>
      </w:pPr>
    </w:p>
    <w:p w14:paraId="5BED8925" w14:textId="161DFE54" w:rsidR="00FD0C23" w:rsidRPr="004F4153" w:rsidRDefault="00FD0C23" w:rsidP="004F4153">
      <w:pPr>
        <w:pStyle w:val="Ttulo1"/>
        <w:numPr>
          <w:ilvl w:val="0"/>
          <w:numId w:val="14"/>
        </w:numPr>
        <w:rPr>
          <w:rFonts w:ascii="Arial" w:hAnsi="Arial" w:cs="Arial"/>
          <w:sz w:val="24"/>
          <w:szCs w:val="24"/>
        </w:rPr>
      </w:pPr>
      <w:r w:rsidRPr="004F4153">
        <w:rPr>
          <w:rFonts w:ascii="Arial" w:hAnsi="Arial" w:cs="Arial"/>
          <w:sz w:val="24"/>
          <w:szCs w:val="24"/>
        </w:rPr>
        <w:lastRenderedPageBreak/>
        <w:t>Antecedentes</w:t>
      </w:r>
    </w:p>
    <w:p w14:paraId="232E66C5" w14:textId="3CDCC2EA" w:rsidR="004773B2" w:rsidRPr="004F4153" w:rsidRDefault="004F4153" w:rsidP="004F4153">
      <w:pPr>
        <w:pStyle w:val="Ttulo2"/>
        <w:numPr>
          <w:ilvl w:val="0"/>
          <w:numId w:val="0"/>
        </w:numPr>
        <w:rPr>
          <w:rFonts w:ascii="Arial" w:hAnsi="Arial" w:cs="Arial"/>
          <w:sz w:val="22"/>
          <w:szCs w:val="22"/>
        </w:rPr>
      </w:pPr>
      <w:r w:rsidRPr="004F4153">
        <w:rPr>
          <w:rFonts w:ascii="Arial" w:hAnsi="Arial" w:cs="Arial"/>
          <w:sz w:val="22"/>
          <w:szCs w:val="22"/>
        </w:rPr>
        <w:t xml:space="preserve">1.1 </w:t>
      </w:r>
      <w:r w:rsidR="0011401C" w:rsidRPr="004F4153">
        <w:rPr>
          <w:rFonts w:ascii="Arial" w:hAnsi="Arial" w:cs="Arial"/>
          <w:sz w:val="22"/>
          <w:szCs w:val="22"/>
        </w:rPr>
        <w:t>Fines del Instituto</w:t>
      </w:r>
    </w:p>
    <w:p w14:paraId="236DB3D5" w14:textId="77777777" w:rsidR="00862747" w:rsidRPr="004F4153" w:rsidRDefault="00862747" w:rsidP="00862747">
      <w:pPr>
        <w:rPr>
          <w:rFonts w:ascii="Arial" w:hAnsi="Arial" w:cs="Arial"/>
          <w:sz w:val="22"/>
          <w:szCs w:val="22"/>
        </w:rPr>
      </w:pPr>
      <w:r w:rsidRPr="004F4153">
        <w:rPr>
          <w:rFonts w:ascii="Arial" w:hAnsi="Arial" w:cs="Arial"/>
          <w:sz w:val="22"/>
          <w:szCs w:val="22"/>
        </w:rPr>
        <w:t>De conformidad con el artículo 9 apartado C, base I, inciso a) de la Constitución Política del Estado Libre y Soberano de Tabasco,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4298A721" w14:textId="77777777" w:rsidR="00862747" w:rsidRPr="004F4153" w:rsidRDefault="00862747" w:rsidP="00862747">
      <w:pPr>
        <w:rPr>
          <w:rFonts w:ascii="Arial" w:hAnsi="Arial" w:cs="Arial"/>
          <w:sz w:val="22"/>
          <w:szCs w:val="22"/>
        </w:rPr>
      </w:pPr>
      <w:r w:rsidRPr="004F4153">
        <w:rPr>
          <w:rFonts w:ascii="Arial" w:hAnsi="Arial" w:cs="Arial"/>
          <w:sz w:val="22"/>
          <w:szCs w:val="22"/>
        </w:rPr>
        <w:t>Además, es responsable de la organización de las elecciones estatales, distritales y municipales, así como la relativa a las personas titulares de las magistraturas del Tribunal de Disciplina Judicial y del Tribunal Superior de Justicia, y Juezas y Jueces del Poder Judicial del Estado de Tabasco.</w:t>
      </w:r>
    </w:p>
    <w:p w14:paraId="6F5E268A" w14:textId="51972717" w:rsidR="0011401C" w:rsidRPr="004F4153" w:rsidRDefault="00862747" w:rsidP="0011401C">
      <w:pPr>
        <w:rPr>
          <w:rFonts w:ascii="Arial" w:hAnsi="Arial" w:cs="Arial"/>
          <w:sz w:val="22"/>
          <w:szCs w:val="22"/>
        </w:rPr>
      </w:pPr>
      <w:r w:rsidRPr="004F4153">
        <w:rPr>
          <w:rFonts w:ascii="Arial" w:hAnsi="Arial" w:cs="Arial"/>
          <w:sz w:val="22"/>
          <w:szCs w:val="22"/>
        </w:rPr>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4C87715C" w14:textId="7659D035" w:rsidR="004773B2" w:rsidRPr="004F4153" w:rsidRDefault="004773B2" w:rsidP="004F4153">
      <w:pPr>
        <w:pStyle w:val="Ttulo2"/>
        <w:numPr>
          <w:ilvl w:val="1"/>
          <w:numId w:val="14"/>
        </w:numPr>
        <w:tabs>
          <w:tab w:val="left" w:pos="426"/>
        </w:tabs>
        <w:spacing w:before="0" w:after="0"/>
        <w:ind w:left="0" w:firstLine="0"/>
        <w:rPr>
          <w:rFonts w:ascii="Arial" w:hAnsi="Arial" w:cs="Arial"/>
          <w:sz w:val="22"/>
          <w:szCs w:val="22"/>
        </w:rPr>
      </w:pPr>
      <w:r w:rsidRPr="004F4153">
        <w:rPr>
          <w:rFonts w:ascii="Arial" w:hAnsi="Arial" w:cs="Arial"/>
          <w:sz w:val="22"/>
          <w:szCs w:val="22"/>
        </w:rPr>
        <w:t>Integración del órgano superior de dirección</w:t>
      </w:r>
    </w:p>
    <w:p w14:paraId="4914EB81" w14:textId="1B4E26BE" w:rsidR="00862747" w:rsidRDefault="004773B2" w:rsidP="004773B2">
      <w:pPr>
        <w:rPr>
          <w:rFonts w:ascii="Arial" w:hAnsi="Arial" w:cs="Arial"/>
          <w:sz w:val="22"/>
          <w:szCs w:val="22"/>
        </w:rPr>
      </w:pPr>
      <w:r w:rsidRPr="004F4153">
        <w:rPr>
          <w:rFonts w:ascii="Arial" w:hAnsi="Arial" w:cs="Arial"/>
          <w:sz w:val="22"/>
          <w:szCs w:val="22"/>
        </w:rPr>
        <w:t>En términos de los artículos 99 de la Ley General; y, 106 y 107 numeral 1 de la Ley Electoral, el Consejo Estatal es el órgano superior de dirección, integrado por una Consejera o un Consejero Presidente y seis consejeras y consejeros electorales, con voz y voto; la Secretaria o el Secretario Ejecutivo y una o un representante por cada partido político con registro nacional o estatal, responsable de vigilar el cumplimiento de las disposiciones constitucionales y legales en materia electoral, así como de velar por el cumplimiento de los principios que rigen la materia electoral.</w:t>
      </w:r>
    </w:p>
    <w:p w14:paraId="20310F7B" w14:textId="77777777" w:rsidR="004F4153" w:rsidRPr="004F4153" w:rsidRDefault="004F4153" w:rsidP="004773B2">
      <w:pPr>
        <w:rPr>
          <w:rFonts w:ascii="Arial" w:hAnsi="Arial" w:cs="Arial"/>
          <w:sz w:val="22"/>
          <w:szCs w:val="22"/>
        </w:rPr>
      </w:pPr>
    </w:p>
    <w:p w14:paraId="6457C69C" w14:textId="1F963D0D" w:rsidR="005451F0" w:rsidRPr="004F4153" w:rsidRDefault="007413DF" w:rsidP="004F4153">
      <w:pPr>
        <w:pStyle w:val="Ttulo2"/>
        <w:numPr>
          <w:ilvl w:val="1"/>
          <w:numId w:val="14"/>
        </w:numPr>
        <w:spacing w:before="0" w:after="0"/>
        <w:ind w:left="0" w:firstLine="0"/>
        <w:rPr>
          <w:rFonts w:ascii="Arial" w:hAnsi="Arial" w:cs="Arial"/>
          <w:sz w:val="22"/>
          <w:szCs w:val="22"/>
        </w:rPr>
      </w:pPr>
      <w:r w:rsidRPr="004F4153">
        <w:rPr>
          <w:rFonts w:ascii="Arial" w:hAnsi="Arial" w:cs="Arial"/>
          <w:sz w:val="22"/>
          <w:szCs w:val="22"/>
        </w:rPr>
        <w:lastRenderedPageBreak/>
        <w:t>Emisión de la Ley General</w:t>
      </w:r>
    </w:p>
    <w:p w14:paraId="0310D79D" w14:textId="77777777" w:rsidR="0011401C" w:rsidRPr="004F4153" w:rsidRDefault="0011401C" w:rsidP="0011401C">
      <w:pPr>
        <w:spacing w:before="0" w:after="0"/>
        <w:rPr>
          <w:sz w:val="22"/>
          <w:szCs w:val="22"/>
        </w:rPr>
      </w:pPr>
    </w:p>
    <w:p w14:paraId="7182A928" w14:textId="4573C44E" w:rsidR="00862747" w:rsidRPr="004F4153" w:rsidRDefault="0071506B" w:rsidP="00862747">
      <w:pPr>
        <w:spacing w:before="0"/>
        <w:rPr>
          <w:rFonts w:ascii="Arial" w:hAnsi="Arial" w:cs="Arial"/>
          <w:sz w:val="22"/>
          <w:szCs w:val="22"/>
        </w:rPr>
      </w:pPr>
      <w:r w:rsidRPr="004F4153">
        <w:rPr>
          <w:rFonts w:ascii="Arial" w:hAnsi="Arial" w:cs="Arial"/>
          <w:sz w:val="22"/>
          <w:szCs w:val="22"/>
        </w:rPr>
        <w:t xml:space="preserve">El 15 de junio de 2018, se publicó en el Diario Oficial de la Federación, la Ley General, misma que tiene por objeto establecer los principios y bases generales para la organización y conservación, administración y preservación homogénea de los archivos en posesión de cualquier autoridad, </w:t>
      </w:r>
      <w:r w:rsidR="008B28AE" w:rsidRPr="004F4153">
        <w:rPr>
          <w:rFonts w:ascii="Arial" w:hAnsi="Arial" w:cs="Arial"/>
          <w:sz w:val="22"/>
          <w:szCs w:val="22"/>
        </w:rPr>
        <w:t>entra ellas, los</w:t>
      </w:r>
      <w:r w:rsidRPr="004F4153">
        <w:rPr>
          <w:rFonts w:ascii="Arial" w:hAnsi="Arial" w:cs="Arial"/>
          <w:sz w:val="22"/>
          <w:szCs w:val="22"/>
        </w:rPr>
        <w:t xml:space="preserve"> órganos autónomos</w:t>
      </w:r>
      <w:r w:rsidR="008B28AE" w:rsidRPr="004F4153">
        <w:rPr>
          <w:rFonts w:ascii="Arial" w:hAnsi="Arial" w:cs="Arial"/>
          <w:sz w:val="22"/>
          <w:szCs w:val="22"/>
        </w:rPr>
        <w:t>.</w:t>
      </w:r>
    </w:p>
    <w:p w14:paraId="5EB56714" w14:textId="4C3BBBA6" w:rsidR="008B28AE" w:rsidRPr="004F4153" w:rsidRDefault="008B28AE" w:rsidP="004F4153">
      <w:pPr>
        <w:pStyle w:val="Ttulo2"/>
        <w:numPr>
          <w:ilvl w:val="1"/>
          <w:numId w:val="14"/>
        </w:numPr>
        <w:tabs>
          <w:tab w:val="left" w:pos="426"/>
        </w:tabs>
        <w:spacing w:before="0" w:after="0"/>
        <w:ind w:left="0" w:firstLine="0"/>
        <w:rPr>
          <w:rFonts w:ascii="Arial" w:hAnsi="Arial" w:cs="Arial"/>
          <w:sz w:val="22"/>
          <w:szCs w:val="22"/>
        </w:rPr>
      </w:pPr>
      <w:r w:rsidRPr="004F4153">
        <w:rPr>
          <w:rFonts w:ascii="Arial" w:hAnsi="Arial" w:cs="Arial"/>
          <w:sz w:val="22"/>
          <w:szCs w:val="22"/>
        </w:rPr>
        <w:t xml:space="preserve">Emisión de la </w:t>
      </w:r>
      <w:r w:rsidR="009F6DF4" w:rsidRPr="004F4153">
        <w:rPr>
          <w:rFonts w:ascii="Arial" w:hAnsi="Arial" w:cs="Arial"/>
          <w:sz w:val="22"/>
          <w:szCs w:val="22"/>
        </w:rPr>
        <w:t>l</w:t>
      </w:r>
      <w:r w:rsidRPr="004F4153">
        <w:rPr>
          <w:rFonts w:ascii="Arial" w:hAnsi="Arial" w:cs="Arial"/>
          <w:sz w:val="22"/>
          <w:szCs w:val="22"/>
        </w:rPr>
        <w:t>ey local de archivos</w:t>
      </w:r>
    </w:p>
    <w:p w14:paraId="64C9EE74" w14:textId="77777777" w:rsidR="004773B2" w:rsidRPr="004F4153" w:rsidRDefault="004773B2" w:rsidP="004773B2">
      <w:pPr>
        <w:spacing w:before="0" w:after="0"/>
        <w:rPr>
          <w:sz w:val="22"/>
          <w:szCs w:val="22"/>
        </w:rPr>
      </w:pPr>
    </w:p>
    <w:p w14:paraId="44AF9862" w14:textId="6DC78F66" w:rsidR="007413DF" w:rsidRPr="004F4153" w:rsidRDefault="007413DF" w:rsidP="0043692F">
      <w:pPr>
        <w:spacing w:before="0"/>
        <w:rPr>
          <w:rFonts w:ascii="Arial" w:hAnsi="Arial" w:cs="Arial"/>
          <w:sz w:val="22"/>
          <w:szCs w:val="22"/>
        </w:rPr>
      </w:pPr>
      <w:r w:rsidRPr="004F4153">
        <w:rPr>
          <w:rFonts w:ascii="Arial" w:hAnsi="Arial" w:cs="Arial"/>
          <w:sz w:val="22"/>
          <w:szCs w:val="22"/>
        </w:rPr>
        <w:t xml:space="preserve">El </w:t>
      </w:r>
      <w:r w:rsidR="0071506B" w:rsidRPr="004F4153">
        <w:rPr>
          <w:rFonts w:ascii="Arial" w:hAnsi="Arial" w:cs="Arial"/>
          <w:sz w:val="22"/>
          <w:szCs w:val="22"/>
        </w:rPr>
        <w:t>15 de julio de 2020, mediante Decreto 205 publicado en el Periódico Oficial del Estado, se expidió la Ley de Archivos, misma que tiene por objeto establecer los principios y bases generales para la organización y conservación, administración y preservación homogénea de los archivos en posesión de cualquier autoridad, entidad, órgano y organismo del Estado</w:t>
      </w:r>
      <w:r w:rsidR="008B28AE" w:rsidRPr="004F4153">
        <w:rPr>
          <w:rFonts w:ascii="Arial" w:hAnsi="Arial" w:cs="Arial"/>
          <w:sz w:val="22"/>
          <w:szCs w:val="22"/>
        </w:rPr>
        <w:t>, entre otros.</w:t>
      </w:r>
    </w:p>
    <w:p w14:paraId="1B681283" w14:textId="6CCD51D1" w:rsidR="0071506B" w:rsidRPr="004F4153" w:rsidRDefault="0090777E" w:rsidP="004F4153">
      <w:pPr>
        <w:pStyle w:val="Ttulo2"/>
        <w:numPr>
          <w:ilvl w:val="1"/>
          <w:numId w:val="14"/>
        </w:numPr>
        <w:tabs>
          <w:tab w:val="left" w:pos="426"/>
        </w:tabs>
        <w:spacing w:after="0"/>
        <w:ind w:left="0" w:firstLine="0"/>
        <w:rPr>
          <w:rFonts w:ascii="Arial" w:hAnsi="Arial" w:cs="Arial"/>
          <w:sz w:val="22"/>
          <w:szCs w:val="22"/>
        </w:rPr>
      </w:pPr>
      <w:r w:rsidRPr="004F4153">
        <w:rPr>
          <w:rFonts w:ascii="Arial" w:hAnsi="Arial" w:cs="Arial"/>
          <w:sz w:val="22"/>
          <w:szCs w:val="22"/>
        </w:rPr>
        <w:t xml:space="preserve">Implementación del </w:t>
      </w:r>
      <w:r w:rsidR="009F6DF4" w:rsidRPr="004F4153">
        <w:rPr>
          <w:rFonts w:ascii="Arial" w:hAnsi="Arial" w:cs="Arial"/>
          <w:sz w:val="22"/>
          <w:szCs w:val="22"/>
        </w:rPr>
        <w:t>S</w:t>
      </w:r>
      <w:r w:rsidRPr="004F4153">
        <w:rPr>
          <w:rFonts w:ascii="Arial" w:hAnsi="Arial" w:cs="Arial"/>
          <w:sz w:val="22"/>
          <w:szCs w:val="22"/>
        </w:rPr>
        <w:t xml:space="preserve">istema </w:t>
      </w:r>
      <w:r w:rsidR="009F6DF4" w:rsidRPr="004F4153">
        <w:rPr>
          <w:rFonts w:ascii="Arial" w:hAnsi="Arial" w:cs="Arial"/>
          <w:sz w:val="22"/>
          <w:szCs w:val="22"/>
        </w:rPr>
        <w:t>I</w:t>
      </w:r>
      <w:r w:rsidRPr="004F4153">
        <w:rPr>
          <w:rFonts w:ascii="Arial" w:hAnsi="Arial" w:cs="Arial"/>
          <w:sz w:val="22"/>
          <w:szCs w:val="22"/>
        </w:rPr>
        <w:t xml:space="preserve">nstitucional de </w:t>
      </w:r>
      <w:r w:rsidR="009F6DF4" w:rsidRPr="004F4153">
        <w:rPr>
          <w:rFonts w:ascii="Arial" w:hAnsi="Arial" w:cs="Arial"/>
          <w:sz w:val="22"/>
          <w:szCs w:val="22"/>
        </w:rPr>
        <w:t>A</w:t>
      </w:r>
      <w:r w:rsidRPr="004F4153">
        <w:rPr>
          <w:rFonts w:ascii="Arial" w:hAnsi="Arial" w:cs="Arial"/>
          <w:sz w:val="22"/>
          <w:szCs w:val="22"/>
        </w:rPr>
        <w:t>rchivos</w:t>
      </w:r>
    </w:p>
    <w:p w14:paraId="1BB33B9E" w14:textId="77777777" w:rsidR="004773B2" w:rsidRPr="004F4153" w:rsidRDefault="004773B2" w:rsidP="004F4153">
      <w:pPr>
        <w:tabs>
          <w:tab w:val="left" w:pos="426"/>
          <w:tab w:val="left" w:pos="993"/>
        </w:tabs>
        <w:spacing w:before="0" w:after="0"/>
        <w:rPr>
          <w:rFonts w:ascii="Arial" w:hAnsi="Arial" w:cs="Arial"/>
          <w:sz w:val="22"/>
          <w:szCs w:val="22"/>
        </w:rPr>
      </w:pPr>
    </w:p>
    <w:p w14:paraId="0A2D23B2" w14:textId="03EC4F84" w:rsidR="0071506B" w:rsidRPr="004F4153" w:rsidRDefault="0071506B" w:rsidP="004773B2">
      <w:pPr>
        <w:spacing w:before="0" w:after="0"/>
        <w:rPr>
          <w:rFonts w:ascii="Arial" w:hAnsi="Arial" w:cs="Arial"/>
          <w:sz w:val="22"/>
          <w:szCs w:val="22"/>
        </w:rPr>
      </w:pPr>
      <w:r w:rsidRPr="004F4153">
        <w:rPr>
          <w:rFonts w:ascii="Arial" w:hAnsi="Arial" w:cs="Arial"/>
          <w:sz w:val="22"/>
          <w:szCs w:val="22"/>
        </w:rPr>
        <w:t xml:space="preserve">El </w:t>
      </w:r>
      <w:r w:rsidR="0090777E" w:rsidRPr="004F4153">
        <w:rPr>
          <w:rFonts w:ascii="Arial" w:hAnsi="Arial" w:cs="Arial"/>
          <w:sz w:val="22"/>
          <w:szCs w:val="22"/>
        </w:rPr>
        <w:t>15 de septiembre de 2022</w:t>
      </w:r>
      <w:r w:rsidRPr="004F4153">
        <w:rPr>
          <w:rFonts w:ascii="Arial" w:hAnsi="Arial" w:cs="Arial"/>
          <w:sz w:val="22"/>
          <w:szCs w:val="22"/>
        </w:rPr>
        <w:t xml:space="preserve">, </w:t>
      </w:r>
      <w:r w:rsidR="0090777E" w:rsidRPr="004F4153">
        <w:rPr>
          <w:rFonts w:ascii="Arial" w:hAnsi="Arial" w:cs="Arial"/>
          <w:sz w:val="22"/>
          <w:szCs w:val="22"/>
        </w:rPr>
        <w:t>mediante acuerdo CE/2022/026, el Consejo Estatal implementó el Sistema Institucional de Archivos del Instituto.</w:t>
      </w:r>
    </w:p>
    <w:p w14:paraId="15F5D914" w14:textId="77777777" w:rsidR="004773B2" w:rsidRPr="004F4153" w:rsidRDefault="004773B2" w:rsidP="004773B2">
      <w:pPr>
        <w:spacing w:before="0"/>
        <w:rPr>
          <w:rFonts w:ascii="Arial" w:hAnsi="Arial" w:cs="Arial"/>
          <w:sz w:val="22"/>
          <w:szCs w:val="22"/>
        </w:rPr>
      </w:pPr>
    </w:p>
    <w:p w14:paraId="3218733B" w14:textId="32BBBFD7" w:rsidR="0090777E" w:rsidRPr="004F4153" w:rsidRDefault="0090777E" w:rsidP="004F4153">
      <w:pPr>
        <w:pStyle w:val="Ttulo2"/>
        <w:numPr>
          <w:ilvl w:val="1"/>
          <w:numId w:val="14"/>
        </w:numPr>
        <w:tabs>
          <w:tab w:val="left" w:pos="284"/>
          <w:tab w:val="left" w:pos="426"/>
        </w:tabs>
        <w:spacing w:before="0" w:after="0"/>
        <w:ind w:left="0" w:firstLine="0"/>
        <w:rPr>
          <w:rFonts w:ascii="Arial" w:hAnsi="Arial" w:cs="Arial"/>
          <w:sz w:val="22"/>
          <w:szCs w:val="22"/>
        </w:rPr>
      </w:pPr>
      <w:r w:rsidRPr="004F4153">
        <w:rPr>
          <w:rFonts w:ascii="Arial" w:hAnsi="Arial" w:cs="Arial"/>
          <w:sz w:val="22"/>
          <w:szCs w:val="22"/>
        </w:rPr>
        <w:t>Modificación de la estructura orgánica y aprobación del Reglamento Interior</w:t>
      </w:r>
    </w:p>
    <w:p w14:paraId="794603FF" w14:textId="77777777" w:rsidR="004773B2" w:rsidRPr="004F4153" w:rsidRDefault="004773B2" w:rsidP="004773B2">
      <w:pPr>
        <w:spacing w:before="0" w:after="0"/>
        <w:rPr>
          <w:rFonts w:ascii="Arial" w:hAnsi="Arial" w:cs="Arial"/>
          <w:sz w:val="22"/>
          <w:szCs w:val="22"/>
        </w:rPr>
      </w:pPr>
    </w:p>
    <w:p w14:paraId="6F0977E5" w14:textId="1C3911F9" w:rsidR="0090777E" w:rsidRPr="004F4153" w:rsidRDefault="0090777E" w:rsidP="004773B2">
      <w:pPr>
        <w:spacing w:before="0" w:after="0"/>
        <w:rPr>
          <w:rFonts w:ascii="Arial" w:hAnsi="Arial" w:cs="Arial"/>
          <w:sz w:val="22"/>
          <w:szCs w:val="22"/>
        </w:rPr>
      </w:pPr>
      <w:r w:rsidRPr="004F4153">
        <w:rPr>
          <w:rFonts w:ascii="Arial" w:hAnsi="Arial" w:cs="Arial"/>
          <w:sz w:val="22"/>
          <w:szCs w:val="22"/>
        </w:rPr>
        <w:t xml:space="preserve">El 05 de octubre de 2023, mediante acuerdo CE/2023/029, el Consejo Estatal modificó la estructura orgánica del Instituto, y aprobó el Reglamento Interior, el cual determina la existencia de </w:t>
      </w:r>
      <w:r w:rsidR="00862747" w:rsidRPr="004F4153">
        <w:rPr>
          <w:rFonts w:ascii="Arial" w:hAnsi="Arial" w:cs="Arial"/>
          <w:sz w:val="22"/>
          <w:szCs w:val="22"/>
        </w:rPr>
        <w:t>la</w:t>
      </w:r>
      <w:r w:rsidRPr="004F4153">
        <w:rPr>
          <w:rFonts w:ascii="Arial" w:hAnsi="Arial" w:cs="Arial"/>
          <w:sz w:val="22"/>
          <w:szCs w:val="22"/>
        </w:rPr>
        <w:t xml:space="preserve"> Coordinación de Archivos.</w:t>
      </w:r>
    </w:p>
    <w:p w14:paraId="06A95818" w14:textId="42A4060C" w:rsidR="00077BAB" w:rsidRPr="004F4153" w:rsidRDefault="00077BAB" w:rsidP="004F4153">
      <w:pPr>
        <w:pStyle w:val="Ttulo2"/>
        <w:numPr>
          <w:ilvl w:val="1"/>
          <w:numId w:val="14"/>
        </w:numPr>
        <w:tabs>
          <w:tab w:val="left" w:pos="142"/>
          <w:tab w:val="left" w:pos="426"/>
        </w:tabs>
        <w:spacing w:after="0"/>
        <w:ind w:left="0" w:firstLine="0"/>
        <w:rPr>
          <w:rFonts w:ascii="Arial" w:hAnsi="Arial" w:cs="Arial"/>
          <w:sz w:val="22"/>
          <w:szCs w:val="22"/>
        </w:rPr>
      </w:pPr>
      <w:r w:rsidRPr="004F4153">
        <w:rPr>
          <w:rFonts w:ascii="Arial" w:hAnsi="Arial" w:cs="Arial"/>
          <w:sz w:val="22"/>
          <w:szCs w:val="22"/>
        </w:rPr>
        <w:t>Emisión del Reglamento para la organización y conservación del archivo</w:t>
      </w:r>
    </w:p>
    <w:p w14:paraId="6A7C1913" w14:textId="77777777" w:rsidR="004773B2" w:rsidRPr="004F4153" w:rsidRDefault="004773B2" w:rsidP="004773B2">
      <w:pPr>
        <w:spacing w:before="0" w:after="0"/>
        <w:rPr>
          <w:rFonts w:ascii="Arial" w:hAnsi="Arial" w:cs="Arial"/>
          <w:sz w:val="22"/>
          <w:szCs w:val="22"/>
        </w:rPr>
      </w:pPr>
    </w:p>
    <w:p w14:paraId="3F6E2356" w14:textId="40ED4780" w:rsidR="00675EC7" w:rsidRDefault="00077BAB" w:rsidP="0043692F">
      <w:pPr>
        <w:spacing w:before="0"/>
        <w:rPr>
          <w:rFonts w:ascii="Arial" w:hAnsi="Arial" w:cs="Arial"/>
          <w:sz w:val="22"/>
          <w:szCs w:val="22"/>
        </w:rPr>
      </w:pPr>
      <w:r w:rsidRPr="004F4153">
        <w:rPr>
          <w:rFonts w:ascii="Arial" w:hAnsi="Arial" w:cs="Arial"/>
          <w:sz w:val="22"/>
          <w:szCs w:val="22"/>
        </w:rPr>
        <w:t>El 30 de noviembre de 2023, mediante acuerdo CE/2023/051, el Consejo Estatal aprobó el Reglamento para la Organización y Conservación del Archivo del Instituto.</w:t>
      </w:r>
    </w:p>
    <w:p w14:paraId="69DCD3DC" w14:textId="1D660C6C" w:rsidR="004F4153" w:rsidRDefault="004F4153" w:rsidP="0043692F">
      <w:pPr>
        <w:spacing w:before="0"/>
        <w:rPr>
          <w:rFonts w:ascii="Arial" w:hAnsi="Arial" w:cs="Arial"/>
          <w:sz w:val="22"/>
          <w:szCs w:val="22"/>
        </w:rPr>
      </w:pPr>
    </w:p>
    <w:p w14:paraId="6EF75569" w14:textId="269D6932" w:rsidR="004F4153" w:rsidRDefault="004F4153" w:rsidP="0043692F">
      <w:pPr>
        <w:spacing w:before="0"/>
        <w:rPr>
          <w:rFonts w:ascii="Arial" w:hAnsi="Arial" w:cs="Arial"/>
          <w:sz w:val="22"/>
          <w:szCs w:val="22"/>
        </w:rPr>
      </w:pPr>
    </w:p>
    <w:p w14:paraId="7FD9622D" w14:textId="56EF6A68" w:rsidR="004F4153" w:rsidRDefault="004F4153" w:rsidP="0043692F">
      <w:pPr>
        <w:spacing w:before="0"/>
        <w:rPr>
          <w:rFonts w:ascii="Arial" w:hAnsi="Arial" w:cs="Arial"/>
          <w:sz w:val="22"/>
          <w:szCs w:val="22"/>
        </w:rPr>
      </w:pPr>
    </w:p>
    <w:p w14:paraId="39D209F9" w14:textId="77777777" w:rsidR="004F4153" w:rsidRPr="004F4153" w:rsidRDefault="004F4153" w:rsidP="0043692F">
      <w:pPr>
        <w:spacing w:before="0"/>
        <w:rPr>
          <w:rFonts w:ascii="Arial" w:hAnsi="Arial" w:cs="Arial"/>
          <w:sz w:val="22"/>
          <w:szCs w:val="22"/>
        </w:rPr>
      </w:pPr>
    </w:p>
    <w:p w14:paraId="454C99F3" w14:textId="0F2B2009" w:rsidR="00FD0C23" w:rsidRPr="004F4153" w:rsidRDefault="00FD0C23" w:rsidP="004F4153">
      <w:pPr>
        <w:pStyle w:val="Ttulo1"/>
        <w:numPr>
          <w:ilvl w:val="0"/>
          <w:numId w:val="14"/>
        </w:numPr>
        <w:rPr>
          <w:rFonts w:ascii="Arial" w:hAnsi="Arial" w:cs="Arial"/>
        </w:rPr>
      </w:pPr>
      <w:r w:rsidRPr="004F4153">
        <w:rPr>
          <w:rFonts w:ascii="Arial" w:hAnsi="Arial" w:cs="Arial"/>
          <w:sz w:val="24"/>
          <w:szCs w:val="24"/>
        </w:rPr>
        <w:lastRenderedPageBreak/>
        <w:t>Considerando</w:t>
      </w:r>
    </w:p>
    <w:p w14:paraId="73052589" w14:textId="5608D676" w:rsidR="00FD0C23" w:rsidRPr="004F4153" w:rsidRDefault="004F4153" w:rsidP="004F4153">
      <w:pPr>
        <w:pStyle w:val="Ttulo2"/>
        <w:numPr>
          <w:ilvl w:val="0"/>
          <w:numId w:val="0"/>
        </w:numPr>
        <w:rPr>
          <w:rFonts w:ascii="Arial" w:hAnsi="Arial" w:cs="Arial"/>
          <w:sz w:val="22"/>
          <w:szCs w:val="22"/>
        </w:rPr>
      </w:pPr>
      <w:r>
        <w:rPr>
          <w:rFonts w:ascii="Arial" w:hAnsi="Arial" w:cs="Arial"/>
          <w:sz w:val="22"/>
          <w:szCs w:val="22"/>
        </w:rPr>
        <w:t xml:space="preserve">2.1 </w:t>
      </w:r>
      <w:r w:rsidR="00FD0C23" w:rsidRPr="004F4153">
        <w:rPr>
          <w:rFonts w:ascii="Arial" w:hAnsi="Arial" w:cs="Arial"/>
          <w:sz w:val="22"/>
          <w:szCs w:val="22"/>
        </w:rPr>
        <w:t>Competencia del Consejo Estatal</w:t>
      </w:r>
    </w:p>
    <w:p w14:paraId="4A90CB2A" w14:textId="54735113" w:rsidR="00FD0C23" w:rsidRPr="004F4153" w:rsidRDefault="006C7636" w:rsidP="00FD0C23">
      <w:pPr>
        <w:rPr>
          <w:rFonts w:ascii="Arial" w:hAnsi="Arial" w:cs="Arial"/>
          <w:sz w:val="22"/>
          <w:szCs w:val="22"/>
        </w:rPr>
      </w:pPr>
      <w:r w:rsidRPr="004F4153">
        <w:rPr>
          <w:rFonts w:ascii="Arial" w:hAnsi="Arial" w:cs="Arial"/>
          <w:sz w:val="22"/>
          <w:szCs w:val="22"/>
        </w:rPr>
        <w:t>E</w:t>
      </w:r>
      <w:r w:rsidR="00FD0C23" w:rsidRPr="004F4153">
        <w:rPr>
          <w:rFonts w:ascii="Arial" w:hAnsi="Arial" w:cs="Arial"/>
          <w:sz w:val="22"/>
          <w:szCs w:val="22"/>
        </w:rPr>
        <w:t>l artículo 115 numeral 1, fracciones II y XXXVIII</w:t>
      </w:r>
      <w:r w:rsidR="000841BB" w:rsidRPr="004F4153">
        <w:rPr>
          <w:rFonts w:ascii="Arial" w:hAnsi="Arial" w:cs="Arial"/>
          <w:sz w:val="22"/>
          <w:szCs w:val="22"/>
        </w:rPr>
        <w:t>, y numeral 2</w:t>
      </w:r>
      <w:r w:rsidR="00FD0C23" w:rsidRPr="004F4153">
        <w:rPr>
          <w:rFonts w:ascii="Arial" w:hAnsi="Arial" w:cs="Arial"/>
          <w:sz w:val="22"/>
          <w:szCs w:val="22"/>
        </w:rPr>
        <w:t xml:space="preserve"> de la Ley Electoral establece que, corresponde al Consejo Estatal vigilar y supervisar la oportuna integración, instalación y adecuado funcionamiento de los órganos distritales del Instituto; aprobar y expedir los reglamentos internos necesarios, para el debido ejercicio de las facultades y atribuciones del Instituto Estatal</w:t>
      </w:r>
      <w:r w:rsidR="000841BB" w:rsidRPr="004F4153">
        <w:rPr>
          <w:rFonts w:ascii="Arial" w:hAnsi="Arial" w:cs="Arial"/>
          <w:sz w:val="22"/>
          <w:szCs w:val="22"/>
        </w:rPr>
        <w:t>; que derivado de caso fortuito o causa de fuerza mayor; o en situaciones de falta o insuficiencia de previsión normativa o reglamentaria, el Consejo Estatal podrá dictar los acuerdos necesarios, o celebrar los convenios que resulten pertinentes para garantizar el oportuno y adecuado cumplimiento de las funciones que corresponda; siempre en apego a sus facultades y a los principios rectores de la función electoral.</w:t>
      </w:r>
    </w:p>
    <w:p w14:paraId="39AC0060" w14:textId="2BA67BAC" w:rsidR="00AC7FA5" w:rsidRPr="004F4153" w:rsidRDefault="00AC7FA5" w:rsidP="004F4153">
      <w:pPr>
        <w:pStyle w:val="Ttulo2"/>
        <w:numPr>
          <w:ilvl w:val="1"/>
          <w:numId w:val="14"/>
        </w:numPr>
        <w:tabs>
          <w:tab w:val="left" w:pos="284"/>
          <w:tab w:val="left" w:pos="426"/>
        </w:tabs>
        <w:ind w:left="0" w:firstLine="0"/>
        <w:rPr>
          <w:rFonts w:ascii="Arial" w:hAnsi="Arial" w:cs="Arial"/>
          <w:sz w:val="22"/>
          <w:szCs w:val="22"/>
        </w:rPr>
      </w:pPr>
      <w:r w:rsidRPr="004F4153">
        <w:rPr>
          <w:rFonts w:ascii="Arial" w:hAnsi="Arial" w:cs="Arial"/>
          <w:sz w:val="22"/>
          <w:szCs w:val="22"/>
        </w:rPr>
        <w:t>Principios aplicables en materia de archivo</w:t>
      </w:r>
    </w:p>
    <w:p w14:paraId="181A07DA" w14:textId="5D5D39DE" w:rsidR="00AC7FA5" w:rsidRPr="004F4153" w:rsidRDefault="00AC7FA5" w:rsidP="00AC7FA5">
      <w:pPr>
        <w:rPr>
          <w:rFonts w:ascii="Arial" w:hAnsi="Arial" w:cs="Arial"/>
          <w:sz w:val="22"/>
          <w:szCs w:val="22"/>
        </w:rPr>
      </w:pPr>
      <w:r w:rsidRPr="004F4153">
        <w:rPr>
          <w:rFonts w:ascii="Arial" w:hAnsi="Arial" w:cs="Arial"/>
          <w:sz w:val="22"/>
          <w:szCs w:val="22"/>
        </w:rPr>
        <w:t>Los artículos 5 de la Ley General; y, 5 de la Ley de Archivos, establecen los principios rectores para los sujetos obligados, los cuales son:</w:t>
      </w:r>
    </w:p>
    <w:p w14:paraId="0609DE1B" w14:textId="77777777" w:rsidR="00AC7FA5" w:rsidRPr="004F4153" w:rsidRDefault="00AC7FA5" w:rsidP="00AC7FA5">
      <w:pPr>
        <w:pStyle w:val="Prrafodelista"/>
        <w:numPr>
          <w:ilvl w:val="0"/>
          <w:numId w:val="8"/>
        </w:numPr>
        <w:ind w:left="426" w:hanging="426"/>
        <w:rPr>
          <w:rFonts w:ascii="Arial" w:hAnsi="Arial" w:cs="Arial"/>
          <w:sz w:val="22"/>
          <w:szCs w:val="22"/>
        </w:rPr>
      </w:pPr>
      <w:r w:rsidRPr="004F4153">
        <w:rPr>
          <w:rFonts w:ascii="Arial" w:hAnsi="Arial" w:cs="Arial"/>
          <w:b/>
          <w:bCs/>
          <w:sz w:val="22"/>
          <w:szCs w:val="22"/>
        </w:rPr>
        <w:t>Conservación:</w:t>
      </w:r>
      <w:r w:rsidRPr="004F4153">
        <w:rPr>
          <w:rFonts w:ascii="Arial" w:hAnsi="Arial" w:cs="Arial"/>
          <w:sz w:val="22"/>
          <w:szCs w:val="22"/>
        </w:rPr>
        <w:t xml:space="preserve"> Adoptar las medidas de índole técnica, administrativa, ambiental y tecnológica, para la adecuada preservación de los documentos de archivo; </w:t>
      </w:r>
    </w:p>
    <w:p w14:paraId="08BCA51C" w14:textId="77777777" w:rsidR="00AC7FA5" w:rsidRPr="004F4153" w:rsidRDefault="00AC7FA5" w:rsidP="00AC7FA5">
      <w:pPr>
        <w:pStyle w:val="Prrafodelista"/>
        <w:numPr>
          <w:ilvl w:val="0"/>
          <w:numId w:val="8"/>
        </w:numPr>
        <w:ind w:left="426" w:hanging="426"/>
        <w:rPr>
          <w:rFonts w:ascii="Arial" w:hAnsi="Arial" w:cs="Arial"/>
          <w:sz w:val="22"/>
          <w:szCs w:val="22"/>
        </w:rPr>
      </w:pPr>
      <w:r w:rsidRPr="004F4153">
        <w:rPr>
          <w:rFonts w:ascii="Arial" w:hAnsi="Arial" w:cs="Arial"/>
          <w:b/>
          <w:bCs/>
          <w:sz w:val="22"/>
          <w:szCs w:val="22"/>
        </w:rPr>
        <w:t>Procedencia:</w:t>
      </w:r>
      <w:r w:rsidRPr="004F4153">
        <w:rPr>
          <w:rFonts w:ascii="Arial" w:hAnsi="Arial" w:cs="Arial"/>
          <w:sz w:val="22"/>
          <w:szCs w:val="22"/>
        </w:rPr>
        <w:t xml:space="preserve"> Conservar el origen de cada fondo documental producido por los sujetos obligados, para distinguirlo de otros fondos semejantes y respetar el orden interno de las series documentales en el desarrollo de su actividad institucional;</w:t>
      </w:r>
    </w:p>
    <w:p w14:paraId="73CC73DA" w14:textId="77777777" w:rsidR="00AC7FA5" w:rsidRPr="004F4153" w:rsidRDefault="00AC7FA5" w:rsidP="00AC7FA5">
      <w:pPr>
        <w:pStyle w:val="Prrafodelista"/>
        <w:numPr>
          <w:ilvl w:val="0"/>
          <w:numId w:val="8"/>
        </w:numPr>
        <w:ind w:left="426" w:hanging="426"/>
        <w:rPr>
          <w:rFonts w:ascii="Arial" w:hAnsi="Arial" w:cs="Arial"/>
          <w:sz w:val="22"/>
          <w:szCs w:val="22"/>
        </w:rPr>
      </w:pPr>
      <w:r w:rsidRPr="004F4153">
        <w:rPr>
          <w:rFonts w:ascii="Arial" w:hAnsi="Arial" w:cs="Arial"/>
          <w:b/>
          <w:bCs/>
          <w:sz w:val="22"/>
          <w:szCs w:val="22"/>
        </w:rPr>
        <w:t xml:space="preserve">Integridad: </w:t>
      </w:r>
      <w:r w:rsidRPr="004F4153">
        <w:rPr>
          <w:rFonts w:ascii="Arial" w:hAnsi="Arial" w:cs="Arial"/>
          <w:sz w:val="22"/>
          <w:szCs w:val="22"/>
        </w:rPr>
        <w:t xml:space="preserve">Garantizar que los documentos de archivo sean completos y veraces para reflejar con exactitud la información contenida; </w:t>
      </w:r>
    </w:p>
    <w:p w14:paraId="7956B6F1" w14:textId="77777777" w:rsidR="00AC7FA5" w:rsidRPr="004F4153" w:rsidRDefault="00AC7FA5" w:rsidP="00AC7FA5">
      <w:pPr>
        <w:pStyle w:val="Prrafodelista"/>
        <w:numPr>
          <w:ilvl w:val="0"/>
          <w:numId w:val="8"/>
        </w:numPr>
        <w:ind w:left="426" w:hanging="426"/>
        <w:rPr>
          <w:rFonts w:ascii="Arial" w:hAnsi="Arial" w:cs="Arial"/>
          <w:sz w:val="22"/>
          <w:szCs w:val="22"/>
        </w:rPr>
      </w:pPr>
      <w:r w:rsidRPr="004F4153">
        <w:rPr>
          <w:rFonts w:ascii="Arial" w:hAnsi="Arial" w:cs="Arial"/>
          <w:b/>
          <w:bCs/>
          <w:sz w:val="22"/>
          <w:szCs w:val="22"/>
        </w:rPr>
        <w:t>Disponibilidad:</w:t>
      </w:r>
      <w:r w:rsidRPr="004F4153">
        <w:rPr>
          <w:rFonts w:ascii="Arial" w:hAnsi="Arial" w:cs="Arial"/>
          <w:sz w:val="22"/>
          <w:szCs w:val="22"/>
        </w:rPr>
        <w:t xml:space="preserve"> Adoptar medidas pertinentes para la localización expedita de los documentos de archivo; y,</w:t>
      </w:r>
    </w:p>
    <w:p w14:paraId="137F7780" w14:textId="14F0EA3C" w:rsidR="00AC7FA5" w:rsidRPr="004F4153" w:rsidRDefault="00AC7FA5" w:rsidP="00AC7FA5">
      <w:pPr>
        <w:pStyle w:val="Prrafodelista"/>
        <w:numPr>
          <w:ilvl w:val="0"/>
          <w:numId w:val="8"/>
        </w:numPr>
        <w:ind w:left="426" w:hanging="426"/>
        <w:rPr>
          <w:rFonts w:ascii="Arial" w:hAnsi="Arial" w:cs="Arial"/>
          <w:sz w:val="22"/>
          <w:szCs w:val="22"/>
        </w:rPr>
      </w:pPr>
      <w:r w:rsidRPr="004F4153">
        <w:rPr>
          <w:rFonts w:ascii="Arial" w:hAnsi="Arial" w:cs="Arial"/>
          <w:b/>
          <w:bCs/>
          <w:sz w:val="22"/>
          <w:szCs w:val="22"/>
        </w:rPr>
        <w:t>Accesibilidad:</w:t>
      </w:r>
      <w:r w:rsidRPr="004F4153">
        <w:rPr>
          <w:rFonts w:ascii="Arial" w:hAnsi="Arial" w:cs="Arial"/>
          <w:sz w:val="22"/>
          <w:szCs w:val="22"/>
        </w:rPr>
        <w:t xml:space="preserve"> Garantizar el acceso a la consulta de los archivos de acuerdo con esta Ley y las disposiciones jurídicas aplicables.</w:t>
      </w:r>
    </w:p>
    <w:p w14:paraId="1C994737" w14:textId="68202183" w:rsidR="00FD0C23" w:rsidRPr="004F4153" w:rsidRDefault="001F46E9" w:rsidP="004F4153">
      <w:pPr>
        <w:pStyle w:val="Ttulo2"/>
        <w:numPr>
          <w:ilvl w:val="1"/>
          <w:numId w:val="14"/>
        </w:numPr>
        <w:tabs>
          <w:tab w:val="left" w:pos="284"/>
          <w:tab w:val="left" w:pos="426"/>
        </w:tabs>
        <w:ind w:left="0" w:firstLine="0"/>
        <w:rPr>
          <w:rFonts w:ascii="Arial" w:hAnsi="Arial" w:cs="Arial"/>
          <w:sz w:val="22"/>
          <w:szCs w:val="22"/>
        </w:rPr>
      </w:pPr>
      <w:r w:rsidRPr="004F4153">
        <w:rPr>
          <w:rFonts w:ascii="Arial" w:hAnsi="Arial" w:cs="Arial"/>
          <w:sz w:val="22"/>
          <w:szCs w:val="22"/>
        </w:rPr>
        <w:t>Gestión documental y administración de archivos</w:t>
      </w:r>
    </w:p>
    <w:p w14:paraId="3F4DD2A3" w14:textId="052ABC65" w:rsidR="00FD0C23" w:rsidRDefault="001F46E9" w:rsidP="00FD0C23">
      <w:pPr>
        <w:rPr>
          <w:rFonts w:ascii="Arial" w:hAnsi="Arial" w:cs="Arial"/>
          <w:sz w:val="22"/>
          <w:szCs w:val="22"/>
        </w:rPr>
      </w:pPr>
      <w:r w:rsidRPr="004F4153">
        <w:rPr>
          <w:rFonts w:ascii="Arial" w:hAnsi="Arial" w:cs="Arial"/>
          <w:sz w:val="22"/>
          <w:szCs w:val="22"/>
        </w:rPr>
        <w:t xml:space="preserve">De acuerdo con lo establecido por los artículos 4 fracción LVI, 7, 10 párrafo primero, y 11 fracciones I y II de la Ley General, </w:t>
      </w:r>
      <w:r w:rsidR="00CC65F7" w:rsidRPr="004F4153">
        <w:rPr>
          <w:rFonts w:ascii="Arial" w:hAnsi="Arial" w:cs="Arial"/>
          <w:sz w:val="22"/>
          <w:szCs w:val="22"/>
        </w:rPr>
        <w:t xml:space="preserve">así como los artículos 4 fracción LI, 7, 10 párrafo primero, y 11 fracciones I y II de la Ley de Archivos, </w:t>
      </w:r>
      <w:r w:rsidRPr="004F4153">
        <w:rPr>
          <w:rFonts w:ascii="Arial" w:hAnsi="Arial" w:cs="Arial"/>
          <w:sz w:val="22"/>
          <w:szCs w:val="22"/>
        </w:rPr>
        <w:t>son sujetos obligados, entre otros, los órganos autónomos</w:t>
      </w:r>
      <w:r w:rsidR="0073462D" w:rsidRPr="004F4153">
        <w:rPr>
          <w:rFonts w:ascii="Arial" w:hAnsi="Arial" w:cs="Arial"/>
          <w:sz w:val="22"/>
          <w:szCs w:val="22"/>
        </w:rPr>
        <w:t xml:space="preserve">, </w:t>
      </w:r>
      <w:r w:rsidR="00CC65F7" w:rsidRPr="004F4153">
        <w:rPr>
          <w:rFonts w:ascii="Arial" w:hAnsi="Arial" w:cs="Arial"/>
          <w:sz w:val="22"/>
          <w:szCs w:val="22"/>
        </w:rPr>
        <w:t xml:space="preserve">quienes </w:t>
      </w:r>
      <w:r w:rsidR="0073462D" w:rsidRPr="004F4153">
        <w:rPr>
          <w:rFonts w:ascii="Arial" w:hAnsi="Arial" w:cs="Arial"/>
          <w:sz w:val="22"/>
          <w:szCs w:val="22"/>
        </w:rPr>
        <w:t xml:space="preserve">deberán producir, registrar, organizar y conservar los documentos de archivo sobre todo acto que derive del ejercicio de sus facultades, </w:t>
      </w:r>
      <w:r w:rsidR="0073462D" w:rsidRPr="004F4153">
        <w:rPr>
          <w:rFonts w:ascii="Arial" w:hAnsi="Arial" w:cs="Arial"/>
          <w:sz w:val="22"/>
          <w:szCs w:val="22"/>
        </w:rPr>
        <w:lastRenderedPageBreak/>
        <w:t>competencias o funciones, al ser responsables de organizar y conservar sus archivos.</w:t>
      </w:r>
      <w:r w:rsidR="00CC65F7" w:rsidRPr="004F4153">
        <w:rPr>
          <w:rFonts w:ascii="Arial" w:hAnsi="Arial" w:cs="Arial"/>
          <w:sz w:val="22"/>
          <w:szCs w:val="22"/>
        </w:rPr>
        <w:t xml:space="preserve"> Dentro de sus obligaciones tiene</w:t>
      </w:r>
      <w:r w:rsidR="0073462D" w:rsidRPr="004F4153">
        <w:rPr>
          <w:rFonts w:ascii="Arial" w:hAnsi="Arial" w:cs="Arial"/>
          <w:sz w:val="22"/>
          <w:szCs w:val="22"/>
        </w:rPr>
        <w:t>n</w:t>
      </w:r>
      <w:r w:rsidR="00CC65F7" w:rsidRPr="004F4153">
        <w:rPr>
          <w:rFonts w:ascii="Arial" w:hAnsi="Arial" w:cs="Arial"/>
          <w:sz w:val="22"/>
          <w:szCs w:val="22"/>
        </w:rPr>
        <w:t xml:space="preserve"> la</w:t>
      </w:r>
      <w:r w:rsidR="0073462D" w:rsidRPr="004F4153">
        <w:rPr>
          <w:rFonts w:ascii="Arial" w:hAnsi="Arial" w:cs="Arial"/>
          <w:sz w:val="22"/>
          <w:szCs w:val="22"/>
        </w:rPr>
        <w:t xml:space="preserve"> de administrar, organizar, y conservar de manera homogénea los documentos de archivo que produzcan, reciban, obtengan, adquieran, transformen o posean, de acuerdo con los estándares y principios en materia archivística y los términos de dicha Ley y demás disposiciones jurídicas aplicables; así como la de establecer un sistema institucional para la administración de sus archivos y llevar a cabo los procesos de gestión documental.</w:t>
      </w:r>
    </w:p>
    <w:p w14:paraId="0C50A876" w14:textId="05DA10A0" w:rsidR="00FD0C23" w:rsidRPr="004F4153" w:rsidRDefault="00F0722F" w:rsidP="004F4153">
      <w:pPr>
        <w:pStyle w:val="Ttulo2"/>
        <w:numPr>
          <w:ilvl w:val="1"/>
          <w:numId w:val="14"/>
        </w:numPr>
        <w:spacing w:before="0" w:after="0"/>
        <w:ind w:left="0" w:firstLine="0"/>
        <w:rPr>
          <w:rFonts w:ascii="Arial" w:hAnsi="Arial" w:cs="Arial"/>
          <w:sz w:val="22"/>
          <w:szCs w:val="22"/>
        </w:rPr>
      </w:pPr>
      <w:r w:rsidRPr="004F4153">
        <w:rPr>
          <w:rFonts w:ascii="Arial" w:hAnsi="Arial" w:cs="Arial"/>
          <w:sz w:val="22"/>
          <w:szCs w:val="22"/>
        </w:rPr>
        <w:t>Coordinación de Archivo</w:t>
      </w:r>
    </w:p>
    <w:p w14:paraId="0D5B749D" w14:textId="50429FBA" w:rsidR="00FD0C23" w:rsidRPr="004F4153" w:rsidRDefault="000841BB" w:rsidP="00FD0C23">
      <w:pPr>
        <w:rPr>
          <w:rFonts w:ascii="Arial" w:hAnsi="Arial" w:cs="Arial"/>
          <w:sz w:val="22"/>
          <w:szCs w:val="22"/>
        </w:rPr>
      </w:pPr>
      <w:r w:rsidRPr="004F4153">
        <w:rPr>
          <w:rFonts w:ascii="Arial" w:hAnsi="Arial" w:cs="Arial"/>
          <w:sz w:val="22"/>
          <w:szCs w:val="22"/>
        </w:rPr>
        <w:t>Acorde a lo establecido en</w:t>
      </w:r>
      <w:r w:rsidR="007F3A2F" w:rsidRPr="004F4153">
        <w:rPr>
          <w:rFonts w:ascii="Arial" w:hAnsi="Arial" w:cs="Arial"/>
          <w:sz w:val="22"/>
          <w:szCs w:val="22"/>
        </w:rPr>
        <w:t xml:space="preserve"> los</w:t>
      </w:r>
      <w:r w:rsidRPr="004F4153">
        <w:rPr>
          <w:rFonts w:ascii="Arial" w:hAnsi="Arial" w:cs="Arial"/>
          <w:sz w:val="22"/>
          <w:szCs w:val="22"/>
        </w:rPr>
        <w:t xml:space="preserve"> artículo</w:t>
      </w:r>
      <w:r w:rsidR="007F3A2F" w:rsidRPr="004F4153">
        <w:rPr>
          <w:rFonts w:ascii="Arial" w:hAnsi="Arial" w:cs="Arial"/>
          <w:sz w:val="22"/>
          <w:szCs w:val="22"/>
        </w:rPr>
        <w:t>s 21 fracción I de la Ley General; y,</w:t>
      </w:r>
      <w:r w:rsidRPr="004F4153">
        <w:rPr>
          <w:rFonts w:ascii="Arial" w:hAnsi="Arial" w:cs="Arial"/>
          <w:sz w:val="22"/>
          <w:szCs w:val="22"/>
        </w:rPr>
        <w:t xml:space="preserve"> 25 fracción XX del Reglamento Interior del Instituto, </w:t>
      </w:r>
      <w:r w:rsidR="007F3A2F" w:rsidRPr="004F4153">
        <w:rPr>
          <w:rFonts w:ascii="Arial" w:hAnsi="Arial" w:cs="Arial"/>
          <w:sz w:val="22"/>
          <w:szCs w:val="22"/>
        </w:rPr>
        <w:t xml:space="preserve">el sistema institucional de archivos de cada sujeto obligado deberá integrarse, entre otras áreas, por un área coordinadora de archivos. En el caso del Instituto, dicha área es la Coordinación de Archivos, y </w:t>
      </w:r>
      <w:r w:rsidRPr="004F4153">
        <w:rPr>
          <w:rFonts w:ascii="Arial" w:hAnsi="Arial" w:cs="Arial"/>
          <w:sz w:val="22"/>
          <w:szCs w:val="22"/>
        </w:rPr>
        <w:t xml:space="preserve">es una de </w:t>
      </w:r>
      <w:r w:rsidR="007F3A2F" w:rsidRPr="004F4153">
        <w:rPr>
          <w:rFonts w:ascii="Arial" w:hAnsi="Arial" w:cs="Arial"/>
          <w:sz w:val="22"/>
          <w:szCs w:val="22"/>
        </w:rPr>
        <w:t>sus</w:t>
      </w:r>
      <w:r w:rsidRPr="004F4153">
        <w:rPr>
          <w:rFonts w:ascii="Arial" w:hAnsi="Arial" w:cs="Arial"/>
          <w:sz w:val="22"/>
          <w:szCs w:val="22"/>
        </w:rPr>
        <w:t xml:space="preserve"> obligaciones y atribuciones</w:t>
      </w:r>
      <w:r w:rsidR="002A26DD" w:rsidRPr="004F4153">
        <w:rPr>
          <w:rFonts w:ascii="Arial" w:hAnsi="Arial" w:cs="Arial"/>
          <w:sz w:val="22"/>
          <w:szCs w:val="22"/>
        </w:rPr>
        <w:t xml:space="preserve">, coordinar el funcionamiento </w:t>
      </w:r>
      <w:r w:rsidR="00127471" w:rsidRPr="004F4153">
        <w:rPr>
          <w:rFonts w:ascii="Arial" w:hAnsi="Arial" w:cs="Arial"/>
          <w:sz w:val="22"/>
          <w:szCs w:val="22"/>
        </w:rPr>
        <w:t>de la Unidad de Correspondencia designando</w:t>
      </w:r>
      <w:r w:rsidR="00CC65F7" w:rsidRPr="004F4153">
        <w:rPr>
          <w:rFonts w:ascii="Arial" w:hAnsi="Arial" w:cs="Arial"/>
          <w:sz w:val="22"/>
          <w:szCs w:val="22"/>
        </w:rPr>
        <w:t>,</w:t>
      </w:r>
      <w:r w:rsidR="00127471" w:rsidRPr="004F4153">
        <w:rPr>
          <w:rFonts w:ascii="Arial" w:hAnsi="Arial" w:cs="Arial"/>
          <w:sz w:val="22"/>
          <w:szCs w:val="22"/>
        </w:rPr>
        <w:t xml:space="preserve"> en procesos electorales o cuando se trate de plazos judiciales, los horarios y al personal que deberá cubrir las guardias que se requieran para tal efecto.</w:t>
      </w:r>
    </w:p>
    <w:p w14:paraId="089551ED" w14:textId="2B1DC4E0" w:rsidR="00FD0C23" w:rsidRPr="004F4153" w:rsidRDefault="00127471" w:rsidP="004F4153">
      <w:pPr>
        <w:pStyle w:val="Ttulo2"/>
        <w:numPr>
          <w:ilvl w:val="1"/>
          <w:numId w:val="14"/>
        </w:numPr>
        <w:ind w:left="0" w:firstLine="0"/>
        <w:rPr>
          <w:rFonts w:ascii="Arial" w:hAnsi="Arial" w:cs="Arial"/>
          <w:sz w:val="22"/>
          <w:szCs w:val="22"/>
        </w:rPr>
      </w:pPr>
      <w:r w:rsidRPr="004F4153">
        <w:rPr>
          <w:rFonts w:ascii="Arial" w:hAnsi="Arial" w:cs="Arial"/>
          <w:sz w:val="22"/>
          <w:szCs w:val="22"/>
        </w:rPr>
        <w:t>Unidad de Correspondencia</w:t>
      </w:r>
    </w:p>
    <w:p w14:paraId="640A7EDA" w14:textId="500DEA66" w:rsidR="00127471" w:rsidRPr="004F4153" w:rsidRDefault="00127471" w:rsidP="00AC3229">
      <w:pPr>
        <w:rPr>
          <w:rFonts w:ascii="Arial" w:hAnsi="Arial" w:cs="Arial"/>
          <w:sz w:val="22"/>
          <w:szCs w:val="22"/>
        </w:rPr>
      </w:pPr>
      <w:r w:rsidRPr="004F4153">
        <w:rPr>
          <w:rFonts w:ascii="Arial" w:hAnsi="Arial" w:cs="Arial"/>
          <w:sz w:val="22"/>
          <w:szCs w:val="22"/>
        </w:rPr>
        <w:t xml:space="preserve">Según </w:t>
      </w:r>
      <w:r w:rsidR="007F3A2F" w:rsidRPr="004F4153">
        <w:rPr>
          <w:rFonts w:ascii="Arial" w:hAnsi="Arial" w:cs="Arial"/>
          <w:sz w:val="22"/>
          <w:szCs w:val="22"/>
        </w:rPr>
        <w:t>los</w:t>
      </w:r>
      <w:r w:rsidRPr="004F4153">
        <w:rPr>
          <w:rFonts w:ascii="Arial" w:hAnsi="Arial" w:cs="Arial"/>
          <w:sz w:val="22"/>
          <w:szCs w:val="22"/>
        </w:rPr>
        <w:t xml:space="preserve"> artículo</w:t>
      </w:r>
      <w:r w:rsidR="007F3A2F" w:rsidRPr="004F4153">
        <w:rPr>
          <w:rFonts w:ascii="Arial" w:hAnsi="Arial" w:cs="Arial"/>
          <w:sz w:val="22"/>
          <w:szCs w:val="22"/>
        </w:rPr>
        <w:t>s 21 fracción II inciso a) de la Ley General; y,</w:t>
      </w:r>
      <w:r w:rsidRPr="004F4153">
        <w:rPr>
          <w:rFonts w:ascii="Arial" w:hAnsi="Arial" w:cs="Arial"/>
          <w:sz w:val="22"/>
          <w:szCs w:val="22"/>
        </w:rPr>
        <w:t xml:space="preserve"> 8 </w:t>
      </w:r>
      <w:r w:rsidR="00BB4F3D" w:rsidRPr="004F4153">
        <w:rPr>
          <w:rFonts w:ascii="Arial" w:hAnsi="Arial" w:cs="Arial"/>
          <w:sz w:val="22"/>
          <w:szCs w:val="22"/>
        </w:rPr>
        <w:t>numeral</w:t>
      </w:r>
      <w:r w:rsidRPr="004F4153">
        <w:rPr>
          <w:rFonts w:ascii="Arial" w:hAnsi="Arial" w:cs="Arial"/>
          <w:sz w:val="22"/>
          <w:szCs w:val="22"/>
        </w:rPr>
        <w:t xml:space="preserve"> 1 y 2 del Reglamento para la Organización y Conservación del Archivo del Instituto, </w:t>
      </w:r>
      <w:r w:rsidR="007F3A2F" w:rsidRPr="004F4153">
        <w:rPr>
          <w:rFonts w:ascii="Arial" w:hAnsi="Arial" w:cs="Arial"/>
          <w:sz w:val="22"/>
          <w:szCs w:val="22"/>
        </w:rPr>
        <w:t>el sistema institucional de archivos de cada sujeto obligado deberá integrarse, entre otras áreas operativas, por una de correspondencia. En el caso del Instituto, ésta co</w:t>
      </w:r>
      <w:r w:rsidR="00693BFC" w:rsidRPr="004F4153">
        <w:rPr>
          <w:rFonts w:ascii="Arial" w:hAnsi="Arial" w:cs="Arial"/>
          <w:sz w:val="22"/>
          <w:szCs w:val="22"/>
        </w:rPr>
        <w:t>ncierne</w:t>
      </w:r>
      <w:r w:rsidR="007F3A2F" w:rsidRPr="004F4153">
        <w:rPr>
          <w:rFonts w:ascii="Arial" w:hAnsi="Arial" w:cs="Arial"/>
          <w:sz w:val="22"/>
          <w:szCs w:val="22"/>
        </w:rPr>
        <w:t xml:space="preserve"> a </w:t>
      </w:r>
      <w:r w:rsidRPr="004F4153">
        <w:rPr>
          <w:rFonts w:ascii="Arial" w:hAnsi="Arial" w:cs="Arial"/>
          <w:sz w:val="22"/>
          <w:szCs w:val="22"/>
        </w:rPr>
        <w:t>la Unidad de Correspondencia</w:t>
      </w:r>
      <w:r w:rsidR="007F3A2F" w:rsidRPr="004F4153">
        <w:rPr>
          <w:rFonts w:ascii="Arial" w:hAnsi="Arial" w:cs="Arial"/>
          <w:sz w:val="22"/>
          <w:szCs w:val="22"/>
        </w:rPr>
        <w:t xml:space="preserve">, </w:t>
      </w:r>
      <w:r w:rsidR="00CC65F7" w:rsidRPr="004F4153">
        <w:rPr>
          <w:rFonts w:ascii="Arial" w:hAnsi="Arial" w:cs="Arial"/>
          <w:sz w:val="22"/>
          <w:szCs w:val="22"/>
        </w:rPr>
        <w:t xml:space="preserve">la cual </w:t>
      </w:r>
      <w:r w:rsidR="007F3A2F" w:rsidRPr="004F4153">
        <w:rPr>
          <w:rFonts w:ascii="Arial" w:hAnsi="Arial" w:cs="Arial"/>
          <w:sz w:val="22"/>
          <w:szCs w:val="22"/>
        </w:rPr>
        <w:t xml:space="preserve">es </w:t>
      </w:r>
      <w:r w:rsidRPr="004F4153">
        <w:rPr>
          <w:rFonts w:ascii="Arial" w:hAnsi="Arial" w:cs="Arial"/>
          <w:sz w:val="22"/>
          <w:szCs w:val="22"/>
        </w:rPr>
        <w:t>responsable de la recepción, registro, seguimiento y despacho de la documentación para la integración de los expedientes de los archivos de trámite que se dirija a las áreas o unidades administrativas del Instituto, para lo cual deberá recibir, sellar y registrar la correspondencia externa recibida por escrito o vía electrónica, y turnarla o remitirla de forma inmediata al área o unidad administrativa que corresponda de acuerdo con sus atribuciones.</w:t>
      </w:r>
    </w:p>
    <w:p w14:paraId="2E9A9C15" w14:textId="7E762F2D" w:rsidR="005451F0" w:rsidRPr="004F4153" w:rsidRDefault="00E02F6C" w:rsidP="004F4153">
      <w:pPr>
        <w:pStyle w:val="Ttulo2"/>
        <w:numPr>
          <w:ilvl w:val="1"/>
          <w:numId w:val="14"/>
        </w:numPr>
        <w:ind w:left="0" w:firstLine="0"/>
        <w:rPr>
          <w:rFonts w:ascii="Arial" w:hAnsi="Arial" w:cs="Arial"/>
          <w:sz w:val="22"/>
          <w:szCs w:val="22"/>
        </w:rPr>
      </w:pPr>
      <w:r w:rsidRPr="004F4153">
        <w:rPr>
          <w:rFonts w:ascii="Arial" w:hAnsi="Arial" w:cs="Arial"/>
          <w:sz w:val="22"/>
          <w:szCs w:val="22"/>
        </w:rPr>
        <w:t>Propuesta de Manual</w:t>
      </w:r>
    </w:p>
    <w:p w14:paraId="7BE7EC4E" w14:textId="584342DA" w:rsidR="004149A9" w:rsidRPr="004F4153" w:rsidRDefault="004149A9" w:rsidP="00AC3229">
      <w:pPr>
        <w:rPr>
          <w:rFonts w:ascii="Arial" w:hAnsi="Arial" w:cs="Arial"/>
          <w:sz w:val="22"/>
          <w:szCs w:val="22"/>
          <w:lang w:val="es-MX"/>
        </w:rPr>
      </w:pPr>
      <w:r w:rsidRPr="004F4153">
        <w:rPr>
          <w:rFonts w:ascii="Arial" w:hAnsi="Arial" w:cs="Arial"/>
          <w:sz w:val="22"/>
          <w:szCs w:val="22"/>
        </w:rPr>
        <w:t xml:space="preserve">Con el propósito de establecer las políticas y procedimientos de operación de la Unidad de Correspondencia, como área operativa del Sistema Institucional de Archivos, así como </w:t>
      </w:r>
      <w:r w:rsidRPr="004F4153">
        <w:rPr>
          <w:rFonts w:ascii="Arial" w:hAnsi="Arial" w:cs="Arial"/>
          <w:sz w:val="22"/>
          <w:szCs w:val="22"/>
          <w:lang w:val="es-MX"/>
        </w:rPr>
        <w:t>proporcionar el servicio de recepción, envío y entrega en tiempo y forma de correspondencia y paquetería oficial, interna y externa, de las áreas que integran el Instituto, y para un desempeño de sus funciones y actividades institucionales, la Coordinación de Archivos, en ejercicio de sus facultades, diseñó el Manual</w:t>
      </w:r>
      <w:r w:rsidR="00AC3229" w:rsidRPr="004F4153">
        <w:rPr>
          <w:rFonts w:ascii="Arial" w:hAnsi="Arial" w:cs="Arial"/>
          <w:sz w:val="22"/>
          <w:szCs w:val="22"/>
          <w:lang w:val="es-MX"/>
        </w:rPr>
        <w:t>.</w:t>
      </w:r>
    </w:p>
    <w:p w14:paraId="5A165532" w14:textId="2FFB13C8" w:rsidR="00AC3229" w:rsidRPr="004F4153" w:rsidRDefault="00AC3229" w:rsidP="00AC3229">
      <w:pPr>
        <w:rPr>
          <w:rFonts w:ascii="Arial" w:hAnsi="Arial" w:cs="Arial"/>
          <w:sz w:val="22"/>
          <w:szCs w:val="22"/>
          <w:lang w:val="es-MX"/>
        </w:rPr>
      </w:pPr>
      <w:r w:rsidRPr="004F4153">
        <w:rPr>
          <w:rFonts w:ascii="Arial" w:hAnsi="Arial" w:cs="Arial"/>
          <w:sz w:val="22"/>
          <w:szCs w:val="22"/>
          <w:lang w:val="es-MX"/>
        </w:rPr>
        <w:lastRenderedPageBreak/>
        <w:t>Dicho Manual pretende fungir como herramienta administrativa de observancia general y obligatoria</w:t>
      </w:r>
      <w:r w:rsidR="00CC65F7" w:rsidRPr="004F4153">
        <w:rPr>
          <w:rFonts w:ascii="Arial" w:hAnsi="Arial" w:cs="Arial"/>
          <w:sz w:val="22"/>
          <w:szCs w:val="22"/>
          <w:lang w:val="es-MX"/>
        </w:rPr>
        <w:t xml:space="preserve"> </w:t>
      </w:r>
      <w:r w:rsidRPr="004F4153">
        <w:rPr>
          <w:rFonts w:ascii="Arial" w:hAnsi="Arial" w:cs="Arial"/>
          <w:sz w:val="22"/>
          <w:szCs w:val="22"/>
          <w:lang w:val="es-MX"/>
        </w:rPr>
        <w:t>para la correspondencia que ingrese al Instituto, así como normar y estandarizar la gestión de esta.</w:t>
      </w:r>
    </w:p>
    <w:p w14:paraId="4BAE2C09" w14:textId="191B6830" w:rsidR="00AC3229" w:rsidRPr="004F4153" w:rsidRDefault="00AC3229" w:rsidP="00AC3229">
      <w:pPr>
        <w:rPr>
          <w:rFonts w:ascii="Arial" w:hAnsi="Arial" w:cs="Arial"/>
          <w:sz w:val="22"/>
          <w:szCs w:val="22"/>
          <w:lang w:val="es-MX"/>
        </w:rPr>
      </w:pPr>
      <w:r w:rsidRPr="004F4153">
        <w:rPr>
          <w:rFonts w:ascii="Arial" w:hAnsi="Arial" w:cs="Arial"/>
          <w:sz w:val="22"/>
          <w:szCs w:val="22"/>
          <w:lang w:val="es-MX"/>
        </w:rPr>
        <w:t>Asimismo, el referido documento señala la estructura de la Unidad de Correspondencia y sus funciones.</w:t>
      </w:r>
    </w:p>
    <w:p w14:paraId="67AF4A6A" w14:textId="77777777" w:rsidR="00AC3229" w:rsidRPr="004F4153" w:rsidRDefault="00AC3229" w:rsidP="00AC3229">
      <w:pPr>
        <w:rPr>
          <w:rFonts w:ascii="Arial" w:hAnsi="Arial" w:cs="Arial"/>
          <w:sz w:val="22"/>
          <w:szCs w:val="22"/>
          <w:lang w:val="es-MX"/>
        </w:rPr>
      </w:pPr>
      <w:r w:rsidRPr="004F4153">
        <w:rPr>
          <w:rFonts w:ascii="Arial" w:hAnsi="Arial" w:cs="Arial"/>
          <w:sz w:val="22"/>
          <w:szCs w:val="22"/>
          <w:lang w:val="es-MX"/>
        </w:rPr>
        <w:t>Además, describe el procedimiento de recepción y registro de la documentación a manera de verificar y comprobar que la misma cumpla con los requisitos que señala, el trámite general que deberá seguirse posteriormente, y el trámite especial que deberá dar a los determinados documentos que señala.</w:t>
      </w:r>
    </w:p>
    <w:p w14:paraId="71C1C554" w14:textId="406FBFC6" w:rsidR="00AC3229" w:rsidRPr="004F4153" w:rsidRDefault="00AC3229" w:rsidP="00AC3229">
      <w:pPr>
        <w:rPr>
          <w:rFonts w:ascii="Arial" w:hAnsi="Arial" w:cs="Arial"/>
          <w:sz w:val="22"/>
          <w:szCs w:val="22"/>
          <w:lang w:val="es-MX"/>
        </w:rPr>
      </w:pPr>
      <w:r w:rsidRPr="004F4153">
        <w:rPr>
          <w:rFonts w:ascii="Arial" w:hAnsi="Arial" w:cs="Arial"/>
          <w:sz w:val="22"/>
          <w:szCs w:val="22"/>
          <w:lang w:val="es-MX"/>
        </w:rPr>
        <w:t xml:space="preserve">En </w:t>
      </w:r>
      <w:r w:rsidR="00FD1CE4" w:rsidRPr="004F4153">
        <w:rPr>
          <w:rFonts w:ascii="Arial" w:hAnsi="Arial" w:cs="Arial"/>
          <w:sz w:val="22"/>
          <w:szCs w:val="22"/>
          <w:lang w:val="es-MX"/>
        </w:rPr>
        <w:t>su apartado de</w:t>
      </w:r>
      <w:r w:rsidRPr="004F4153">
        <w:rPr>
          <w:rFonts w:ascii="Arial" w:hAnsi="Arial" w:cs="Arial"/>
          <w:sz w:val="22"/>
          <w:szCs w:val="22"/>
          <w:lang w:val="es-MX"/>
        </w:rPr>
        <w:t xml:space="preserve"> Anexos, se incluye el formato de sello oficial de recepción, el formato de registro automatizado, así como el formato de oficio de remisión a las áreas administrativas</w:t>
      </w:r>
      <w:r w:rsidR="00FD1CE4" w:rsidRPr="004F4153">
        <w:rPr>
          <w:rFonts w:ascii="Arial" w:hAnsi="Arial" w:cs="Arial"/>
          <w:sz w:val="22"/>
          <w:szCs w:val="22"/>
          <w:lang w:val="es-MX"/>
        </w:rPr>
        <w:t xml:space="preserve"> </w:t>
      </w:r>
      <w:proofErr w:type="gramStart"/>
      <w:r w:rsidR="00FD1CE4" w:rsidRPr="004F4153">
        <w:rPr>
          <w:rFonts w:ascii="Arial" w:hAnsi="Arial" w:cs="Arial"/>
          <w:sz w:val="22"/>
          <w:szCs w:val="22"/>
          <w:lang w:val="es-MX"/>
        </w:rPr>
        <w:t>y</w:t>
      </w:r>
      <w:proofErr w:type="gramEnd"/>
      <w:r w:rsidRPr="004F4153">
        <w:rPr>
          <w:rFonts w:ascii="Arial" w:hAnsi="Arial" w:cs="Arial"/>
          <w:sz w:val="22"/>
          <w:szCs w:val="22"/>
          <w:lang w:val="es-MX"/>
        </w:rPr>
        <w:t xml:space="preserve"> además, un flujograma que explica el procedimiento a seguir cuando se reciba correspondencia y/o paquetería institucional.</w:t>
      </w:r>
    </w:p>
    <w:p w14:paraId="23145A0C" w14:textId="585745AB" w:rsidR="005451F0" w:rsidRPr="004F4153" w:rsidRDefault="00AA2F99" w:rsidP="005451F0">
      <w:pPr>
        <w:rPr>
          <w:rFonts w:ascii="Arial" w:hAnsi="Arial" w:cs="Arial"/>
          <w:sz w:val="22"/>
          <w:szCs w:val="22"/>
          <w:lang w:val="es-MX"/>
        </w:rPr>
      </w:pPr>
      <w:r w:rsidRPr="004F4153">
        <w:rPr>
          <w:rFonts w:ascii="Arial" w:hAnsi="Arial" w:cs="Arial"/>
          <w:sz w:val="22"/>
          <w:szCs w:val="22"/>
        </w:rPr>
        <w:t>Con lo anterior, el Instituto pretende dar certeza y claridad de la operación de la Unidad de Correspondencia, así como del procedimiento y tratamiento de la correspondencia que sea recibida en este órgano electoral.</w:t>
      </w:r>
    </w:p>
    <w:p w14:paraId="479C5733" w14:textId="7525471D" w:rsidR="00881A3F" w:rsidRPr="004F4153" w:rsidRDefault="00AA2F99" w:rsidP="00881A3F">
      <w:pPr>
        <w:rPr>
          <w:rFonts w:ascii="Arial" w:hAnsi="Arial" w:cs="Arial"/>
          <w:sz w:val="22"/>
          <w:szCs w:val="22"/>
        </w:rPr>
      </w:pPr>
      <w:r w:rsidRPr="004F4153">
        <w:rPr>
          <w:rFonts w:ascii="Arial" w:hAnsi="Arial" w:cs="Arial"/>
          <w:sz w:val="22"/>
          <w:szCs w:val="22"/>
        </w:rPr>
        <w:t xml:space="preserve">En </w:t>
      </w:r>
      <w:r w:rsidR="00FD1CE4" w:rsidRPr="004F4153">
        <w:rPr>
          <w:rFonts w:ascii="Arial" w:hAnsi="Arial" w:cs="Arial"/>
          <w:sz w:val="22"/>
          <w:szCs w:val="22"/>
        </w:rPr>
        <w:t>atención a los antecedentes y considerandos</w:t>
      </w:r>
      <w:r w:rsidR="00881A3F" w:rsidRPr="004F4153">
        <w:rPr>
          <w:rFonts w:ascii="Arial" w:hAnsi="Arial" w:cs="Arial"/>
          <w:sz w:val="22"/>
          <w:szCs w:val="22"/>
        </w:rPr>
        <w:t>, este Consejo Estatal emite el siguiente:</w:t>
      </w:r>
    </w:p>
    <w:p w14:paraId="53CA2474" w14:textId="3B9BE390" w:rsidR="00881A3F" w:rsidRPr="004F4153" w:rsidRDefault="004F4153" w:rsidP="00FD1CE4">
      <w:pPr>
        <w:pStyle w:val="Ttulo1"/>
        <w:numPr>
          <w:ilvl w:val="0"/>
          <w:numId w:val="0"/>
        </w:numPr>
        <w:ind w:left="432"/>
        <w:rPr>
          <w:rFonts w:ascii="Arial" w:hAnsi="Arial" w:cs="Arial"/>
          <w:sz w:val="24"/>
          <w:szCs w:val="24"/>
        </w:rPr>
      </w:pPr>
      <w:r w:rsidRPr="004F4153">
        <w:rPr>
          <w:rFonts w:ascii="Arial" w:hAnsi="Arial" w:cs="Arial"/>
          <w:sz w:val="24"/>
          <w:szCs w:val="24"/>
        </w:rPr>
        <w:t xml:space="preserve">3 </w:t>
      </w:r>
      <w:r>
        <w:rPr>
          <w:rFonts w:ascii="Arial" w:hAnsi="Arial" w:cs="Arial"/>
          <w:sz w:val="24"/>
          <w:szCs w:val="24"/>
        </w:rPr>
        <w:t>Acuerdo</w:t>
      </w:r>
    </w:p>
    <w:p w14:paraId="1829B980" w14:textId="0A623FCF" w:rsidR="00881A3F" w:rsidRPr="004F4153" w:rsidRDefault="00881A3F" w:rsidP="00881A3F">
      <w:pPr>
        <w:rPr>
          <w:rFonts w:ascii="Arial" w:hAnsi="Arial" w:cs="Arial"/>
          <w:sz w:val="22"/>
          <w:szCs w:val="22"/>
        </w:rPr>
      </w:pPr>
      <w:r w:rsidRPr="004F4153">
        <w:rPr>
          <w:rFonts w:ascii="Arial" w:hAnsi="Arial" w:cs="Arial"/>
          <w:b/>
          <w:bCs/>
          <w:sz w:val="22"/>
          <w:szCs w:val="22"/>
        </w:rPr>
        <w:t>Primero.</w:t>
      </w:r>
      <w:r w:rsidRPr="004F4153">
        <w:rPr>
          <w:rFonts w:ascii="Arial" w:hAnsi="Arial" w:cs="Arial"/>
          <w:sz w:val="22"/>
          <w:szCs w:val="22"/>
        </w:rPr>
        <w:t xml:space="preserve"> Se aprueba el Manual </w:t>
      </w:r>
      <w:r w:rsidR="00EF0C0A" w:rsidRPr="004F4153">
        <w:rPr>
          <w:rFonts w:ascii="Arial" w:hAnsi="Arial" w:cs="Arial"/>
          <w:sz w:val="22"/>
          <w:szCs w:val="22"/>
        </w:rPr>
        <w:t xml:space="preserve">de Procedimientos para la Recepción de Documentos </w:t>
      </w:r>
      <w:r w:rsidRPr="004F4153">
        <w:rPr>
          <w:rFonts w:ascii="Arial" w:hAnsi="Arial" w:cs="Arial"/>
          <w:sz w:val="22"/>
          <w:szCs w:val="22"/>
        </w:rPr>
        <w:t>del Instituto Electoral y de Participación Ciudadana de Tabasco, anexo al presente acuerdo.</w:t>
      </w:r>
    </w:p>
    <w:p w14:paraId="674B42C3" w14:textId="0C41DE86" w:rsidR="00881A3F" w:rsidRPr="004F4153" w:rsidRDefault="00881A3F" w:rsidP="009568C6">
      <w:pPr>
        <w:rPr>
          <w:rFonts w:ascii="Arial" w:hAnsi="Arial" w:cs="Arial"/>
          <w:sz w:val="22"/>
          <w:szCs w:val="22"/>
        </w:rPr>
      </w:pPr>
      <w:r w:rsidRPr="004F4153">
        <w:rPr>
          <w:rFonts w:ascii="Arial" w:hAnsi="Arial" w:cs="Arial"/>
          <w:b/>
          <w:bCs/>
          <w:sz w:val="22"/>
          <w:szCs w:val="22"/>
        </w:rPr>
        <w:t>Segundo.</w:t>
      </w:r>
      <w:r w:rsidRPr="004F4153">
        <w:rPr>
          <w:rFonts w:ascii="Arial" w:hAnsi="Arial" w:cs="Arial"/>
          <w:sz w:val="22"/>
          <w:szCs w:val="22"/>
        </w:rPr>
        <w:t xml:space="preserve"> </w:t>
      </w:r>
      <w:r w:rsidR="00EF0C0A" w:rsidRPr="004F4153">
        <w:rPr>
          <w:rFonts w:ascii="Arial" w:hAnsi="Arial" w:cs="Arial"/>
          <w:sz w:val="22"/>
          <w:szCs w:val="22"/>
        </w:rPr>
        <w:t>El Manual de Procedimientos para la Recepción de Documentos del Instituto Electoral y de Participación Ciudadana de Tabasco entrará en vigor a partir del día siguiente de la aprobación del presente acuerdo.</w:t>
      </w:r>
    </w:p>
    <w:p w14:paraId="15898873" w14:textId="37319BBB" w:rsidR="00881A3F" w:rsidRPr="004F4153" w:rsidRDefault="00881A3F" w:rsidP="00881A3F">
      <w:pPr>
        <w:rPr>
          <w:rFonts w:ascii="Arial" w:hAnsi="Arial" w:cs="Arial"/>
          <w:sz w:val="22"/>
          <w:szCs w:val="22"/>
        </w:rPr>
      </w:pPr>
      <w:r w:rsidRPr="004F4153">
        <w:rPr>
          <w:rFonts w:ascii="Arial" w:hAnsi="Arial" w:cs="Arial"/>
          <w:b/>
          <w:bCs/>
          <w:sz w:val="22"/>
          <w:szCs w:val="22"/>
        </w:rPr>
        <w:t>Tercero.</w:t>
      </w:r>
      <w:r w:rsidRPr="004F4153">
        <w:rPr>
          <w:rFonts w:ascii="Arial" w:hAnsi="Arial" w:cs="Arial"/>
          <w:sz w:val="22"/>
          <w:szCs w:val="22"/>
        </w:rPr>
        <w:t xml:space="preserve"> Se instruye a la Secretaría Ejecutiva de este Instituto para que, por conducto de la Coordinación de Vinculación con el Instituto Nacional Electoral, notifique el presente acuerdo al citado organismo nacional, a través de su Unidad Técnica de Vinculación con los Organismos Públicos Locales, para los efectos correspondientes.</w:t>
      </w:r>
    </w:p>
    <w:p w14:paraId="13395AF9" w14:textId="550E075E" w:rsidR="00881A3F" w:rsidRPr="004F4153" w:rsidRDefault="00EF0C0A" w:rsidP="00881A3F">
      <w:pPr>
        <w:rPr>
          <w:rFonts w:ascii="Arial" w:hAnsi="Arial" w:cs="Arial"/>
          <w:sz w:val="22"/>
          <w:szCs w:val="22"/>
        </w:rPr>
      </w:pPr>
      <w:r w:rsidRPr="004F4153">
        <w:rPr>
          <w:rFonts w:ascii="Arial" w:hAnsi="Arial" w:cs="Arial"/>
          <w:b/>
          <w:bCs/>
          <w:sz w:val="22"/>
          <w:szCs w:val="22"/>
        </w:rPr>
        <w:lastRenderedPageBreak/>
        <w:t>Cuarto</w:t>
      </w:r>
      <w:r w:rsidR="00881A3F" w:rsidRPr="004F4153">
        <w:rPr>
          <w:rFonts w:ascii="Arial" w:hAnsi="Arial" w:cs="Arial"/>
          <w:b/>
          <w:bCs/>
          <w:sz w:val="22"/>
          <w:szCs w:val="22"/>
        </w:rPr>
        <w:t>.</w:t>
      </w:r>
      <w:r w:rsidR="00881A3F" w:rsidRPr="004F4153">
        <w:rPr>
          <w:rFonts w:ascii="Arial" w:hAnsi="Arial" w:cs="Arial"/>
          <w:sz w:val="22"/>
          <w:szCs w:val="22"/>
        </w:rPr>
        <w:t xml:space="preserve"> Publíquese en el Periódico Oficial del Estado, y en la página de internet del Instituto, de conformidad con lo dispuesto en el artículo 114 de la Ley Electoral y de Partidos Políticos del Estado de Tabasco.</w:t>
      </w:r>
    </w:p>
    <w:p w14:paraId="667E8EC3" w14:textId="06959EFE" w:rsidR="00514A2F" w:rsidRPr="004F4153" w:rsidRDefault="00514A2F" w:rsidP="00514A2F">
      <w:pPr>
        <w:spacing w:line="264" w:lineRule="auto"/>
        <w:rPr>
          <w:rFonts w:ascii="Arial" w:hAnsi="Arial" w:cs="Arial"/>
          <w:sz w:val="22"/>
          <w:szCs w:val="22"/>
        </w:rPr>
      </w:pPr>
      <w:r w:rsidRPr="004F4153">
        <w:rPr>
          <w:rFonts w:ascii="Arial" w:hAnsi="Arial" w:cs="Arial"/>
          <w:sz w:val="22"/>
          <w:szCs w:val="22"/>
        </w:rPr>
        <w:t>El presente acuerdo se</w:t>
      </w:r>
      <w:r w:rsidR="004F4153">
        <w:rPr>
          <w:rFonts w:ascii="Arial" w:hAnsi="Arial" w:cs="Arial"/>
          <w:sz w:val="22"/>
          <w:szCs w:val="22"/>
        </w:rPr>
        <w:t xml:space="preserve"> aprobó </w:t>
      </w:r>
      <w:r w:rsidRPr="004F4153">
        <w:rPr>
          <w:rFonts w:ascii="Arial" w:hAnsi="Arial" w:cs="Arial"/>
          <w:sz w:val="22"/>
          <w:szCs w:val="22"/>
        </w:rPr>
        <w:t xml:space="preserve">en sesión </w:t>
      </w:r>
      <w:r w:rsidR="004F4153">
        <w:rPr>
          <w:rFonts w:ascii="Arial" w:hAnsi="Arial" w:cs="Arial"/>
          <w:sz w:val="22"/>
          <w:szCs w:val="22"/>
        </w:rPr>
        <w:t>ordinaria</w:t>
      </w:r>
      <w:r w:rsidRPr="004F4153">
        <w:rPr>
          <w:rFonts w:ascii="Arial" w:hAnsi="Arial" w:cs="Arial"/>
          <w:sz w:val="22"/>
          <w:szCs w:val="22"/>
        </w:rPr>
        <w:t xml:space="preserve"> efectuada el </w:t>
      </w:r>
      <w:r w:rsidR="004F4153">
        <w:rPr>
          <w:rFonts w:ascii="Arial" w:hAnsi="Arial" w:cs="Arial"/>
          <w:sz w:val="22"/>
          <w:szCs w:val="22"/>
        </w:rPr>
        <w:t>día veinticinco</w:t>
      </w:r>
      <w:r w:rsidRPr="004F4153">
        <w:rPr>
          <w:rFonts w:ascii="Arial" w:hAnsi="Arial" w:cs="Arial"/>
          <w:sz w:val="22"/>
          <w:szCs w:val="22"/>
        </w:rPr>
        <w:t xml:space="preserve"> de </w:t>
      </w:r>
      <w:r w:rsidR="004F4153">
        <w:rPr>
          <w:rFonts w:ascii="Arial" w:hAnsi="Arial" w:cs="Arial"/>
          <w:sz w:val="22"/>
          <w:szCs w:val="22"/>
        </w:rPr>
        <w:t>noviembre</w:t>
      </w:r>
      <w:r w:rsidRPr="004F4153">
        <w:rPr>
          <w:rFonts w:ascii="Arial" w:hAnsi="Arial" w:cs="Arial"/>
          <w:sz w:val="22"/>
          <w:szCs w:val="22"/>
        </w:rPr>
        <w:t xml:space="preserve"> del año dos mi</w:t>
      </w:r>
      <w:r w:rsidR="004F4153">
        <w:rPr>
          <w:rFonts w:ascii="Arial" w:hAnsi="Arial" w:cs="Arial"/>
          <w:sz w:val="22"/>
          <w:szCs w:val="22"/>
        </w:rPr>
        <w:t>l veinticinco, por votación unánime</w:t>
      </w:r>
      <w:r w:rsidRPr="004F4153">
        <w:rPr>
          <w:rFonts w:ascii="Arial" w:hAnsi="Arial" w:cs="Arial"/>
          <w:sz w:val="22"/>
          <w:szCs w:val="22"/>
        </w:rPr>
        <w:t xml:space="preserve"> de las y los Consejeros Electorales del Consejo Estatal del Instituto Electoral y de Participación Ciudadana de Tabasco: Licda. María Elvia Magaña Sandoval, </w:t>
      </w:r>
      <w:r w:rsidR="00BB4F3D" w:rsidRPr="004F4153">
        <w:rPr>
          <w:rFonts w:ascii="Arial" w:hAnsi="Arial" w:cs="Arial"/>
          <w:sz w:val="22"/>
          <w:szCs w:val="22"/>
        </w:rPr>
        <w:t>Mtro</w:t>
      </w:r>
      <w:r w:rsidRPr="004F4153">
        <w:rPr>
          <w:rFonts w:ascii="Arial" w:hAnsi="Arial" w:cs="Arial"/>
          <w:sz w:val="22"/>
          <w:szCs w:val="22"/>
        </w:rPr>
        <w:t xml:space="preserve">. Hernán González Sala, Lic. Vladimir Hernández Venegas, Licda. Ángela Guadalupe Araujo Segura, Licda. Monserrat Martínez </w:t>
      </w:r>
      <w:proofErr w:type="spellStart"/>
      <w:r w:rsidRPr="004F4153">
        <w:rPr>
          <w:rFonts w:ascii="Arial" w:hAnsi="Arial" w:cs="Arial"/>
          <w:sz w:val="22"/>
          <w:szCs w:val="22"/>
        </w:rPr>
        <w:t>Beaurregard</w:t>
      </w:r>
      <w:proofErr w:type="spellEnd"/>
      <w:r w:rsidRPr="004F4153">
        <w:rPr>
          <w:rFonts w:ascii="Arial" w:hAnsi="Arial" w:cs="Arial"/>
          <w:sz w:val="22"/>
          <w:szCs w:val="22"/>
        </w:rPr>
        <w:t>, Mtra. Ruth Lizette Toledo Peral y la Consejera Presidenta, Mtra. Elizabeth Nava Gutiérrez.</w:t>
      </w:r>
    </w:p>
    <w:p w14:paraId="1725D525" w14:textId="77777777" w:rsidR="00514A2F" w:rsidRPr="004F4153" w:rsidRDefault="00514A2F" w:rsidP="00514A2F">
      <w:pPr>
        <w:spacing w:line="264" w:lineRule="auto"/>
        <w:rPr>
          <w:rFonts w:ascii="Arial" w:hAnsi="Arial" w:cs="Arial"/>
          <w:sz w:val="22"/>
          <w:szCs w:val="22"/>
        </w:rPr>
      </w:pPr>
    </w:p>
    <w:p w14:paraId="4984FDF2" w14:textId="447DB4E0" w:rsidR="0098572E" w:rsidRDefault="0098572E" w:rsidP="00514A2F">
      <w:pPr>
        <w:spacing w:line="264" w:lineRule="auto"/>
        <w:rPr>
          <w:rFonts w:ascii="Arial" w:hAnsi="Arial" w:cs="Arial"/>
          <w:sz w:val="22"/>
          <w:szCs w:val="22"/>
        </w:rPr>
      </w:pPr>
    </w:p>
    <w:p w14:paraId="2590BE6F" w14:textId="77777777" w:rsidR="004F4153" w:rsidRPr="004F4153" w:rsidRDefault="004F4153" w:rsidP="00514A2F">
      <w:pPr>
        <w:spacing w:line="264" w:lineRule="auto"/>
        <w:rPr>
          <w:rFonts w:ascii="Arial" w:hAnsi="Arial" w:cs="Arial"/>
          <w:sz w:val="22"/>
          <w:szCs w:val="22"/>
        </w:rPr>
      </w:pPr>
    </w:p>
    <w:tbl>
      <w:tblPr>
        <w:tblStyle w:val="Tablaconcuadrcula"/>
        <w:tblW w:w="9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243"/>
        <w:gridCol w:w="4337"/>
      </w:tblGrid>
      <w:tr w:rsidR="00514A2F" w:rsidRPr="004F4153" w14:paraId="3FF2D78A" w14:textId="77777777" w:rsidTr="004F4153">
        <w:trPr>
          <w:trHeight w:val="870"/>
        </w:trPr>
        <w:tc>
          <w:tcPr>
            <w:tcW w:w="4531" w:type="dxa"/>
          </w:tcPr>
          <w:p w14:paraId="216EBA5E" w14:textId="77777777" w:rsidR="00514A2F" w:rsidRPr="004F4153" w:rsidRDefault="00514A2F" w:rsidP="00514A2F">
            <w:pPr>
              <w:spacing w:before="0" w:after="0" w:line="264" w:lineRule="auto"/>
              <w:jc w:val="center"/>
              <w:rPr>
                <w:rFonts w:ascii="Arial" w:hAnsi="Arial" w:cs="Arial"/>
                <w:b/>
                <w:bCs/>
                <w:sz w:val="22"/>
                <w:szCs w:val="22"/>
              </w:rPr>
            </w:pPr>
            <w:r w:rsidRPr="004F4153">
              <w:rPr>
                <w:rFonts w:ascii="Arial" w:hAnsi="Arial" w:cs="Arial"/>
                <w:b/>
                <w:bCs/>
                <w:sz w:val="22"/>
                <w:szCs w:val="22"/>
              </w:rPr>
              <w:t>MTRA. ELIZABETH NAVA GUTIÉRREZ</w:t>
            </w:r>
          </w:p>
          <w:p w14:paraId="2FF07E64" w14:textId="77777777" w:rsidR="00514A2F" w:rsidRPr="004F4153" w:rsidRDefault="00514A2F" w:rsidP="00514A2F">
            <w:pPr>
              <w:spacing w:before="0" w:after="0" w:line="264" w:lineRule="auto"/>
              <w:jc w:val="center"/>
              <w:rPr>
                <w:rFonts w:ascii="Arial" w:hAnsi="Arial" w:cs="Arial"/>
                <w:b/>
                <w:bCs/>
                <w:sz w:val="22"/>
                <w:szCs w:val="22"/>
              </w:rPr>
            </w:pPr>
            <w:r w:rsidRPr="004F4153">
              <w:rPr>
                <w:rFonts w:ascii="Arial" w:hAnsi="Arial" w:cs="Arial"/>
                <w:b/>
                <w:bCs/>
                <w:sz w:val="22"/>
                <w:szCs w:val="22"/>
              </w:rPr>
              <w:t>CONSEJERA PRESIDENTA</w:t>
            </w:r>
          </w:p>
        </w:tc>
        <w:tc>
          <w:tcPr>
            <w:tcW w:w="243" w:type="dxa"/>
          </w:tcPr>
          <w:p w14:paraId="382D9ECA" w14:textId="77777777" w:rsidR="00514A2F" w:rsidRPr="004F4153" w:rsidRDefault="00514A2F" w:rsidP="00514A2F">
            <w:pPr>
              <w:spacing w:before="0" w:after="0" w:line="264" w:lineRule="auto"/>
              <w:rPr>
                <w:rFonts w:ascii="Arial" w:hAnsi="Arial" w:cs="Arial"/>
                <w:b/>
                <w:bCs/>
                <w:sz w:val="22"/>
                <w:szCs w:val="22"/>
              </w:rPr>
            </w:pPr>
          </w:p>
        </w:tc>
        <w:tc>
          <w:tcPr>
            <w:tcW w:w="4337" w:type="dxa"/>
          </w:tcPr>
          <w:p w14:paraId="49318AC4" w14:textId="77777777" w:rsidR="00514A2F" w:rsidRPr="004F4153" w:rsidRDefault="00514A2F" w:rsidP="00514A2F">
            <w:pPr>
              <w:spacing w:before="0" w:after="0" w:line="264" w:lineRule="auto"/>
              <w:jc w:val="center"/>
              <w:rPr>
                <w:rFonts w:ascii="Arial" w:hAnsi="Arial" w:cs="Arial"/>
                <w:b/>
                <w:bCs/>
                <w:sz w:val="22"/>
                <w:szCs w:val="22"/>
              </w:rPr>
            </w:pPr>
            <w:r w:rsidRPr="004F4153">
              <w:rPr>
                <w:rFonts w:ascii="Arial" w:hAnsi="Arial" w:cs="Arial"/>
                <w:b/>
                <w:bCs/>
                <w:sz w:val="22"/>
                <w:szCs w:val="22"/>
              </w:rPr>
              <w:t>LIC. JORGE ALBERTO ZAVALA FRÍAS</w:t>
            </w:r>
          </w:p>
          <w:p w14:paraId="0CA563D0" w14:textId="77777777" w:rsidR="00514A2F" w:rsidRPr="004F4153" w:rsidRDefault="00514A2F" w:rsidP="00514A2F">
            <w:pPr>
              <w:spacing w:before="0" w:after="0" w:line="264" w:lineRule="auto"/>
              <w:jc w:val="center"/>
              <w:rPr>
                <w:rFonts w:ascii="Arial" w:hAnsi="Arial" w:cs="Arial"/>
                <w:b/>
                <w:bCs/>
                <w:sz w:val="22"/>
                <w:szCs w:val="22"/>
              </w:rPr>
            </w:pPr>
            <w:r w:rsidRPr="004F4153">
              <w:rPr>
                <w:rFonts w:ascii="Arial" w:hAnsi="Arial" w:cs="Arial"/>
                <w:b/>
                <w:bCs/>
                <w:sz w:val="22"/>
                <w:szCs w:val="22"/>
              </w:rPr>
              <w:t>SECRETARIO DEL CONSEJO</w:t>
            </w:r>
          </w:p>
        </w:tc>
      </w:tr>
    </w:tbl>
    <w:p w14:paraId="10E619F5" w14:textId="77777777" w:rsidR="00514A2F" w:rsidRPr="004F4153" w:rsidRDefault="00514A2F" w:rsidP="00881A3F">
      <w:pPr>
        <w:rPr>
          <w:rFonts w:ascii="Arial" w:hAnsi="Arial" w:cs="Arial"/>
          <w:sz w:val="22"/>
          <w:szCs w:val="22"/>
        </w:rPr>
      </w:pPr>
    </w:p>
    <w:sectPr w:rsidR="00514A2F" w:rsidRPr="004F4153" w:rsidSect="004F4153">
      <w:headerReference w:type="even" r:id="rId8"/>
      <w:headerReference w:type="default" r:id="rId9"/>
      <w:footerReference w:type="even" r:id="rId10"/>
      <w:footerReference w:type="default" r:id="rId11"/>
      <w:headerReference w:type="first" r:id="rId12"/>
      <w:footerReference w:type="first" r:id="rId13"/>
      <w:pgSz w:w="12240" w:h="15840" w:code="1"/>
      <w:pgMar w:top="1418" w:right="2034" w:bottom="1418" w:left="170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02A91" w14:textId="77777777" w:rsidR="00277B94" w:rsidRDefault="00277B94" w:rsidP="00955A1A">
      <w:pPr>
        <w:spacing w:before="0" w:after="0" w:line="240" w:lineRule="auto"/>
      </w:pPr>
      <w:r>
        <w:separator/>
      </w:r>
    </w:p>
  </w:endnote>
  <w:endnote w:type="continuationSeparator" w:id="0">
    <w:p w14:paraId="3CB25697" w14:textId="77777777" w:rsidR="00277B94" w:rsidRDefault="00277B94" w:rsidP="00955A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8F775E8E-B9F3-4CCB-9C9C-0E2FE9F09782}"/>
    <w:embedBold r:id="rId2" w:fontKey="{83F27AF6-96EE-4A0C-9C19-858700B0B140}"/>
    <w:embedItalic r:id="rId3" w:fontKey="{D91A21A0-7B41-4370-8E9D-42C4C90D5B1E}"/>
  </w:font>
  <w:font w:name="Exo">
    <w:altName w:val="Times New Roman"/>
    <w:charset w:val="00"/>
    <w:family w:val="auto"/>
    <w:pitch w:val="variable"/>
    <w:sig w:usb0="A00000FF" w:usb1="4000204B" w:usb2="00000000" w:usb3="00000000" w:csb0="00000193" w:csb1="00000000"/>
  </w:font>
  <w:font w:name="Aptos Display">
    <w:charset w:val="00"/>
    <w:family w:val="swiss"/>
    <w:pitch w:val="variable"/>
    <w:sig w:usb0="20000287" w:usb1="00000003" w:usb2="00000000" w:usb3="00000000" w:csb0="0000019F" w:csb1="00000000"/>
    <w:embedRegular r:id="rId4" w:fontKey="{7AAD51B0-0BA2-4507-ABF6-E797A00F7FA3}"/>
  </w:font>
  <w:font w:name="Arial">
    <w:panose1 w:val="020B0604020202020204"/>
    <w:charset w:val="00"/>
    <w:family w:val="swiss"/>
    <w:pitch w:val="variable"/>
    <w:sig w:usb0="E0002EFF" w:usb1="C000785B" w:usb2="00000009" w:usb3="00000000" w:csb0="000001F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FBEDE" w14:textId="77777777" w:rsidR="00C41662" w:rsidRDefault="00C4166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color w:val="660033"/>
      </w:rPr>
      <w:id w:val="976040796"/>
      <w:docPartObj>
        <w:docPartGallery w:val="Page Numbers (Bottom of Page)"/>
        <w:docPartUnique/>
      </w:docPartObj>
    </w:sdtPr>
    <w:sdtEndPr>
      <w:rPr>
        <w:szCs w:val="20"/>
      </w:rPr>
    </w:sdtEndPr>
    <w:sdtContent>
      <w:p w14:paraId="761D6EE4" w14:textId="187F51E3" w:rsidR="00955A1A" w:rsidRPr="00EE687D" w:rsidRDefault="00EE687D" w:rsidP="00EE687D">
        <w:pPr>
          <w:pStyle w:val="Piedepgina"/>
          <w:jc w:val="right"/>
          <w:rPr>
            <w:b/>
            <w:bCs/>
            <w:color w:val="660033"/>
            <w:szCs w:val="20"/>
          </w:rPr>
        </w:pPr>
        <w:r w:rsidRPr="0051289A">
          <w:rPr>
            <w:b/>
            <w:bCs/>
            <w:color w:val="660033"/>
            <w:szCs w:val="20"/>
          </w:rPr>
          <w:t xml:space="preserve">Página  </w:t>
        </w:r>
        <w:r w:rsidRPr="0051289A">
          <w:rPr>
            <w:b/>
            <w:bCs/>
            <w:color w:val="660033"/>
            <w:szCs w:val="20"/>
          </w:rPr>
          <w:fldChar w:fldCharType="begin"/>
        </w:r>
        <w:r w:rsidRPr="0051289A">
          <w:rPr>
            <w:b/>
            <w:bCs/>
            <w:color w:val="660033"/>
            <w:szCs w:val="20"/>
          </w:rPr>
          <w:instrText>PAGE   \* MERGEFORMAT</w:instrText>
        </w:r>
        <w:r w:rsidRPr="0051289A">
          <w:rPr>
            <w:b/>
            <w:bCs/>
            <w:color w:val="660033"/>
            <w:szCs w:val="20"/>
          </w:rPr>
          <w:fldChar w:fldCharType="separate"/>
        </w:r>
        <w:r w:rsidR="00F77BC8">
          <w:rPr>
            <w:b/>
            <w:bCs/>
            <w:noProof/>
            <w:color w:val="660033"/>
            <w:szCs w:val="20"/>
          </w:rPr>
          <w:t>2</w:t>
        </w:r>
        <w:r w:rsidRPr="0051289A">
          <w:rPr>
            <w:b/>
            <w:bCs/>
            <w:color w:val="660033"/>
            <w:szCs w:val="20"/>
          </w:rPr>
          <w:fldChar w:fldCharType="end"/>
        </w:r>
        <w:r w:rsidRPr="0051289A">
          <w:rPr>
            <w:b/>
            <w:bCs/>
            <w:color w:val="660033"/>
            <w:szCs w:val="20"/>
          </w:rPr>
          <w:t xml:space="preserve"> | </w:t>
        </w:r>
        <w:r w:rsidRPr="0051289A">
          <w:rPr>
            <w:b/>
            <w:bCs/>
            <w:color w:val="660033"/>
            <w:szCs w:val="20"/>
          </w:rPr>
          <w:fldChar w:fldCharType="begin"/>
        </w:r>
        <w:r w:rsidRPr="0051289A">
          <w:rPr>
            <w:b/>
            <w:bCs/>
            <w:color w:val="660033"/>
            <w:szCs w:val="20"/>
          </w:rPr>
          <w:instrText xml:space="preserve"> NUMPAGES   \* MERGEFORMAT </w:instrText>
        </w:r>
        <w:r w:rsidRPr="0051289A">
          <w:rPr>
            <w:b/>
            <w:bCs/>
            <w:color w:val="660033"/>
            <w:szCs w:val="20"/>
          </w:rPr>
          <w:fldChar w:fldCharType="separate"/>
        </w:r>
        <w:r w:rsidR="00F77BC8">
          <w:rPr>
            <w:b/>
            <w:bCs/>
            <w:noProof/>
            <w:color w:val="660033"/>
            <w:szCs w:val="20"/>
          </w:rPr>
          <w:t>7</w:t>
        </w:r>
        <w:r w:rsidRPr="0051289A">
          <w:rPr>
            <w:b/>
            <w:bCs/>
            <w:color w:val="660033"/>
            <w:szCs w:val="20"/>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840DD" w14:textId="77777777" w:rsidR="00C41662" w:rsidRDefault="00C4166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9F55C" w14:textId="77777777" w:rsidR="00277B94" w:rsidRDefault="00277B94" w:rsidP="00955A1A">
      <w:pPr>
        <w:spacing w:before="0" w:after="0" w:line="240" w:lineRule="auto"/>
      </w:pPr>
      <w:r>
        <w:separator/>
      </w:r>
    </w:p>
  </w:footnote>
  <w:footnote w:type="continuationSeparator" w:id="0">
    <w:p w14:paraId="5B62AC04" w14:textId="77777777" w:rsidR="00277B94" w:rsidRDefault="00277B94" w:rsidP="00955A1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99B65" w14:textId="77777777" w:rsidR="00C41662" w:rsidRDefault="00C4166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21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5842"/>
      <w:gridCol w:w="1560"/>
    </w:tblGrid>
    <w:tr w:rsidR="00955A1A" w14:paraId="07A9F05B" w14:textId="77777777" w:rsidTr="003C1586">
      <w:tc>
        <w:tcPr>
          <w:tcW w:w="1813" w:type="dxa"/>
        </w:tcPr>
        <w:p w14:paraId="25C9BD6F" w14:textId="77777777" w:rsidR="00955A1A" w:rsidRDefault="00955A1A" w:rsidP="00955A1A">
          <w:pPr>
            <w:pStyle w:val="Encabezado"/>
          </w:pPr>
          <w:r>
            <w:rPr>
              <w:b/>
              <w:noProof/>
              <w:sz w:val="32"/>
              <w:lang w:val="es-MX" w:eastAsia="es-MX"/>
            </w:rPr>
            <w:drawing>
              <wp:inline distT="0" distB="0" distL="0" distR="0" wp14:anchorId="1D7683C4" wp14:editId="0FAD59A6">
                <wp:extent cx="942975" cy="1115028"/>
                <wp:effectExtent l="0" t="0" r="0" b="9525"/>
                <wp:docPr id="5" name="Imagen 5"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942975" cy="1115028"/>
                        </a:xfrm>
                        <a:prstGeom prst="rect">
                          <a:avLst/>
                        </a:prstGeom>
                      </pic:spPr>
                    </pic:pic>
                  </a:graphicData>
                </a:graphic>
              </wp:inline>
            </w:drawing>
          </w:r>
        </w:p>
      </w:tc>
      <w:tc>
        <w:tcPr>
          <w:tcW w:w="5842" w:type="dxa"/>
        </w:tcPr>
        <w:p w14:paraId="4775234A" w14:textId="77777777" w:rsidR="00955A1A" w:rsidRPr="00B33A23" w:rsidRDefault="00955A1A" w:rsidP="00955A1A">
          <w:pPr>
            <w:pStyle w:val="Encabezado"/>
            <w:spacing w:before="720"/>
            <w:jc w:val="center"/>
            <w:rPr>
              <w:rFonts w:ascii="Arial Negrita" w:hAnsi="Arial Negrita" w:cs="Arial"/>
              <w:b/>
              <w:bCs/>
              <w:spacing w:val="-10"/>
              <w:sz w:val="26"/>
              <w:szCs w:val="26"/>
            </w:rPr>
          </w:pPr>
          <w:r w:rsidRPr="00B33A23">
            <w:rPr>
              <w:rFonts w:ascii="Arial Negrita" w:hAnsi="Arial Negrita" w:cs="Arial"/>
              <w:b/>
              <w:bCs/>
              <w:spacing w:val="-10"/>
              <w:sz w:val="26"/>
              <w:szCs w:val="26"/>
            </w:rPr>
            <w:t>INSTITUTO ELECTORAL Y DE PARTICIPACIÓN CIUDADANA DE TABASCO</w:t>
          </w:r>
        </w:p>
        <w:p w14:paraId="73D7B129" w14:textId="77777777" w:rsidR="00955A1A" w:rsidRDefault="00955A1A" w:rsidP="00955A1A">
          <w:pPr>
            <w:pStyle w:val="Encabezado"/>
            <w:spacing w:before="60"/>
            <w:jc w:val="center"/>
          </w:pPr>
          <w:r w:rsidRPr="00B33A23">
            <w:rPr>
              <w:rFonts w:ascii="Arial" w:hAnsi="Arial" w:cs="Arial"/>
              <w:b/>
              <w:bCs/>
              <w:sz w:val="28"/>
              <w:szCs w:val="28"/>
            </w:rPr>
            <w:t>CONSEJO ESTATAL</w:t>
          </w:r>
        </w:p>
      </w:tc>
      <w:tc>
        <w:tcPr>
          <w:tcW w:w="1560" w:type="dxa"/>
        </w:tcPr>
        <w:p w14:paraId="34B46596" w14:textId="77777777" w:rsidR="00955A1A" w:rsidRDefault="00955A1A" w:rsidP="00955A1A">
          <w:pPr>
            <w:pStyle w:val="Encabezado"/>
            <w:spacing w:before="480"/>
            <w:jc w:val="right"/>
          </w:pPr>
          <w:r>
            <w:rPr>
              <w:noProof/>
              <w:lang w:val="es-MX" w:eastAsia="es-MX"/>
            </w:rPr>
            <w:drawing>
              <wp:inline distT="0" distB="0" distL="0" distR="0" wp14:anchorId="1641057D" wp14:editId="2298394A">
                <wp:extent cx="816670" cy="669925"/>
                <wp:effectExtent l="0" t="0" r="2540" b="0"/>
                <wp:docPr id="6" name="Imagen 1"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45887" name="Imagen 1" descr="Logotipo, 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819057" cy="671883"/>
                        </a:xfrm>
                        <a:prstGeom prst="rect">
                          <a:avLst/>
                        </a:prstGeom>
                      </pic:spPr>
                    </pic:pic>
                  </a:graphicData>
                </a:graphic>
              </wp:inline>
            </w:drawing>
          </w:r>
        </w:p>
      </w:tc>
    </w:tr>
  </w:tbl>
  <w:p w14:paraId="7E9CB33A" w14:textId="27553916" w:rsidR="00955A1A" w:rsidRPr="00F77BC8" w:rsidRDefault="00C41662" w:rsidP="00F77BC8">
    <w:pPr>
      <w:pStyle w:val="Encabezado"/>
      <w:jc w:val="right"/>
      <w:rPr>
        <w:rFonts w:ascii="Arial" w:hAnsi="Arial" w:cs="Arial"/>
        <w:b/>
      </w:rPr>
    </w:pPr>
    <w:r w:rsidRPr="00F77BC8">
      <w:rPr>
        <w:rFonts w:ascii="Arial" w:hAnsi="Arial" w:cs="Arial"/>
        <w:b/>
      </w:rPr>
      <w:t>CE</w:t>
    </w:r>
    <w:r w:rsidR="00F77BC8">
      <w:rPr>
        <w:rFonts w:ascii="Arial" w:hAnsi="Arial" w:cs="Arial"/>
        <w:b/>
      </w:rPr>
      <w:t>/</w:t>
    </w:r>
    <w:bookmarkStart w:id="0" w:name="_GoBack"/>
    <w:bookmarkEnd w:id="0"/>
    <w:r w:rsidRPr="00F77BC8">
      <w:rPr>
        <w:rFonts w:ascii="Arial" w:hAnsi="Arial" w:cs="Arial"/>
        <w:b/>
      </w:rPr>
      <w:t>2025/089</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C058D" w14:textId="77777777" w:rsidR="00C41662" w:rsidRDefault="00C4166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CFF"/>
    <w:multiLevelType w:val="hybridMultilevel"/>
    <w:tmpl w:val="103A06E0"/>
    <w:lvl w:ilvl="0" w:tplc="080A0013">
      <w:start w:val="1"/>
      <w:numFmt w:val="upperRoman"/>
      <w:lvlText w:val="%1."/>
      <w:lvlJc w:val="righ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1" w15:restartNumberingAfterBreak="0">
    <w:nsid w:val="05AF3EF8"/>
    <w:multiLevelType w:val="hybridMultilevel"/>
    <w:tmpl w:val="18E0CE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015BEC"/>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0A212D"/>
    <w:multiLevelType w:val="hybridMultilevel"/>
    <w:tmpl w:val="CEBEDD9A"/>
    <w:lvl w:ilvl="0" w:tplc="4350AB58">
      <w:start w:val="2"/>
      <w:numFmt w:val="decimal"/>
      <w:lvlText w:val="%1."/>
      <w:lvlJc w:val="left"/>
      <w:pPr>
        <w:ind w:left="792" w:hanging="360"/>
      </w:pPr>
      <w:rPr>
        <w:rFonts w:hint="default"/>
      </w:rPr>
    </w:lvl>
    <w:lvl w:ilvl="1" w:tplc="080A0019" w:tentative="1">
      <w:start w:val="1"/>
      <w:numFmt w:val="lowerLetter"/>
      <w:lvlText w:val="%2."/>
      <w:lvlJc w:val="left"/>
      <w:pPr>
        <w:ind w:left="1512" w:hanging="360"/>
      </w:pPr>
    </w:lvl>
    <w:lvl w:ilvl="2" w:tplc="080A001B" w:tentative="1">
      <w:start w:val="1"/>
      <w:numFmt w:val="lowerRoman"/>
      <w:lvlText w:val="%3."/>
      <w:lvlJc w:val="right"/>
      <w:pPr>
        <w:ind w:left="2232" w:hanging="180"/>
      </w:pPr>
    </w:lvl>
    <w:lvl w:ilvl="3" w:tplc="080A000F" w:tentative="1">
      <w:start w:val="1"/>
      <w:numFmt w:val="decimal"/>
      <w:lvlText w:val="%4."/>
      <w:lvlJc w:val="left"/>
      <w:pPr>
        <w:ind w:left="2952" w:hanging="360"/>
      </w:pPr>
    </w:lvl>
    <w:lvl w:ilvl="4" w:tplc="080A0019" w:tentative="1">
      <w:start w:val="1"/>
      <w:numFmt w:val="lowerLetter"/>
      <w:lvlText w:val="%5."/>
      <w:lvlJc w:val="left"/>
      <w:pPr>
        <w:ind w:left="3672" w:hanging="360"/>
      </w:pPr>
    </w:lvl>
    <w:lvl w:ilvl="5" w:tplc="080A001B" w:tentative="1">
      <w:start w:val="1"/>
      <w:numFmt w:val="lowerRoman"/>
      <w:lvlText w:val="%6."/>
      <w:lvlJc w:val="right"/>
      <w:pPr>
        <w:ind w:left="4392" w:hanging="180"/>
      </w:pPr>
    </w:lvl>
    <w:lvl w:ilvl="6" w:tplc="080A000F" w:tentative="1">
      <w:start w:val="1"/>
      <w:numFmt w:val="decimal"/>
      <w:lvlText w:val="%7."/>
      <w:lvlJc w:val="left"/>
      <w:pPr>
        <w:ind w:left="5112" w:hanging="360"/>
      </w:pPr>
    </w:lvl>
    <w:lvl w:ilvl="7" w:tplc="080A0019" w:tentative="1">
      <w:start w:val="1"/>
      <w:numFmt w:val="lowerLetter"/>
      <w:lvlText w:val="%8."/>
      <w:lvlJc w:val="left"/>
      <w:pPr>
        <w:ind w:left="5832" w:hanging="360"/>
      </w:pPr>
    </w:lvl>
    <w:lvl w:ilvl="8" w:tplc="080A001B" w:tentative="1">
      <w:start w:val="1"/>
      <w:numFmt w:val="lowerRoman"/>
      <w:lvlText w:val="%9."/>
      <w:lvlJc w:val="right"/>
      <w:pPr>
        <w:ind w:left="6552" w:hanging="180"/>
      </w:pPr>
    </w:lvl>
  </w:abstractNum>
  <w:abstractNum w:abstractNumId="4" w15:restartNumberingAfterBreak="0">
    <w:nsid w:val="17B23B1E"/>
    <w:multiLevelType w:val="multilevel"/>
    <w:tmpl w:val="174622C2"/>
    <w:lvl w:ilvl="0">
      <w:start w:val="1"/>
      <w:numFmt w:val="decimal"/>
      <w:lvlText w:val="%1"/>
      <w:lvlJc w:val="left"/>
      <w:pPr>
        <w:ind w:left="792" w:hanging="360"/>
      </w:pPr>
      <w:rPr>
        <w:rFonts w:hint="default"/>
        <w:sz w:val="24"/>
        <w:szCs w:val="24"/>
      </w:rPr>
    </w:lvl>
    <w:lvl w:ilvl="1">
      <w:start w:val="2"/>
      <w:numFmt w:val="decimal"/>
      <w:isLgl/>
      <w:lvlText w:val="%1.%2"/>
      <w:lvlJc w:val="left"/>
      <w:pPr>
        <w:ind w:left="1077" w:hanging="360"/>
      </w:pPr>
      <w:rPr>
        <w:rFonts w:hint="default"/>
      </w:rPr>
    </w:lvl>
    <w:lvl w:ilvl="2">
      <w:start w:val="1"/>
      <w:numFmt w:val="decimal"/>
      <w:isLgl/>
      <w:lvlText w:val="%1.%2.%3"/>
      <w:lvlJc w:val="left"/>
      <w:pPr>
        <w:ind w:left="1722" w:hanging="720"/>
      </w:pPr>
      <w:rPr>
        <w:rFonts w:hint="default"/>
      </w:rPr>
    </w:lvl>
    <w:lvl w:ilvl="3">
      <w:start w:val="1"/>
      <w:numFmt w:val="decimal"/>
      <w:isLgl/>
      <w:lvlText w:val="%1.%2.%3.%4"/>
      <w:lvlJc w:val="left"/>
      <w:pPr>
        <w:ind w:left="2367" w:hanging="1080"/>
      </w:pPr>
      <w:rPr>
        <w:rFonts w:hint="default"/>
      </w:rPr>
    </w:lvl>
    <w:lvl w:ilvl="4">
      <w:start w:val="1"/>
      <w:numFmt w:val="decimal"/>
      <w:isLgl/>
      <w:lvlText w:val="%1.%2.%3.%4.%5"/>
      <w:lvlJc w:val="left"/>
      <w:pPr>
        <w:ind w:left="2652" w:hanging="1080"/>
      </w:pPr>
      <w:rPr>
        <w:rFonts w:hint="default"/>
      </w:rPr>
    </w:lvl>
    <w:lvl w:ilvl="5">
      <w:start w:val="1"/>
      <w:numFmt w:val="decimal"/>
      <w:isLgl/>
      <w:lvlText w:val="%1.%2.%3.%4.%5.%6"/>
      <w:lvlJc w:val="left"/>
      <w:pPr>
        <w:ind w:left="3297" w:hanging="144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4227" w:hanging="1800"/>
      </w:pPr>
      <w:rPr>
        <w:rFonts w:hint="default"/>
      </w:rPr>
    </w:lvl>
    <w:lvl w:ilvl="8">
      <w:start w:val="1"/>
      <w:numFmt w:val="decimal"/>
      <w:isLgl/>
      <w:lvlText w:val="%1.%2.%3.%4.%5.%6.%7.%8.%9"/>
      <w:lvlJc w:val="left"/>
      <w:pPr>
        <w:ind w:left="4512" w:hanging="1800"/>
      </w:pPr>
      <w:rPr>
        <w:rFonts w:hint="default"/>
      </w:rPr>
    </w:lvl>
  </w:abstractNum>
  <w:abstractNum w:abstractNumId="5" w15:restartNumberingAfterBreak="0">
    <w:nsid w:val="35217395"/>
    <w:multiLevelType w:val="hybridMultilevel"/>
    <w:tmpl w:val="075816BE"/>
    <w:lvl w:ilvl="0" w:tplc="E2FC759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081F41"/>
    <w:multiLevelType w:val="hybridMultilevel"/>
    <w:tmpl w:val="C824A6E8"/>
    <w:lvl w:ilvl="0" w:tplc="9F285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593600"/>
    <w:multiLevelType w:val="hybridMultilevel"/>
    <w:tmpl w:val="97728C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D871F4"/>
    <w:multiLevelType w:val="hybridMultilevel"/>
    <w:tmpl w:val="D64CB4A6"/>
    <w:lvl w:ilvl="0" w:tplc="9F4E0B62">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1AF5481"/>
    <w:multiLevelType w:val="hybridMultilevel"/>
    <w:tmpl w:val="2E54C9A2"/>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15:restartNumberingAfterBreak="0">
    <w:nsid w:val="65107483"/>
    <w:multiLevelType w:val="hybridMultilevel"/>
    <w:tmpl w:val="390282FC"/>
    <w:lvl w:ilvl="0" w:tplc="53C412A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69B259C"/>
    <w:multiLevelType w:val="hybridMultilevel"/>
    <w:tmpl w:val="0E0E7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B670C5C"/>
    <w:multiLevelType w:val="hybridMultilevel"/>
    <w:tmpl w:val="F5B82438"/>
    <w:lvl w:ilvl="0" w:tplc="9F4E0B62">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5344C6"/>
    <w:multiLevelType w:val="hybridMultilevel"/>
    <w:tmpl w:val="5C84CE84"/>
    <w:lvl w:ilvl="0" w:tplc="9F285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110E49"/>
    <w:multiLevelType w:val="hybridMultilevel"/>
    <w:tmpl w:val="4EE639E4"/>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num w:numId="1">
    <w:abstractNumId w:val="7"/>
  </w:num>
  <w:num w:numId="2">
    <w:abstractNumId w:val="6"/>
  </w:num>
  <w:num w:numId="3">
    <w:abstractNumId w:val="13"/>
  </w:num>
  <w:num w:numId="4">
    <w:abstractNumId w:val="10"/>
  </w:num>
  <w:num w:numId="5">
    <w:abstractNumId w:val="12"/>
  </w:num>
  <w:num w:numId="6">
    <w:abstractNumId w:val="8"/>
  </w:num>
  <w:num w:numId="7">
    <w:abstractNumId w:val="2"/>
  </w:num>
  <w:num w:numId="8">
    <w:abstractNumId w:val="5"/>
  </w:num>
  <w:num w:numId="9">
    <w:abstractNumId w:val="1"/>
  </w:num>
  <w:num w:numId="10">
    <w:abstractNumId w:val="14"/>
  </w:num>
  <w:num w:numId="11">
    <w:abstractNumId w:val="0"/>
  </w:num>
  <w:num w:numId="12">
    <w:abstractNumId w:val="11"/>
  </w:num>
  <w:num w:numId="13">
    <w:abstractNumId w:val="9"/>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142"/>
    <w:rsid w:val="00077BAB"/>
    <w:rsid w:val="000841BB"/>
    <w:rsid w:val="00113D10"/>
    <w:rsid w:val="0011401C"/>
    <w:rsid w:val="00127471"/>
    <w:rsid w:val="00162188"/>
    <w:rsid w:val="00164196"/>
    <w:rsid w:val="001876B4"/>
    <w:rsid w:val="001D4243"/>
    <w:rsid w:val="001F46E9"/>
    <w:rsid w:val="00203796"/>
    <w:rsid w:val="00214301"/>
    <w:rsid w:val="00223009"/>
    <w:rsid w:val="002550B3"/>
    <w:rsid w:val="00264EA4"/>
    <w:rsid w:val="00272AF9"/>
    <w:rsid w:val="00277B94"/>
    <w:rsid w:val="002A26DD"/>
    <w:rsid w:val="002D2CBB"/>
    <w:rsid w:val="00302619"/>
    <w:rsid w:val="00305286"/>
    <w:rsid w:val="0037398C"/>
    <w:rsid w:val="00381122"/>
    <w:rsid w:val="003D7182"/>
    <w:rsid w:val="004149A9"/>
    <w:rsid w:val="0041709D"/>
    <w:rsid w:val="004257E1"/>
    <w:rsid w:val="004300C0"/>
    <w:rsid w:val="00432F40"/>
    <w:rsid w:val="0043692F"/>
    <w:rsid w:val="004402D8"/>
    <w:rsid w:val="004421DA"/>
    <w:rsid w:val="004773B2"/>
    <w:rsid w:val="00492F2A"/>
    <w:rsid w:val="004F4153"/>
    <w:rsid w:val="005045A9"/>
    <w:rsid w:val="00514A2F"/>
    <w:rsid w:val="005259FA"/>
    <w:rsid w:val="005451F0"/>
    <w:rsid w:val="0059638C"/>
    <w:rsid w:val="005E6415"/>
    <w:rsid w:val="00626D59"/>
    <w:rsid w:val="00675EC7"/>
    <w:rsid w:val="00693BFC"/>
    <w:rsid w:val="006C2E04"/>
    <w:rsid w:val="006C6BB2"/>
    <w:rsid w:val="006C7636"/>
    <w:rsid w:val="006D0D7C"/>
    <w:rsid w:val="00703749"/>
    <w:rsid w:val="0071506B"/>
    <w:rsid w:val="0073056F"/>
    <w:rsid w:val="0073462D"/>
    <w:rsid w:val="007413DF"/>
    <w:rsid w:val="007A699E"/>
    <w:rsid w:val="007C1D72"/>
    <w:rsid w:val="007D5A3B"/>
    <w:rsid w:val="007F3A2F"/>
    <w:rsid w:val="00801EEB"/>
    <w:rsid w:val="00850216"/>
    <w:rsid w:val="00862747"/>
    <w:rsid w:val="00881A3F"/>
    <w:rsid w:val="008B28AE"/>
    <w:rsid w:val="008B3FF2"/>
    <w:rsid w:val="008C43CF"/>
    <w:rsid w:val="0090777E"/>
    <w:rsid w:val="009130FA"/>
    <w:rsid w:val="00955A1A"/>
    <w:rsid w:val="009568C6"/>
    <w:rsid w:val="00964142"/>
    <w:rsid w:val="0098572E"/>
    <w:rsid w:val="009B5A56"/>
    <w:rsid w:val="009F6DF4"/>
    <w:rsid w:val="00A037F2"/>
    <w:rsid w:val="00A631D8"/>
    <w:rsid w:val="00A7119B"/>
    <w:rsid w:val="00A85DBA"/>
    <w:rsid w:val="00AA17D2"/>
    <w:rsid w:val="00AA2F99"/>
    <w:rsid w:val="00AC3229"/>
    <w:rsid w:val="00AC7FA5"/>
    <w:rsid w:val="00AD2F5C"/>
    <w:rsid w:val="00B464E5"/>
    <w:rsid w:val="00B7072B"/>
    <w:rsid w:val="00B82B6B"/>
    <w:rsid w:val="00BB4E3E"/>
    <w:rsid w:val="00BB4F3D"/>
    <w:rsid w:val="00C1668E"/>
    <w:rsid w:val="00C41662"/>
    <w:rsid w:val="00CC65F7"/>
    <w:rsid w:val="00CC66E7"/>
    <w:rsid w:val="00CE0FB5"/>
    <w:rsid w:val="00CF7E76"/>
    <w:rsid w:val="00D06954"/>
    <w:rsid w:val="00D705DA"/>
    <w:rsid w:val="00D95396"/>
    <w:rsid w:val="00DA0C26"/>
    <w:rsid w:val="00DD4CE9"/>
    <w:rsid w:val="00DF1C99"/>
    <w:rsid w:val="00DF35D1"/>
    <w:rsid w:val="00DF7609"/>
    <w:rsid w:val="00E02F6C"/>
    <w:rsid w:val="00E9015A"/>
    <w:rsid w:val="00EC1501"/>
    <w:rsid w:val="00ED10B6"/>
    <w:rsid w:val="00EE687D"/>
    <w:rsid w:val="00EF0C0A"/>
    <w:rsid w:val="00F0722F"/>
    <w:rsid w:val="00F77BC8"/>
    <w:rsid w:val="00F94938"/>
    <w:rsid w:val="00FD0C23"/>
    <w:rsid w:val="00FD1CE4"/>
    <w:rsid w:val="00FD205C"/>
    <w:rsid w:val="00FD2C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3E8BB"/>
  <w15:chartTrackingRefBased/>
  <w15:docId w15:val="{D6ECF22C-125C-451E-8956-2C680EC0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C23"/>
    <w:pPr>
      <w:spacing w:before="240" w:after="240" w:line="276" w:lineRule="auto"/>
      <w:jc w:val="both"/>
    </w:pPr>
    <w:rPr>
      <w:rFonts w:ascii="Exo" w:hAnsi="Exo"/>
      <w:lang w:val="es-ES"/>
    </w:rPr>
  </w:style>
  <w:style w:type="paragraph" w:styleId="Ttulo1">
    <w:name w:val="heading 1"/>
    <w:basedOn w:val="Normal"/>
    <w:next w:val="Normal"/>
    <w:link w:val="Ttulo1Car"/>
    <w:uiPriority w:val="9"/>
    <w:qFormat/>
    <w:rsid w:val="00FD0C23"/>
    <w:pPr>
      <w:numPr>
        <w:numId w:val="7"/>
      </w:numPr>
      <w:spacing w:before="600" w:after="360"/>
      <w:jc w:val="center"/>
      <w:outlineLvl w:val="0"/>
    </w:pPr>
    <w:rPr>
      <w:b/>
      <w:bCs/>
      <w:sz w:val="28"/>
      <w:szCs w:val="28"/>
    </w:rPr>
  </w:style>
  <w:style w:type="paragraph" w:styleId="Ttulo2">
    <w:name w:val="heading 2"/>
    <w:basedOn w:val="Normal"/>
    <w:next w:val="Normal"/>
    <w:link w:val="Ttulo2Car"/>
    <w:uiPriority w:val="9"/>
    <w:unhideWhenUsed/>
    <w:qFormat/>
    <w:rsid w:val="00FD0C23"/>
    <w:pPr>
      <w:numPr>
        <w:ilvl w:val="1"/>
        <w:numId w:val="7"/>
      </w:numPr>
      <w:spacing w:before="480"/>
      <w:outlineLvl w:val="1"/>
    </w:pPr>
    <w:rPr>
      <w:b/>
      <w:bCs/>
    </w:rPr>
  </w:style>
  <w:style w:type="paragraph" w:styleId="Ttulo3">
    <w:name w:val="heading 3"/>
    <w:basedOn w:val="Normal"/>
    <w:next w:val="Normal"/>
    <w:link w:val="Ttulo3Car"/>
    <w:uiPriority w:val="9"/>
    <w:semiHidden/>
    <w:unhideWhenUsed/>
    <w:qFormat/>
    <w:rsid w:val="00964142"/>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4142"/>
    <w:pPr>
      <w:keepNext/>
      <w:keepLines/>
      <w:numPr>
        <w:ilvl w:val="3"/>
        <w:numId w:val="7"/>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4142"/>
    <w:pPr>
      <w:keepNext/>
      <w:keepLines/>
      <w:numPr>
        <w:ilvl w:val="4"/>
        <w:numId w:val="7"/>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4142"/>
    <w:pPr>
      <w:keepNext/>
      <w:keepLines/>
      <w:numPr>
        <w:ilvl w:val="5"/>
        <w:numId w:val="7"/>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4142"/>
    <w:pPr>
      <w:keepNext/>
      <w:keepLines/>
      <w:numPr>
        <w:ilvl w:val="6"/>
        <w:numId w:val="7"/>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4142"/>
    <w:pPr>
      <w:keepNext/>
      <w:keepLines/>
      <w:numPr>
        <w:ilvl w:val="7"/>
        <w:numId w:val="7"/>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4142"/>
    <w:pPr>
      <w:keepNext/>
      <w:keepLines/>
      <w:numPr>
        <w:ilvl w:val="8"/>
        <w:numId w:val="7"/>
      </w:numPr>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0C23"/>
    <w:rPr>
      <w:rFonts w:ascii="Exo" w:hAnsi="Exo"/>
      <w:b/>
      <w:bCs/>
      <w:sz w:val="28"/>
      <w:szCs w:val="28"/>
      <w:lang w:val="es-ES"/>
    </w:rPr>
  </w:style>
  <w:style w:type="character" w:customStyle="1" w:styleId="Ttulo2Car">
    <w:name w:val="Título 2 Car"/>
    <w:basedOn w:val="Fuentedeprrafopredeter"/>
    <w:link w:val="Ttulo2"/>
    <w:uiPriority w:val="9"/>
    <w:rsid w:val="00FD0C23"/>
    <w:rPr>
      <w:rFonts w:ascii="Exo" w:hAnsi="Exo"/>
      <w:b/>
      <w:bCs/>
      <w:lang w:val="es-ES"/>
    </w:rPr>
  </w:style>
  <w:style w:type="character" w:customStyle="1" w:styleId="Ttulo3Car">
    <w:name w:val="Título 3 Car"/>
    <w:basedOn w:val="Fuentedeprrafopredeter"/>
    <w:link w:val="Ttulo3"/>
    <w:uiPriority w:val="9"/>
    <w:semiHidden/>
    <w:rsid w:val="009641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41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41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41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41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41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4142"/>
    <w:rPr>
      <w:rFonts w:eastAsiaTheme="majorEastAsia" w:cstheme="majorBidi"/>
      <w:color w:val="272727" w:themeColor="text1" w:themeTint="D8"/>
    </w:rPr>
  </w:style>
  <w:style w:type="paragraph" w:styleId="Ttulo">
    <w:name w:val="Title"/>
    <w:basedOn w:val="Normal"/>
    <w:next w:val="Normal"/>
    <w:link w:val="TtuloCar"/>
    <w:uiPriority w:val="10"/>
    <w:qFormat/>
    <w:rsid w:val="00964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41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41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41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4142"/>
    <w:pPr>
      <w:spacing w:before="160"/>
      <w:jc w:val="center"/>
    </w:pPr>
    <w:rPr>
      <w:i/>
      <w:iCs/>
      <w:color w:val="404040" w:themeColor="text1" w:themeTint="BF"/>
    </w:rPr>
  </w:style>
  <w:style w:type="character" w:customStyle="1" w:styleId="CitaCar">
    <w:name w:val="Cita Car"/>
    <w:basedOn w:val="Fuentedeprrafopredeter"/>
    <w:link w:val="Cita"/>
    <w:uiPriority w:val="29"/>
    <w:rsid w:val="00964142"/>
    <w:rPr>
      <w:i/>
      <w:iCs/>
      <w:color w:val="404040" w:themeColor="text1" w:themeTint="BF"/>
    </w:rPr>
  </w:style>
  <w:style w:type="paragraph" w:styleId="Prrafodelista">
    <w:name w:val="List Paragraph"/>
    <w:basedOn w:val="Normal"/>
    <w:uiPriority w:val="34"/>
    <w:qFormat/>
    <w:rsid w:val="00964142"/>
    <w:pPr>
      <w:ind w:left="720"/>
      <w:contextualSpacing/>
    </w:pPr>
  </w:style>
  <w:style w:type="character" w:styleId="nfasisintenso">
    <w:name w:val="Intense Emphasis"/>
    <w:basedOn w:val="Fuentedeprrafopredeter"/>
    <w:uiPriority w:val="21"/>
    <w:qFormat/>
    <w:rsid w:val="00964142"/>
    <w:rPr>
      <w:i/>
      <w:iCs/>
      <w:color w:val="0F4761" w:themeColor="accent1" w:themeShade="BF"/>
    </w:rPr>
  </w:style>
  <w:style w:type="paragraph" w:styleId="Citadestacada">
    <w:name w:val="Intense Quote"/>
    <w:basedOn w:val="Normal"/>
    <w:next w:val="Normal"/>
    <w:link w:val="CitadestacadaCar"/>
    <w:uiPriority w:val="30"/>
    <w:qFormat/>
    <w:rsid w:val="00964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4142"/>
    <w:rPr>
      <w:i/>
      <w:iCs/>
      <w:color w:val="0F4761" w:themeColor="accent1" w:themeShade="BF"/>
    </w:rPr>
  </w:style>
  <w:style w:type="character" w:styleId="Referenciaintensa">
    <w:name w:val="Intense Reference"/>
    <w:basedOn w:val="Fuentedeprrafopredeter"/>
    <w:uiPriority w:val="32"/>
    <w:qFormat/>
    <w:rsid w:val="00964142"/>
    <w:rPr>
      <w:b/>
      <w:bCs/>
      <w:smallCaps/>
      <w:color w:val="0F4761" w:themeColor="accent1" w:themeShade="BF"/>
      <w:spacing w:val="5"/>
    </w:rPr>
  </w:style>
  <w:style w:type="table" w:styleId="Tablaconcuadrcula">
    <w:name w:val="Table Grid"/>
    <w:basedOn w:val="Tablanormal"/>
    <w:uiPriority w:val="39"/>
    <w:rsid w:val="0051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5A1A"/>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955A1A"/>
    <w:rPr>
      <w:rFonts w:ascii="Exo" w:hAnsi="Exo"/>
      <w:lang w:val="es-ES"/>
    </w:rPr>
  </w:style>
  <w:style w:type="paragraph" w:styleId="Piedepgina">
    <w:name w:val="footer"/>
    <w:basedOn w:val="Normal"/>
    <w:link w:val="PiedepginaCar"/>
    <w:uiPriority w:val="99"/>
    <w:unhideWhenUsed/>
    <w:rsid w:val="00955A1A"/>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5A1A"/>
    <w:rPr>
      <w:rFonts w:ascii="Exo" w:hAnsi="Exo"/>
      <w:lang w:val="es-ES"/>
    </w:rPr>
  </w:style>
  <w:style w:type="paragraph" w:styleId="Textonotapie">
    <w:name w:val="footnote text"/>
    <w:basedOn w:val="Normal"/>
    <w:link w:val="TextonotapieCar"/>
    <w:uiPriority w:val="99"/>
    <w:semiHidden/>
    <w:unhideWhenUsed/>
    <w:rsid w:val="009B5A56"/>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9B5A56"/>
    <w:rPr>
      <w:rFonts w:ascii="Exo" w:hAnsi="Exo"/>
      <w:sz w:val="20"/>
      <w:szCs w:val="20"/>
      <w:lang w:val="es-ES"/>
    </w:rPr>
  </w:style>
  <w:style w:type="character" w:styleId="Refdenotaalpie">
    <w:name w:val="footnote reference"/>
    <w:basedOn w:val="Fuentedeprrafopredeter"/>
    <w:uiPriority w:val="99"/>
    <w:semiHidden/>
    <w:unhideWhenUsed/>
    <w:rsid w:val="009B5A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314D7-DE01-4CAC-8C99-F7D0871F0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1976</Words>
  <Characters>10868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E. Leon</dc:creator>
  <cp:keywords/>
  <dc:description/>
  <cp:lastModifiedBy>Jaqueline del Carmen Carrillo Llergo</cp:lastModifiedBy>
  <cp:revision>9</cp:revision>
  <dcterms:created xsi:type="dcterms:W3CDTF">2025-10-24T21:23:00Z</dcterms:created>
  <dcterms:modified xsi:type="dcterms:W3CDTF">2025-11-25T21:37:00Z</dcterms:modified>
</cp:coreProperties>
</file>