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32E14" w14:textId="49DE01CB" w:rsidR="000412DA" w:rsidRPr="003F574A" w:rsidRDefault="003F574A" w:rsidP="007A229D">
      <w:pPr>
        <w:widowControl w:val="0"/>
        <w:rPr>
          <w:rFonts w:ascii="Arial" w:hAnsi="Arial" w:cs="Arial"/>
          <w:b/>
          <w:bCs/>
        </w:rPr>
      </w:pPr>
      <w:r w:rsidRPr="003F574A">
        <w:rPr>
          <w:rFonts w:ascii="Arial" w:hAnsi="Arial" w:cs="Arial"/>
          <w:b/>
          <w:bCs/>
        </w:rPr>
        <w:t>ACUERDO QUE, A PROPUESTA DE LA COMISIÓN PERMANENTE DE DENUNCIAS Y QUEJAS, EMITE EL CONSEJO ESTATAL DEL INSTITUTO ELECTORAL Y DE PARTICIPACIÓN CIUDADANA DE TABASCO MEDIANTE EL CUAL APRUEBA EL CATÁLOGO DE INFRACCIONES PARA EL PROCESO ELECTORAL LOCAL EXTRAORDINARIO PARA PERSONAS JUZGADORAS DEL PODER JUDICIAL DEL ESTADO 2024-2025</w:t>
      </w:r>
    </w:p>
    <w:p w14:paraId="0B76A629"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3F574A" w:rsidRPr="003F574A" w14:paraId="25CB7FE9" w14:textId="77777777" w:rsidTr="00AD6053">
        <w:trPr>
          <w:trHeight w:val="624"/>
          <w:jc w:val="center"/>
        </w:trPr>
        <w:tc>
          <w:tcPr>
            <w:tcW w:w="2042" w:type="pct"/>
            <w:shd w:val="clear" w:color="auto" w:fill="auto"/>
            <w:vAlign w:val="center"/>
          </w:tcPr>
          <w:p w14:paraId="09A0D331" w14:textId="77777777" w:rsidR="000412DA" w:rsidRPr="003F574A" w:rsidRDefault="000412DA" w:rsidP="007A229D">
            <w:pPr>
              <w:widowControl w:val="0"/>
              <w:spacing w:before="60" w:after="60"/>
              <w:jc w:val="right"/>
              <w:rPr>
                <w:rFonts w:ascii="Arial" w:hAnsi="Arial" w:cs="Arial"/>
                <w:b/>
                <w:bCs/>
                <w:sz w:val="20"/>
                <w:szCs w:val="20"/>
              </w:rPr>
            </w:pPr>
            <w:bookmarkStart w:id="0" w:name="_Hlk186652747"/>
            <w:r w:rsidRPr="003F574A">
              <w:rPr>
                <w:rFonts w:ascii="Arial" w:hAnsi="Arial" w:cs="Arial"/>
                <w:b/>
                <w:bCs/>
                <w:sz w:val="20"/>
                <w:szCs w:val="20"/>
              </w:rPr>
              <w:t>Comisión:</w:t>
            </w:r>
          </w:p>
        </w:tc>
        <w:tc>
          <w:tcPr>
            <w:tcW w:w="2958" w:type="pct"/>
            <w:shd w:val="clear" w:color="auto" w:fill="auto"/>
            <w:vAlign w:val="center"/>
          </w:tcPr>
          <w:p w14:paraId="79D2C48E"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Comisión de Denuncias y Quejas del Instituto Electoral y de Participación Ciudadana de Tabasco.</w:t>
            </w:r>
          </w:p>
        </w:tc>
      </w:tr>
      <w:tr w:rsidR="003F574A" w:rsidRPr="003F574A" w14:paraId="1D4C857B" w14:textId="77777777" w:rsidTr="00AD6053">
        <w:trPr>
          <w:trHeight w:val="624"/>
          <w:jc w:val="center"/>
        </w:trPr>
        <w:tc>
          <w:tcPr>
            <w:tcW w:w="2042" w:type="pct"/>
            <w:shd w:val="clear" w:color="auto" w:fill="auto"/>
            <w:vAlign w:val="center"/>
          </w:tcPr>
          <w:p w14:paraId="0AF6DF18"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Consejo Estatal:</w:t>
            </w:r>
          </w:p>
        </w:tc>
        <w:tc>
          <w:tcPr>
            <w:tcW w:w="2958" w:type="pct"/>
            <w:shd w:val="clear" w:color="auto" w:fill="auto"/>
            <w:vAlign w:val="center"/>
          </w:tcPr>
          <w:p w14:paraId="3BD96034"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Consejo Estatal del Instituto Electoral y de Participación Ciudadana de Tabasco.</w:t>
            </w:r>
          </w:p>
        </w:tc>
      </w:tr>
      <w:tr w:rsidR="003F574A" w:rsidRPr="003F574A" w14:paraId="7C1D4FEB" w14:textId="77777777" w:rsidTr="00AD6053">
        <w:trPr>
          <w:trHeight w:val="624"/>
          <w:jc w:val="center"/>
        </w:trPr>
        <w:tc>
          <w:tcPr>
            <w:tcW w:w="2042" w:type="pct"/>
            <w:shd w:val="clear" w:color="auto" w:fill="auto"/>
            <w:vAlign w:val="center"/>
          </w:tcPr>
          <w:p w14:paraId="145C520F"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Constitución Federal:</w:t>
            </w:r>
          </w:p>
        </w:tc>
        <w:tc>
          <w:tcPr>
            <w:tcW w:w="2958" w:type="pct"/>
            <w:shd w:val="clear" w:color="auto" w:fill="auto"/>
            <w:vAlign w:val="center"/>
          </w:tcPr>
          <w:p w14:paraId="34C4C744"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Constitución Política de los Estados Unidos Mexicanos.</w:t>
            </w:r>
          </w:p>
        </w:tc>
      </w:tr>
      <w:tr w:rsidR="003F574A" w:rsidRPr="003F574A" w14:paraId="3BCCDFFB" w14:textId="77777777" w:rsidTr="00AD6053">
        <w:trPr>
          <w:trHeight w:val="624"/>
          <w:jc w:val="center"/>
        </w:trPr>
        <w:tc>
          <w:tcPr>
            <w:tcW w:w="2042" w:type="pct"/>
            <w:shd w:val="clear" w:color="auto" w:fill="auto"/>
            <w:vAlign w:val="center"/>
          </w:tcPr>
          <w:p w14:paraId="0B8FF0DF"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Constitución Local:</w:t>
            </w:r>
          </w:p>
        </w:tc>
        <w:tc>
          <w:tcPr>
            <w:tcW w:w="2958" w:type="pct"/>
            <w:shd w:val="clear" w:color="auto" w:fill="auto"/>
            <w:vAlign w:val="center"/>
          </w:tcPr>
          <w:p w14:paraId="2C18504A"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Constitución Política del Estado Libre y Soberano de Tabasco.</w:t>
            </w:r>
          </w:p>
        </w:tc>
      </w:tr>
      <w:tr w:rsidR="003F574A" w:rsidRPr="003F574A" w14:paraId="4CF4DE9B" w14:textId="77777777" w:rsidTr="00AD6053">
        <w:trPr>
          <w:trHeight w:val="624"/>
          <w:jc w:val="center"/>
        </w:trPr>
        <w:tc>
          <w:tcPr>
            <w:tcW w:w="2042" w:type="pct"/>
            <w:shd w:val="clear" w:color="auto" w:fill="auto"/>
            <w:vAlign w:val="center"/>
          </w:tcPr>
          <w:p w14:paraId="3DB96365"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INE:</w:t>
            </w:r>
          </w:p>
        </w:tc>
        <w:tc>
          <w:tcPr>
            <w:tcW w:w="2958" w:type="pct"/>
            <w:shd w:val="clear" w:color="auto" w:fill="auto"/>
            <w:vAlign w:val="center"/>
          </w:tcPr>
          <w:p w14:paraId="0C26F0E9"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Instituto Nacional Electoral.</w:t>
            </w:r>
          </w:p>
        </w:tc>
      </w:tr>
      <w:tr w:rsidR="003F574A" w:rsidRPr="003F574A" w14:paraId="451F66D0" w14:textId="77777777" w:rsidTr="00AD6053">
        <w:trPr>
          <w:trHeight w:val="624"/>
          <w:jc w:val="center"/>
        </w:trPr>
        <w:tc>
          <w:tcPr>
            <w:tcW w:w="2042" w:type="pct"/>
            <w:shd w:val="clear" w:color="auto" w:fill="auto"/>
            <w:vAlign w:val="center"/>
          </w:tcPr>
          <w:p w14:paraId="690CB07B"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Instituto:</w:t>
            </w:r>
          </w:p>
        </w:tc>
        <w:tc>
          <w:tcPr>
            <w:tcW w:w="2958" w:type="pct"/>
            <w:shd w:val="clear" w:color="auto" w:fill="auto"/>
          </w:tcPr>
          <w:p w14:paraId="26DB4629"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Instituto Electoral y de Participación Ciudadana de Tabasco.</w:t>
            </w:r>
          </w:p>
        </w:tc>
      </w:tr>
      <w:tr w:rsidR="003F574A" w:rsidRPr="003F574A" w14:paraId="27247B41" w14:textId="77777777" w:rsidTr="00AD6053">
        <w:trPr>
          <w:trHeight w:val="624"/>
          <w:jc w:val="center"/>
        </w:trPr>
        <w:tc>
          <w:tcPr>
            <w:tcW w:w="2042" w:type="pct"/>
            <w:shd w:val="clear" w:color="auto" w:fill="auto"/>
            <w:vAlign w:val="center"/>
          </w:tcPr>
          <w:p w14:paraId="60B8242F"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Ley Electoral:</w:t>
            </w:r>
          </w:p>
        </w:tc>
        <w:tc>
          <w:tcPr>
            <w:tcW w:w="2958" w:type="pct"/>
            <w:shd w:val="clear" w:color="auto" w:fill="auto"/>
            <w:vAlign w:val="center"/>
          </w:tcPr>
          <w:p w14:paraId="13510B20"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Ley Electoral y de Partidos Políticos del Estado de Tabasco.</w:t>
            </w:r>
          </w:p>
        </w:tc>
      </w:tr>
      <w:tr w:rsidR="003F574A" w:rsidRPr="003F574A" w14:paraId="46821A67" w14:textId="77777777" w:rsidTr="00AD6053">
        <w:trPr>
          <w:trHeight w:val="624"/>
          <w:jc w:val="center"/>
        </w:trPr>
        <w:tc>
          <w:tcPr>
            <w:tcW w:w="2042" w:type="pct"/>
            <w:shd w:val="clear" w:color="auto" w:fill="auto"/>
            <w:vAlign w:val="center"/>
          </w:tcPr>
          <w:p w14:paraId="3D994208"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Ley General:</w:t>
            </w:r>
          </w:p>
        </w:tc>
        <w:tc>
          <w:tcPr>
            <w:tcW w:w="2958" w:type="pct"/>
            <w:shd w:val="clear" w:color="auto" w:fill="auto"/>
            <w:vAlign w:val="center"/>
          </w:tcPr>
          <w:p w14:paraId="3B870971"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Ley General de Instituciones y Procedimientos Electorales.</w:t>
            </w:r>
          </w:p>
        </w:tc>
      </w:tr>
      <w:tr w:rsidR="003F574A" w:rsidRPr="003F574A" w14:paraId="1B45F2EB" w14:textId="77777777" w:rsidTr="00AD6053">
        <w:trPr>
          <w:trHeight w:val="624"/>
          <w:jc w:val="center"/>
        </w:trPr>
        <w:tc>
          <w:tcPr>
            <w:tcW w:w="2042" w:type="pct"/>
            <w:shd w:val="clear" w:color="auto" w:fill="auto"/>
            <w:vAlign w:val="center"/>
          </w:tcPr>
          <w:p w14:paraId="083BBFE8"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Organismo electoral:</w:t>
            </w:r>
          </w:p>
        </w:tc>
        <w:tc>
          <w:tcPr>
            <w:tcW w:w="2958" w:type="pct"/>
            <w:shd w:val="clear" w:color="auto" w:fill="auto"/>
            <w:vAlign w:val="center"/>
          </w:tcPr>
          <w:p w14:paraId="773DDCA1"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 xml:space="preserve">Organismo(s) público(s) local(es) electoral(es). </w:t>
            </w:r>
          </w:p>
        </w:tc>
      </w:tr>
      <w:tr w:rsidR="003F574A" w:rsidRPr="003F574A" w14:paraId="5A136732" w14:textId="77777777" w:rsidTr="00AD6053">
        <w:trPr>
          <w:trHeight w:val="624"/>
          <w:jc w:val="center"/>
        </w:trPr>
        <w:tc>
          <w:tcPr>
            <w:tcW w:w="2042" w:type="pct"/>
            <w:shd w:val="clear" w:color="auto" w:fill="auto"/>
            <w:vAlign w:val="center"/>
          </w:tcPr>
          <w:p w14:paraId="6584E089"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Proceso Electoral Extraordinario:</w:t>
            </w:r>
          </w:p>
        </w:tc>
        <w:tc>
          <w:tcPr>
            <w:tcW w:w="2958" w:type="pct"/>
            <w:shd w:val="clear" w:color="auto" w:fill="auto"/>
            <w:vAlign w:val="center"/>
          </w:tcPr>
          <w:p w14:paraId="35A6C654"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Proceso Electoral Local Extraordinario para personas juzgadoras del Poder Judicial del Estado 2024 – 2025.</w:t>
            </w:r>
          </w:p>
        </w:tc>
      </w:tr>
      <w:tr w:rsidR="003F574A" w:rsidRPr="003F574A" w14:paraId="7938C15B" w14:textId="77777777" w:rsidTr="00AD6053">
        <w:trPr>
          <w:trHeight w:val="624"/>
          <w:jc w:val="center"/>
        </w:trPr>
        <w:tc>
          <w:tcPr>
            <w:tcW w:w="2042" w:type="pct"/>
            <w:shd w:val="clear" w:color="auto" w:fill="auto"/>
            <w:vAlign w:val="center"/>
          </w:tcPr>
          <w:p w14:paraId="041E3989"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Reglamento de Comisiones:</w:t>
            </w:r>
          </w:p>
        </w:tc>
        <w:tc>
          <w:tcPr>
            <w:tcW w:w="2958" w:type="pct"/>
            <w:shd w:val="clear" w:color="auto" w:fill="auto"/>
            <w:vAlign w:val="center"/>
          </w:tcPr>
          <w:p w14:paraId="1691FA37"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Reglamento de Comisiones del Consejo Estatal del Instituto Electoral y de Participación Ciudadana de Tabasco.</w:t>
            </w:r>
          </w:p>
        </w:tc>
      </w:tr>
      <w:tr w:rsidR="003F574A" w:rsidRPr="003F574A" w14:paraId="46186EF3" w14:textId="77777777" w:rsidTr="00AD6053">
        <w:trPr>
          <w:trHeight w:val="624"/>
          <w:jc w:val="center"/>
        </w:trPr>
        <w:tc>
          <w:tcPr>
            <w:tcW w:w="2042" w:type="pct"/>
            <w:shd w:val="clear" w:color="auto" w:fill="auto"/>
            <w:vAlign w:val="center"/>
          </w:tcPr>
          <w:p w14:paraId="115EB4CD" w14:textId="77777777" w:rsidR="000412DA" w:rsidRPr="003F574A" w:rsidRDefault="000412DA" w:rsidP="007A229D">
            <w:pPr>
              <w:widowControl w:val="0"/>
              <w:spacing w:before="60" w:after="60"/>
              <w:jc w:val="right"/>
              <w:rPr>
                <w:rFonts w:ascii="Arial" w:hAnsi="Arial" w:cs="Arial"/>
                <w:b/>
                <w:bCs/>
                <w:sz w:val="20"/>
                <w:szCs w:val="20"/>
              </w:rPr>
            </w:pPr>
            <w:r w:rsidRPr="003F574A">
              <w:rPr>
                <w:rFonts w:ascii="Arial" w:hAnsi="Arial" w:cs="Arial"/>
                <w:b/>
                <w:bCs/>
                <w:sz w:val="20"/>
                <w:szCs w:val="20"/>
              </w:rPr>
              <w:t>Secretaría Ejecutiva:</w:t>
            </w:r>
          </w:p>
        </w:tc>
        <w:tc>
          <w:tcPr>
            <w:tcW w:w="2958" w:type="pct"/>
            <w:shd w:val="clear" w:color="auto" w:fill="auto"/>
            <w:vAlign w:val="center"/>
          </w:tcPr>
          <w:p w14:paraId="794ACFF2" w14:textId="77777777" w:rsidR="000412DA" w:rsidRPr="003F574A" w:rsidRDefault="000412DA" w:rsidP="007A229D">
            <w:pPr>
              <w:widowControl w:val="0"/>
              <w:spacing w:before="60" w:after="60"/>
              <w:rPr>
                <w:rFonts w:ascii="Arial" w:hAnsi="Arial" w:cs="Arial"/>
                <w:sz w:val="20"/>
                <w:szCs w:val="20"/>
              </w:rPr>
            </w:pPr>
            <w:r w:rsidRPr="003F574A">
              <w:rPr>
                <w:rFonts w:ascii="Arial" w:hAnsi="Arial" w:cs="Arial"/>
                <w:sz w:val="20"/>
                <w:szCs w:val="20"/>
              </w:rPr>
              <w:t>Secretaría Ejecutiva del Instituto Electoral y de Participación Ciudadana de Tabasco.</w:t>
            </w:r>
          </w:p>
        </w:tc>
      </w:tr>
    </w:tbl>
    <w:bookmarkEnd w:id="0"/>
    <w:p w14:paraId="78C061E8" w14:textId="77777777" w:rsidR="000412DA" w:rsidRPr="003F574A" w:rsidRDefault="000412DA" w:rsidP="007A229D">
      <w:pPr>
        <w:pStyle w:val="Ttulo1"/>
        <w:keepNext w:val="0"/>
        <w:widowControl w:val="0"/>
        <w:rPr>
          <w:rFonts w:ascii="Arial" w:hAnsi="Arial" w:cs="Arial"/>
          <w:sz w:val="24"/>
          <w:szCs w:val="24"/>
        </w:rPr>
      </w:pPr>
      <w:r w:rsidRPr="003F574A">
        <w:rPr>
          <w:rFonts w:ascii="Arial" w:hAnsi="Arial" w:cs="Arial"/>
          <w:sz w:val="24"/>
          <w:szCs w:val="24"/>
        </w:rPr>
        <w:lastRenderedPageBreak/>
        <w:t>Antecedentes</w:t>
      </w:r>
    </w:p>
    <w:p w14:paraId="0778F859"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Fines del Instituto</w:t>
      </w:r>
    </w:p>
    <w:p w14:paraId="46DC1392"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3E7AC72"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69CF542C"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1DD161E"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Integración del órgano superior de dirección</w:t>
      </w:r>
    </w:p>
    <w:p w14:paraId="29A65996"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6DC79D6A"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 xml:space="preserve">Dicho órgano electoral, de conformidad con los artículos 99 de la Ley General y 107 numeral 1 de la Ley Electoral, se integrará por una Consejera o un Consejero Presidente y seis </w:t>
      </w:r>
      <w:r w:rsidRPr="003F574A">
        <w:rPr>
          <w:rFonts w:ascii="Arial" w:hAnsi="Arial" w:cs="Arial"/>
          <w:sz w:val="22"/>
          <w:szCs w:val="22"/>
        </w:rPr>
        <w:lastRenderedPageBreak/>
        <w:t>consejeras y consejeros electorales, con voz y voto; la Secretaria o el Secretario Ejecutivo y una o un representante por cada partido político con registro nacional o estatal, quienes concurrirán a las sesiones sólo con derecho a voz.</w:t>
      </w:r>
    </w:p>
    <w:p w14:paraId="1DEEE81E"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714B7D12"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Comisiones del Instituto</w:t>
      </w:r>
    </w:p>
    <w:p w14:paraId="780A01E3"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INE, que será presidida por la Consejera o el Consejero Presidente.</w:t>
      </w:r>
    </w:p>
    <w:p w14:paraId="32F76677"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 xml:space="preserve">Reforma Constitucional </w:t>
      </w:r>
    </w:p>
    <w:p w14:paraId="5822A697"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45DD402" w14:textId="1822BCF9" w:rsidR="000412DA" w:rsidRDefault="000412DA" w:rsidP="007A229D">
      <w:pPr>
        <w:widowControl w:val="0"/>
        <w:rPr>
          <w:rFonts w:ascii="Arial" w:hAnsi="Arial" w:cs="Arial"/>
          <w:sz w:val="22"/>
          <w:szCs w:val="22"/>
        </w:rPr>
      </w:pPr>
      <w:r w:rsidRPr="003F574A">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07B85628" w14:textId="68B9EBAB" w:rsidR="003F574A" w:rsidRDefault="003F574A" w:rsidP="007A229D">
      <w:pPr>
        <w:widowControl w:val="0"/>
        <w:rPr>
          <w:rFonts w:ascii="Arial" w:hAnsi="Arial" w:cs="Arial"/>
          <w:sz w:val="22"/>
          <w:szCs w:val="22"/>
        </w:rPr>
      </w:pPr>
    </w:p>
    <w:p w14:paraId="3F9300E6" w14:textId="77777777" w:rsidR="003F574A" w:rsidRPr="003F574A" w:rsidRDefault="003F574A" w:rsidP="007A229D">
      <w:pPr>
        <w:widowControl w:val="0"/>
        <w:rPr>
          <w:rFonts w:ascii="Arial" w:hAnsi="Arial" w:cs="Arial"/>
          <w:sz w:val="22"/>
          <w:szCs w:val="22"/>
        </w:rPr>
      </w:pPr>
    </w:p>
    <w:p w14:paraId="5E9B32CE"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lastRenderedPageBreak/>
        <w:t>Inicio del Proceso Electoral Extraordinario</w:t>
      </w:r>
    </w:p>
    <w:p w14:paraId="02F90020"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258685B2"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Reforma a la Ley Electoral</w:t>
      </w:r>
    </w:p>
    <w:p w14:paraId="34C3CEBD"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56DF07AB"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 xml:space="preserve">Integración de la Comisión </w:t>
      </w:r>
    </w:p>
    <w:p w14:paraId="45361140"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 xml:space="preserve">El 4 de octubre de 2024, mediante acuerdo CE/2024/090, el Consejo Estatal modificó la conformación de las Comisiones Permanentes, entre ellas, la relativa a la de Denuncias y Quejas, quedando integrada por el Consejero Electoral, Lic. Vladimir Hernández Venegas y las Consejeras Electorales, Licda. Monserrat Martínez </w:t>
      </w:r>
      <w:proofErr w:type="spellStart"/>
      <w:r w:rsidRPr="003F574A">
        <w:rPr>
          <w:rFonts w:ascii="Arial" w:hAnsi="Arial" w:cs="Arial"/>
          <w:sz w:val="22"/>
          <w:szCs w:val="22"/>
        </w:rPr>
        <w:t>Beaurregard</w:t>
      </w:r>
      <w:proofErr w:type="spellEnd"/>
      <w:r w:rsidRPr="003F574A">
        <w:rPr>
          <w:rFonts w:ascii="Arial" w:hAnsi="Arial" w:cs="Arial"/>
          <w:sz w:val="22"/>
          <w:szCs w:val="22"/>
        </w:rPr>
        <w:t xml:space="preserve"> y Mtra. Ruth Lizette Toledo Peral, ésta última, Presidenta de la Comisión.</w:t>
      </w:r>
    </w:p>
    <w:p w14:paraId="46408DD4"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Lineamientos aprobados por el INE</w:t>
      </w:r>
    </w:p>
    <w:p w14:paraId="358DE618" w14:textId="3B92B0FC" w:rsidR="000412DA" w:rsidRDefault="000412DA" w:rsidP="007A229D">
      <w:pPr>
        <w:widowControl w:val="0"/>
        <w:rPr>
          <w:rFonts w:ascii="Arial" w:hAnsi="Arial" w:cs="Arial"/>
          <w:sz w:val="22"/>
          <w:szCs w:val="22"/>
        </w:rPr>
      </w:pPr>
      <w:r w:rsidRPr="003F574A">
        <w:rPr>
          <w:rFonts w:ascii="Arial" w:hAnsi="Arial" w:cs="Arial"/>
          <w:sz w:val="22"/>
          <w:szCs w:val="22"/>
        </w:rPr>
        <w:t>El 5 de febrero de 2025, mediante acuerdo INE/CG56/2025, el Consejo General del INE aprobó los Lineamientos, los cuales tienen la finalidad de preservar la cadena de custodia de los paquetes electorales, toda vez que en el supuesto de que no se pudieran tomar las medidas necesarias para garantizar el cumplimiento de los principios constitucionales rectores de los procesos electorales, sobre el resguardo de paquetes electorales, podría generar una serie de violaciones e irregularidades que podrían ser determinantes para el resultado de alguna elección.</w:t>
      </w:r>
    </w:p>
    <w:p w14:paraId="059C7C3B" w14:textId="77777777" w:rsidR="003F574A" w:rsidRPr="003F574A" w:rsidRDefault="003F574A" w:rsidP="007A229D">
      <w:pPr>
        <w:widowControl w:val="0"/>
        <w:rPr>
          <w:rFonts w:ascii="Arial" w:hAnsi="Arial" w:cs="Arial"/>
          <w:sz w:val="22"/>
          <w:szCs w:val="22"/>
        </w:rPr>
      </w:pPr>
    </w:p>
    <w:p w14:paraId="1FC0E5A9"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lastRenderedPageBreak/>
        <w:t>Jornada electoral</w:t>
      </w:r>
    </w:p>
    <w:p w14:paraId="46374E0D"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52BA1167"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 xml:space="preserve">Presentación de la propuesta </w:t>
      </w:r>
    </w:p>
    <w:p w14:paraId="473A7D9A" w14:textId="33EEA3D0" w:rsidR="000412DA" w:rsidRPr="003F574A" w:rsidRDefault="000412DA" w:rsidP="007A229D">
      <w:pPr>
        <w:widowControl w:val="0"/>
        <w:rPr>
          <w:rFonts w:ascii="Arial" w:hAnsi="Arial" w:cs="Arial"/>
          <w:sz w:val="22"/>
          <w:szCs w:val="22"/>
        </w:rPr>
      </w:pPr>
      <w:r w:rsidRPr="003F574A">
        <w:rPr>
          <w:rFonts w:ascii="Arial" w:hAnsi="Arial" w:cs="Arial"/>
          <w:sz w:val="22"/>
          <w:szCs w:val="22"/>
        </w:rPr>
        <w:t xml:space="preserve">El 24 de marzo de 2025, la </w:t>
      </w:r>
      <w:r w:rsidR="001D136F" w:rsidRPr="003F574A">
        <w:rPr>
          <w:rFonts w:ascii="Arial" w:hAnsi="Arial" w:cs="Arial"/>
          <w:sz w:val="22"/>
          <w:szCs w:val="22"/>
        </w:rPr>
        <w:t>Secretaria T</w:t>
      </w:r>
      <w:r w:rsidRPr="003F574A">
        <w:rPr>
          <w:rFonts w:ascii="Arial" w:hAnsi="Arial" w:cs="Arial"/>
          <w:sz w:val="22"/>
          <w:szCs w:val="22"/>
        </w:rPr>
        <w:t xml:space="preserve">écnica de la Comisión remitió a la Presidencia del Consejo, la propuesta aprobada por la Comisión relativa a </w:t>
      </w:r>
      <w:r w:rsidR="008C0762" w:rsidRPr="003F574A">
        <w:rPr>
          <w:rFonts w:ascii="Arial" w:hAnsi="Arial" w:cs="Arial"/>
          <w:sz w:val="22"/>
          <w:szCs w:val="22"/>
        </w:rPr>
        <w:t xml:space="preserve">el catálogo de infracciones para el </w:t>
      </w:r>
      <w:r w:rsidRPr="003F574A">
        <w:rPr>
          <w:rFonts w:ascii="Arial" w:hAnsi="Arial" w:cs="Arial"/>
          <w:sz w:val="22"/>
          <w:szCs w:val="22"/>
        </w:rPr>
        <w:t>Proceso Electoral Extraordinario.</w:t>
      </w:r>
    </w:p>
    <w:p w14:paraId="0FA752E3" w14:textId="77777777" w:rsidR="000412DA" w:rsidRPr="003F574A" w:rsidRDefault="000412DA" w:rsidP="007A229D">
      <w:pPr>
        <w:pStyle w:val="Ttulo1"/>
        <w:keepNext w:val="0"/>
        <w:widowControl w:val="0"/>
        <w:rPr>
          <w:rFonts w:ascii="Arial" w:hAnsi="Arial" w:cs="Arial"/>
          <w:sz w:val="24"/>
          <w:szCs w:val="24"/>
        </w:rPr>
      </w:pPr>
      <w:r w:rsidRPr="003F574A">
        <w:rPr>
          <w:rFonts w:ascii="Arial" w:hAnsi="Arial" w:cs="Arial"/>
          <w:sz w:val="24"/>
          <w:szCs w:val="24"/>
        </w:rPr>
        <w:t>Considerando</w:t>
      </w:r>
    </w:p>
    <w:p w14:paraId="21239054"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Competencia del Consejo Estatal</w:t>
      </w:r>
    </w:p>
    <w:p w14:paraId="6C64B364"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Que, de conformidad con los artículos 115 numeral 1, fracción XL y 393 numeral 1 fracción II de la Ley Electoral, el Consejo Estatal es competente para organizar el proceso electivo de las personas juzgadoras, su jornada electoral y los cómputos de los resultados electorales, en los términos que determine la Ley General y la Ley Electoral, además de aprobar los lineamientos o acuerdos necesarios para llevar a cabo la organización, desarrollo y cómputo de la elección.</w:t>
      </w:r>
    </w:p>
    <w:p w14:paraId="6E42EB1A"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4EA54C12"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Proceso electoral de las personas juzgadoras</w:t>
      </w:r>
    </w:p>
    <w:p w14:paraId="36643917" w14:textId="77777777" w:rsidR="000412DA" w:rsidRPr="003F574A" w:rsidRDefault="000412DA" w:rsidP="007A229D">
      <w:pPr>
        <w:widowControl w:val="0"/>
        <w:spacing w:line="281" w:lineRule="auto"/>
        <w:rPr>
          <w:rFonts w:ascii="Arial" w:hAnsi="Arial" w:cs="Arial"/>
          <w:sz w:val="22"/>
          <w:szCs w:val="22"/>
        </w:rPr>
      </w:pPr>
      <w:r w:rsidRPr="003F574A">
        <w:rPr>
          <w:rFonts w:ascii="Arial" w:hAnsi="Arial" w:cs="Arial"/>
          <w:sz w:val="22"/>
          <w:szCs w:val="22"/>
        </w:rPr>
        <w:t xml:space="preserve">Que, el artículo 386 numeral 1 de la Ley Electoral dispone que, el proceso electoral de las personas juzgadoras del Poder Judicial es el conjunto de actos ordenados por la Constitución Local y la Ley Electoral, realizado por las autoridades electorales, el Congreso </w:t>
      </w:r>
      <w:r w:rsidRPr="003F574A">
        <w:rPr>
          <w:rFonts w:ascii="Arial" w:hAnsi="Arial" w:cs="Arial"/>
          <w:sz w:val="22"/>
          <w:szCs w:val="22"/>
        </w:rPr>
        <w:lastRenderedPageBreak/>
        <w:t>del Estado, así como la ciudadanía, que tiene por objeto la renovación periódica de las personas juzgadoras que integran el Poder Judicial.</w:t>
      </w:r>
    </w:p>
    <w:p w14:paraId="3DEEE612"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Derecho de la ciudadanía a participar en los procesos de selección y evaluación de candidaturas</w:t>
      </w:r>
    </w:p>
    <w:p w14:paraId="10FD1BA8"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591AAAB6"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 xml:space="preserve">Procedimiento para la elección de personas juzgadoras del Poder Judicial </w:t>
      </w:r>
    </w:p>
    <w:p w14:paraId="6F13E82C"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Que, para llevar a cabo la elección y renovación de las Magistradas y Magistrados del Tribunal de Disciplina Judicial y las Magistradas y Magistrados, Juezas y Jueces del Tribunal Superior de Justicia, el artículo 56 de la Constitución Local establece que la elección estará sujeta al siguiente procedimiento:</w:t>
      </w:r>
    </w:p>
    <w:p w14:paraId="69BEDAF1" w14:textId="77777777" w:rsidR="000412DA" w:rsidRPr="003F574A" w:rsidRDefault="000412DA" w:rsidP="007A229D">
      <w:pPr>
        <w:pStyle w:val="Prrafodelista"/>
        <w:widowControl w:val="0"/>
        <w:numPr>
          <w:ilvl w:val="0"/>
          <w:numId w:val="1"/>
        </w:numPr>
        <w:ind w:left="720"/>
        <w:contextualSpacing w:val="0"/>
        <w:rPr>
          <w:rFonts w:ascii="Arial" w:hAnsi="Arial" w:cs="Arial"/>
          <w:sz w:val="22"/>
          <w:szCs w:val="22"/>
        </w:rPr>
      </w:pPr>
      <w:r w:rsidRPr="003F574A">
        <w:rPr>
          <w:rFonts w:ascii="Arial" w:hAnsi="Arial" w:cs="Arial"/>
          <w:sz w:val="22"/>
          <w:szCs w:val="22"/>
        </w:rPr>
        <w:t>El Congreso del Estado publicará la convocatoria para la integración del listado de candidaturas dentro de los treinta días naturales siguientes a la instalación del primer periodo ordinario de sesiones del año anterior al de la elección que corresponda, que contendrá las etapas completas del procedimiento, sus fechas y plazos improrrogables y los cargos a elegir. El Órgano de Administración Judicial hará del conocimiento del Congreso, los cargos sujetos a elección y demás información que requiera;</w:t>
      </w:r>
    </w:p>
    <w:p w14:paraId="59E22C3C" w14:textId="77777777" w:rsidR="000412DA" w:rsidRPr="003F574A" w:rsidRDefault="000412DA" w:rsidP="007A229D">
      <w:pPr>
        <w:pStyle w:val="Prrafodelista"/>
        <w:widowControl w:val="0"/>
        <w:numPr>
          <w:ilvl w:val="0"/>
          <w:numId w:val="1"/>
        </w:numPr>
        <w:ind w:left="720"/>
        <w:contextualSpacing w:val="0"/>
        <w:rPr>
          <w:rFonts w:ascii="Arial" w:hAnsi="Arial" w:cs="Arial"/>
          <w:sz w:val="22"/>
          <w:szCs w:val="22"/>
        </w:rPr>
      </w:pPr>
      <w:r w:rsidRPr="003F574A">
        <w:rPr>
          <w:rFonts w:ascii="Arial" w:hAnsi="Arial" w:cs="Arial"/>
          <w:sz w:val="22"/>
          <w:szCs w:val="22"/>
        </w:rPr>
        <w:t>Los Poderes del Estado postularán el número de candidaturas que corresponda a cada cargo conforme a los párrafos segundo y tercero del artículo en mención. Para la evaluación y selección de sus postulaciones, observarán lo siguiente:</w:t>
      </w:r>
    </w:p>
    <w:p w14:paraId="54C7EE16" w14:textId="77777777" w:rsidR="000412DA" w:rsidRPr="003F574A" w:rsidRDefault="000412DA" w:rsidP="007A229D">
      <w:pPr>
        <w:pStyle w:val="Prrafodelista"/>
        <w:widowControl w:val="0"/>
        <w:numPr>
          <w:ilvl w:val="1"/>
          <w:numId w:val="1"/>
        </w:numPr>
        <w:contextualSpacing w:val="0"/>
        <w:rPr>
          <w:rFonts w:ascii="Arial" w:hAnsi="Arial" w:cs="Arial"/>
          <w:sz w:val="22"/>
          <w:szCs w:val="22"/>
        </w:rPr>
      </w:pPr>
      <w:r w:rsidRPr="003F574A">
        <w:rPr>
          <w:rFonts w:ascii="Arial" w:hAnsi="Arial" w:cs="Arial"/>
          <w:sz w:val="22"/>
          <w:szCs w:val="22"/>
        </w:rPr>
        <w:t xml:space="preserve">Los Poderes establecerán mecanismos públicos, abiertos, transparentes, inclusivos y accesibles que permitan la participación de todas las personas interesadas que acrediten los requisitos establecidos en esta Constitución y en las leyes aplicables, presenten un ensayo de tres cuartillas donde justifiquen los motivos de su postulación y remitan cinco cartas de referencia de sus vecinos, colegas o personas que respalden su idoneidad para </w:t>
      </w:r>
      <w:r w:rsidRPr="003F574A">
        <w:rPr>
          <w:rFonts w:ascii="Arial" w:hAnsi="Arial" w:cs="Arial"/>
          <w:sz w:val="22"/>
          <w:szCs w:val="22"/>
        </w:rPr>
        <w:lastRenderedPageBreak/>
        <w:t>desempeñar el cargo;</w:t>
      </w:r>
    </w:p>
    <w:p w14:paraId="1505983D" w14:textId="77777777" w:rsidR="000412DA" w:rsidRPr="003F574A" w:rsidRDefault="000412DA" w:rsidP="007A229D">
      <w:pPr>
        <w:pStyle w:val="Prrafodelista"/>
        <w:widowControl w:val="0"/>
        <w:numPr>
          <w:ilvl w:val="1"/>
          <w:numId w:val="1"/>
        </w:numPr>
        <w:contextualSpacing w:val="0"/>
        <w:rPr>
          <w:rFonts w:ascii="Arial" w:hAnsi="Arial" w:cs="Arial"/>
          <w:sz w:val="22"/>
          <w:szCs w:val="22"/>
        </w:rPr>
      </w:pPr>
      <w:r w:rsidRPr="003F574A">
        <w:rPr>
          <w:rFonts w:ascii="Arial" w:hAnsi="Arial" w:cs="Arial"/>
          <w:sz w:val="22"/>
          <w:szCs w:val="22"/>
        </w:rPr>
        <w:t>Cada Poder integrará un Comité de Evaluación conformado por tres personas reconocidas en la actividad jurídica, que recibirá los expedientes de las personas aspirantes, evaluará el cumplimiento de los requisitos constitucionales y legales e identificará a las personas mejor evaluadas que cuenten con los conocimientos técnicos necesarios para el desempeño del cargo y se hayan distinguido por su honestidad, buena fama pública, competencia y antecedentes académicos y profesionales en el ejercicio de la actividad jurídica, y</w:t>
      </w:r>
    </w:p>
    <w:p w14:paraId="12AE1243" w14:textId="77777777" w:rsidR="000412DA" w:rsidRPr="003F574A" w:rsidRDefault="000412DA" w:rsidP="007A229D">
      <w:pPr>
        <w:pStyle w:val="Prrafodelista"/>
        <w:widowControl w:val="0"/>
        <w:numPr>
          <w:ilvl w:val="1"/>
          <w:numId w:val="1"/>
        </w:numPr>
        <w:contextualSpacing w:val="0"/>
        <w:rPr>
          <w:rFonts w:ascii="Arial" w:hAnsi="Arial" w:cs="Arial"/>
          <w:sz w:val="22"/>
          <w:szCs w:val="22"/>
        </w:rPr>
      </w:pPr>
      <w:r w:rsidRPr="003F574A">
        <w:rPr>
          <w:rFonts w:ascii="Arial" w:hAnsi="Arial" w:cs="Arial"/>
          <w:sz w:val="22"/>
          <w:szCs w:val="22"/>
        </w:rPr>
        <w:t>Los Comités de Evaluación integrarán un listado de las cinco personas mejor evaluadas para cada cargo. Posteriormente, depurarán dicho listado en los términos que establezca la legislación secundaria, para ajustarlo al número de postulaciones para cada cargo, observando la paridad de género. Ajustados los listados, los Comités los remitirán a la autoridad que represente a cada Poder del Estado para su aprobación y envío al Congreso.</w:t>
      </w:r>
    </w:p>
    <w:p w14:paraId="3AFF4D5C" w14:textId="77777777" w:rsidR="000412DA" w:rsidRPr="003F574A" w:rsidRDefault="000412DA" w:rsidP="007A229D">
      <w:pPr>
        <w:pStyle w:val="Prrafodelista"/>
        <w:widowControl w:val="0"/>
        <w:numPr>
          <w:ilvl w:val="0"/>
          <w:numId w:val="1"/>
        </w:numPr>
        <w:ind w:left="720"/>
        <w:contextualSpacing w:val="0"/>
        <w:rPr>
          <w:rFonts w:ascii="Arial" w:hAnsi="Arial" w:cs="Arial"/>
          <w:sz w:val="22"/>
          <w:szCs w:val="22"/>
        </w:rPr>
      </w:pPr>
      <w:r w:rsidRPr="003F574A">
        <w:rPr>
          <w:rFonts w:ascii="Arial" w:hAnsi="Arial" w:cs="Arial"/>
          <w:sz w:val="22"/>
          <w:szCs w:val="22"/>
        </w:rPr>
        <w:t>El Congreso recibirá las postulaciones y remitirá los listados al Instituto a más tardar el 12 de febrero del año de la elección que corresponda, a efecto de que organice el proceso electivo.</w:t>
      </w:r>
    </w:p>
    <w:p w14:paraId="6F47A506" w14:textId="77777777" w:rsidR="000412DA" w:rsidRPr="003F574A" w:rsidRDefault="000412DA" w:rsidP="007A229D">
      <w:pPr>
        <w:pStyle w:val="Prrafodelista"/>
        <w:widowControl w:val="0"/>
        <w:contextualSpacing w:val="0"/>
        <w:rPr>
          <w:rFonts w:ascii="Arial" w:hAnsi="Arial" w:cs="Arial"/>
          <w:sz w:val="22"/>
          <w:szCs w:val="22"/>
        </w:rPr>
      </w:pPr>
      <w:r w:rsidRPr="003F574A">
        <w:rPr>
          <w:rFonts w:ascii="Arial" w:hAnsi="Arial" w:cs="Arial"/>
          <w:sz w:val="22"/>
          <w:szCs w:val="22"/>
        </w:rPr>
        <w:t>Las personas candidatas podrán ser postuladas simultáneamente por uno o varios Poderes del Estado, siempre que aspiren al mismo cargo. Los Poderes que no remitan sus postulaciones al término del plazo previsto en la convocatoria no podrán hacerlo posteriormente; y</w:t>
      </w:r>
    </w:p>
    <w:p w14:paraId="2A92D8E2" w14:textId="77777777" w:rsidR="000412DA" w:rsidRPr="003F574A" w:rsidRDefault="000412DA" w:rsidP="007A229D">
      <w:pPr>
        <w:pStyle w:val="Prrafodelista"/>
        <w:widowControl w:val="0"/>
        <w:numPr>
          <w:ilvl w:val="0"/>
          <w:numId w:val="1"/>
        </w:numPr>
        <w:ind w:left="720"/>
        <w:contextualSpacing w:val="0"/>
        <w:rPr>
          <w:rFonts w:ascii="Arial" w:hAnsi="Arial" w:cs="Arial"/>
          <w:sz w:val="22"/>
          <w:szCs w:val="22"/>
        </w:rPr>
      </w:pPr>
      <w:r w:rsidRPr="003F574A">
        <w:rPr>
          <w:rFonts w:ascii="Arial" w:hAnsi="Arial" w:cs="Arial"/>
          <w:sz w:val="22"/>
          <w:szCs w:val="22"/>
        </w:rPr>
        <w:t>El Instituto efectuará los cómputos de la elección, publicará los resultados y entregará las constancias de mayoría a las candidaturas que obtengan el mayor número de votos, asignando los cargos alternadamente entre mujeres y hombres. También declarará la validez de la elección y enviará sus resultados al Tribunal Electoral de Tabasco, el cual resolverá las impugnaciones antes de que el Congreso instale el primer periodo ordinario de sesiones del año de la elección que corresponda, fecha en que las personas electas rendirán protesta de su encargo ante dicho órgano legislativo.</w:t>
      </w:r>
    </w:p>
    <w:p w14:paraId="5E9719C3" w14:textId="77777777" w:rsidR="000412DA" w:rsidRPr="003F574A" w:rsidRDefault="000412DA" w:rsidP="007A229D">
      <w:pPr>
        <w:pStyle w:val="Prrafodelista"/>
        <w:widowControl w:val="0"/>
        <w:contextualSpacing w:val="0"/>
        <w:rPr>
          <w:rFonts w:ascii="Arial" w:hAnsi="Arial" w:cs="Arial"/>
          <w:sz w:val="22"/>
          <w:szCs w:val="22"/>
        </w:rPr>
      </w:pPr>
      <w:r w:rsidRPr="003F574A">
        <w:rPr>
          <w:rFonts w:ascii="Arial" w:hAnsi="Arial" w:cs="Arial"/>
          <w:sz w:val="22"/>
          <w:szCs w:val="22"/>
        </w:rPr>
        <w:t xml:space="preserve">La elección de Magistradas y Magistrados del Tribunal de Disciplina Judicial y del Tribunal Superior de Justicia, así como las Juezas y Jueces en materia penal, se realizará a nivel estatal conforme al procedimiento anterior y en los términos que dispongan las leyes generales y locales aplicables. El titular del Poder Ejecutivo postulará hasta dos personas aspirantes; el Poder Legislativo postulará hasta dos </w:t>
      </w:r>
      <w:r w:rsidRPr="003F574A">
        <w:rPr>
          <w:rFonts w:ascii="Arial" w:hAnsi="Arial" w:cs="Arial"/>
          <w:sz w:val="22"/>
          <w:szCs w:val="22"/>
        </w:rPr>
        <w:lastRenderedPageBreak/>
        <w:t>personas, mediante votación calificada de dos tercios de sus integrantes presentes, y el Poder Judicial del Estado por conducto del Pleno, postulará hasta dos personas por mayoría calificada de votos.</w:t>
      </w:r>
    </w:p>
    <w:p w14:paraId="65C42880" w14:textId="77777777" w:rsidR="000412DA" w:rsidRPr="003F574A" w:rsidRDefault="000412DA" w:rsidP="007A229D">
      <w:pPr>
        <w:pStyle w:val="Prrafodelista"/>
        <w:widowControl w:val="0"/>
        <w:contextualSpacing w:val="0"/>
        <w:rPr>
          <w:rFonts w:ascii="Arial" w:hAnsi="Arial" w:cs="Arial"/>
          <w:sz w:val="22"/>
          <w:szCs w:val="22"/>
        </w:rPr>
      </w:pPr>
      <w:r w:rsidRPr="003F574A">
        <w:rPr>
          <w:rFonts w:ascii="Arial" w:hAnsi="Arial" w:cs="Arial"/>
          <w:sz w:val="22"/>
          <w:szCs w:val="22"/>
        </w:rPr>
        <w:t>Para el caso de Juezas y Jueces civiles, familiares, mercantiles y laborales, la elección se realizará por distrito o región judicial conforme al procedimiento establecido en este artículo y en los términos que dispongan las leyes generales y locales aplicables. Cada uno de los Poderes del Estado postulará hasta dos personas para cada cargo: el Poder Ejecutivo lo hará por conducto de su titular; el Poder Legislativo mediante votación calificada de dos terceras partes de sus integrantes presentes, y el Poder Judicial del Estado, por conducto del Pleno del Tribunal Superior de Justicia por mayoría calificada de votos.</w:t>
      </w:r>
    </w:p>
    <w:p w14:paraId="3152AE76" w14:textId="77777777" w:rsidR="000412DA" w:rsidRPr="003F574A" w:rsidRDefault="000412DA" w:rsidP="007A229D">
      <w:pPr>
        <w:pStyle w:val="Prrafodelista"/>
        <w:widowControl w:val="0"/>
        <w:contextualSpacing w:val="0"/>
        <w:rPr>
          <w:rFonts w:ascii="Arial" w:hAnsi="Arial" w:cs="Arial"/>
          <w:sz w:val="22"/>
          <w:szCs w:val="22"/>
        </w:rPr>
      </w:pPr>
      <w:r w:rsidRPr="003F574A">
        <w:rPr>
          <w:rFonts w:ascii="Arial" w:hAnsi="Arial" w:cs="Arial"/>
          <w:sz w:val="22"/>
          <w:szCs w:val="22"/>
        </w:rPr>
        <w:t>El Congreso incorporará a los listados que remita al Instituto a las personas que se encuentren en funciones en los cargos señalados en los dos párrafos anteriores al cierre de la convocatoria respectiva, excepto cuando manifiesten la declinación de su candidatura dentro de los treinta días posteriores a su publicación o sean postuladas para un cargo judicial diverso. La asignación de los cargos electos se realizará por materia de especialización entre las candidaturas que obtengan el mayor número de votos.</w:t>
      </w:r>
    </w:p>
    <w:p w14:paraId="4BFBB74A" w14:textId="77777777"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Propaganda Electoral</w:t>
      </w:r>
    </w:p>
    <w:p w14:paraId="12B3643B"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Que, el artículo 394 numeral 1 de la Ley Electoral dispone que durante el tiempo que comprendan las campañas electorales, las personas candidatas a cargos de elección del Poder Judicial podrán difundir su trayectoria profesional, méritos y visiones acerca de la función jurisdiccional y la impartición de justicia, así como propuestas de mejora o cualquier otra manifestación amparada bajo el derecho al ejercicio de la libertad de expresión, siempre que no excedan o contravengan los parámetros constitucionales y legales aplicables.</w:t>
      </w:r>
    </w:p>
    <w:p w14:paraId="0718F6D1"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Para tal efecto, el numeral 2 del artículo en cita señala que, se entiende por propaganda al conjunto de escritos, publicaciones, imágenes, grabaciones, proyecciones y expresiones que difundan las personas candidatas durante el periodo de campaña.</w:t>
      </w:r>
    </w:p>
    <w:p w14:paraId="2F570216" w14:textId="68F0B7F2" w:rsidR="00A04E08" w:rsidRPr="003F574A" w:rsidRDefault="00A04E08" w:rsidP="007A229D">
      <w:pPr>
        <w:pStyle w:val="Ttulo2"/>
        <w:keepNext w:val="0"/>
        <w:widowControl w:val="0"/>
        <w:rPr>
          <w:rFonts w:ascii="Arial" w:hAnsi="Arial" w:cs="Arial"/>
          <w:sz w:val="22"/>
          <w:szCs w:val="22"/>
        </w:rPr>
      </w:pPr>
      <w:r w:rsidRPr="003F574A">
        <w:rPr>
          <w:rFonts w:ascii="Arial" w:hAnsi="Arial" w:cs="Arial"/>
          <w:sz w:val="22"/>
          <w:szCs w:val="22"/>
        </w:rPr>
        <w:t>Restricciones a la propaganda</w:t>
      </w:r>
    </w:p>
    <w:p w14:paraId="44D1A36A" w14:textId="65C3C44C" w:rsidR="00A04E08" w:rsidRPr="003F574A" w:rsidRDefault="00A04E08" w:rsidP="007A229D">
      <w:pPr>
        <w:widowControl w:val="0"/>
        <w:rPr>
          <w:rFonts w:ascii="Arial" w:hAnsi="Arial" w:cs="Arial"/>
          <w:sz w:val="22"/>
          <w:szCs w:val="22"/>
        </w:rPr>
      </w:pPr>
      <w:r w:rsidRPr="003F574A">
        <w:rPr>
          <w:rFonts w:ascii="Arial" w:hAnsi="Arial" w:cs="Arial"/>
          <w:sz w:val="22"/>
          <w:szCs w:val="22"/>
        </w:rPr>
        <w:t xml:space="preserve">Que, en términos del artículo 395 numeral 1 de la Ley Electoral, los partidos políticos y las personas servidoras públicas no podrán realizar ningún acto de proselitismo o manifestarse públicamente a favor o en contra de candidatura alguna. Queda prohibido el uso de recursos </w:t>
      </w:r>
      <w:r w:rsidRPr="003F574A">
        <w:rPr>
          <w:rFonts w:ascii="Arial" w:hAnsi="Arial" w:cs="Arial"/>
          <w:sz w:val="22"/>
          <w:szCs w:val="22"/>
        </w:rPr>
        <w:lastRenderedPageBreak/>
        <w:t>públicos para fines de promoción y propaganda relacionados con los procesos de elección de personas integrantes del Poder Judicial, de conformidad con lo dispuesto por los artículos 134 de la Constitución Federal y 56 párrafo séptimo de la Constitución Local.</w:t>
      </w:r>
    </w:p>
    <w:p w14:paraId="16B61DD7" w14:textId="34629226" w:rsidR="00A04E08" w:rsidRPr="003F574A" w:rsidRDefault="00A04E08" w:rsidP="007A229D">
      <w:pPr>
        <w:widowControl w:val="0"/>
        <w:rPr>
          <w:rFonts w:ascii="Arial" w:hAnsi="Arial" w:cs="Arial"/>
          <w:sz w:val="22"/>
          <w:szCs w:val="22"/>
        </w:rPr>
      </w:pPr>
      <w:r w:rsidRPr="003F574A">
        <w:rPr>
          <w:rFonts w:ascii="Arial" w:hAnsi="Arial" w:cs="Arial"/>
          <w:sz w:val="22"/>
          <w:szCs w:val="22"/>
        </w:rPr>
        <w:t>Asimismo, de conformidad con el numeral 2 del artículo en cita, queda prohibida a las personas candidatas la contratación por sí o por interpósita persona de tiempos de radio y televisión para fines de promoción de sus candidaturas, así como de espacios publicitarios y de promoción personal en medios de comunicación impresos o digitales.</w:t>
      </w:r>
    </w:p>
    <w:p w14:paraId="63C1590F" w14:textId="05CCEA92" w:rsidR="000412DA" w:rsidRPr="003F574A" w:rsidRDefault="000412DA" w:rsidP="007A229D">
      <w:pPr>
        <w:pStyle w:val="Ttulo2"/>
        <w:keepNext w:val="0"/>
        <w:widowControl w:val="0"/>
        <w:rPr>
          <w:rFonts w:ascii="Arial" w:hAnsi="Arial" w:cs="Arial"/>
          <w:sz w:val="22"/>
          <w:szCs w:val="22"/>
        </w:rPr>
      </w:pPr>
      <w:r w:rsidRPr="003F574A">
        <w:rPr>
          <w:rFonts w:ascii="Arial" w:hAnsi="Arial" w:cs="Arial"/>
          <w:sz w:val="22"/>
          <w:szCs w:val="22"/>
        </w:rPr>
        <w:t>Catálogo de conductas sancionables</w:t>
      </w:r>
    </w:p>
    <w:p w14:paraId="0BBD0281" w14:textId="134CC4FC" w:rsidR="000412DA" w:rsidRPr="003F574A" w:rsidRDefault="000412DA" w:rsidP="007A229D">
      <w:pPr>
        <w:widowControl w:val="0"/>
        <w:rPr>
          <w:rFonts w:ascii="Arial" w:hAnsi="Arial" w:cs="Arial"/>
          <w:sz w:val="22"/>
          <w:szCs w:val="22"/>
        </w:rPr>
      </w:pPr>
      <w:r w:rsidRPr="003F574A">
        <w:rPr>
          <w:rFonts w:ascii="Arial" w:hAnsi="Arial" w:cs="Arial"/>
          <w:sz w:val="22"/>
          <w:szCs w:val="22"/>
        </w:rPr>
        <w:t xml:space="preserve">Que, con las reformas constitucional y legal relacionadas con la elección de personas juzgadoras del Poder Judicial del Estado, resulta necesario establecer expresamente que las referencias a candidaturas en el Reglamento de Denuncias y Quejas, así como en la Ley Electoral, deben entenderse también para este nuevo tipo de cargos de elección. </w:t>
      </w:r>
    </w:p>
    <w:p w14:paraId="2AFC453A" w14:textId="032DAC86" w:rsidR="000412DA" w:rsidRPr="003F574A" w:rsidRDefault="000412DA" w:rsidP="007A229D">
      <w:pPr>
        <w:widowControl w:val="0"/>
        <w:rPr>
          <w:rFonts w:ascii="Arial" w:hAnsi="Arial" w:cs="Arial"/>
          <w:sz w:val="22"/>
          <w:szCs w:val="22"/>
        </w:rPr>
      </w:pPr>
      <w:r w:rsidRPr="003F574A">
        <w:rPr>
          <w:rFonts w:ascii="Arial" w:hAnsi="Arial" w:cs="Arial"/>
          <w:sz w:val="22"/>
          <w:szCs w:val="22"/>
        </w:rPr>
        <w:t>En ese contexto, se define a las personas juzgadoras como aquellas candidatas a un cargo de elección en el Poder Judicial del Estado, a efecto de tener certeza sobre el tipo de candidaturas que se trate en los procedimientos sancionadores correspondientes y en aquellos apartados donde se requiera dicha distinción.</w:t>
      </w:r>
    </w:p>
    <w:p w14:paraId="4D89CA77" w14:textId="60BB31F5" w:rsidR="000412DA" w:rsidRPr="003F574A" w:rsidRDefault="000412DA" w:rsidP="007A229D">
      <w:pPr>
        <w:widowControl w:val="0"/>
        <w:rPr>
          <w:rFonts w:ascii="Arial" w:hAnsi="Arial" w:cs="Arial"/>
          <w:sz w:val="22"/>
          <w:szCs w:val="22"/>
        </w:rPr>
      </w:pPr>
      <w:r w:rsidRPr="003F574A">
        <w:rPr>
          <w:rFonts w:ascii="Arial" w:hAnsi="Arial" w:cs="Arial"/>
          <w:sz w:val="22"/>
          <w:szCs w:val="22"/>
        </w:rPr>
        <w:t>Con la reforma a la Ley Electoral se modificó el artículo 335 numeral 1, fracción III</w:t>
      </w:r>
      <w:r w:rsidR="00E857FB" w:rsidRPr="003F574A">
        <w:rPr>
          <w:rFonts w:ascii="Arial" w:hAnsi="Arial" w:cs="Arial"/>
          <w:sz w:val="22"/>
          <w:szCs w:val="22"/>
        </w:rPr>
        <w:t xml:space="preserve"> y con ello se amplió </w:t>
      </w:r>
      <w:r w:rsidRPr="003F574A">
        <w:rPr>
          <w:rFonts w:ascii="Arial" w:hAnsi="Arial" w:cs="Arial"/>
          <w:sz w:val="22"/>
          <w:szCs w:val="22"/>
        </w:rPr>
        <w:t xml:space="preserve">el catálogo, </w:t>
      </w:r>
      <w:r w:rsidR="00E857FB" w:rsidRPr="003F574A">
        <w:rPr>
          <w:rFonts w:ascii="Arial" w:hAnsi="Arial" w:cs="Arial"/>
          <w:sz w:val="22"/>
          <w:szCs w:val="22"/>
        </w:rPr>
        <w:t xml:space="preserve">pues se introdujo </w:t>
      </w:r>
      <w:r w:rsidRPr="003F574A">
        <w:rPr>
          <w:rFonts w:ascii="Arial" w:hAnsi="Arial" w:cs="Arial"/>
          <w:sz w:val="22"/>
          <w:szCs w:val="22"/>
        </w:rPr>
        <w:t xml:space="preserve">a las personas aspirantes, candidatas a juzgadoras a cargos de elección popular </w:t>
      </w:r>
      <w:r w:rsidR="00E857FB" w:rsidRPr="003F574A">
        <w:rPr>
          <w:rFonts w:ascii="Arial" w:hAnsi="Arial" w:cs="Arial"/>
          <w:sz w:val="22"/>
          <w:szCs w:val="22"/>
        </w:rPr>
        <w:t xml:space="preserve">como sujetos responsables por </w:t>
      </w:r>
      <w:r w:rsidRPr="003F574A">
        <w:rPr>
          <w:rFonts w:ascii="Arial" w:hAnsi="Arial" w:cs="Arial"/>
          <w:sz w:val="22"/>
          <w:szCs w:val="22"/>
        </w:rPr>
        <w:t>infracciones cometidas a las disposiciones electorales.</w:t>
      </w:r>
    </w:p>
    <w:p w14:paraId="61919D46" w14:textId="3A2911E5" w:rsidR="000412DA" w:rsidRPr="003F574A" w:rsidRDefault="000412DA" w:rsidP="007A229D">
      <w:pPr>
        <w:widowControl w:val="0"/>
        <w:rPr>
          <w:rFonts w:ascii="Arial" w:hAnsi="Arial" w:cs="Arial"/>
          <w:sz w:val="22"/>
          <w:szCs w:val="22"/>
        </w:rPr>
      </w:pPr>
      <w:r w:rsidRPr="003F574A">
        <w:rPr>
          <w:rFonts w:ascii="Arial" w:hAnsi="Arial" w:cs="Arial"/>
          <w:sz w:val="22"/>
          <w:szCs w:val="22"/>
        </w:rPr>
        <w:t>No obstante, lo anterior, dichas normas constitucionales y legales son omisas en la determinación de un catálogo de infracciones en observancia al principio de tipicidad, que describa con precisión aquellas conductas que serán materia de sanción por la vía de los procedimientos sancionadores.</w:t>
      </w:r>
    </w:p>
    <w:p w14:paraId="1C1A38A9" w14:textId="438EE2D6" w:rsidR="00E857FB" w:rsidRPr="003F574A" w:rsidRDefault="000412DA" w:rsidP="007A229D">
      <w:pPr>
        <w:widowControl w:val="0"/>
        <w:rPr>
          <w:rFonts w:ascii="Arial" w:hAnsi="Arial" w:cs="Arial"/>
          <w:sz w:val="22"/>
          <w:szCs w:val="22"/>
        </w:rPr>
      </w:pPr>
      <w:r w:rsidRPr="003F574A">
        <w:rPr>
          <w:rFonts w:ascii="Arial" w:hAnsi="Arial" w:cs="Arial"/>
          <w:sz w:val="22"/>
          <w:szCs w:val="22"/>
        </w:rPr>
        <w:t xml:space="preserve">A partir de lo anterior, la Comisión propone la implementación de </w:t>
      </w:r>
      <w:r w:rsidR="00E857FB" w:rsidRPr="003F574A">
        <w:rPr>
          <w:rFonts w:ascii="Arial" w:hAnsi="Arial" w:cs="Arial"/>
          <w:sz w:val="22"/>
          <w:szCs w:val="22"/>
        </w:rPr>
        <w:t>un catálogo de infracciones para el Proceso Electoral Extraordinario que contiene aquellas conductas que se consideran contrarias al orden jurídico en materia electoral. Lo anterior, atiende al principio de certeza que rige la actuación, no solo de las autoridades electorales, sino también de las y los actores políticos involucrados en una contienda electoral.</w:t>
      </w:r>
    </w:p>
    <w:p w14:paraId="48FE9238" w14:textId="1C0B4AAF" w:rsidR="00E857FB" w:rsidRPr="003F574A" w:rsidRDefault="00E857FB" w:rsidP="007A229D">
      <w:pPr>
        <w:widowControl w:val="0"/>
        <w:rPr>
          <w:rFonts w:ascii="Arial" w:hAnsi="Arial" w:cs="Arial"/>
          <w:sz w:val="22"/>
          <w:szCs w:val="22"/>
        </w:rPr>
      </w:pPr>
      <w:r w:rsidRPr="003F574A">
        <w:rPr>
          <w:rFonts w:ascii="Arial" w:hAnsi="Arial" w:cs="Arial"/>
          <w:sz w:val="22"/>
          <w:szCs w:val="22"/>
        </w:rPr>
        <w:t xml:space="preserve">Es importante señalar que, el catálogo de infracciones no tiene como objetivo disminuir o restringir la participación de las personas candidatas a un cargo de elección en el Poder Judicial del Estado, por el contrario, su implementación tiene como propósito establecer reglas que permitan una contienda apegada a los principios de legalidad e imparcialidad </w:t>
      </w:r>
      <w:r w:rsidRPr="003F574A">
        <w:rPr>
          <w:rFonts w:ascii="Arial" w:hAnsi="Arial" w:cs="Arial"/>
          <w:sz w:val="22"/>
          <w:szCs w:val="22"/>
        </w:rPr>
        <w:lastRenderedPageBreak/>
        <w:t>que rigen la materia electoral.</w:t>
      </w:r>
    </w:p>
    <w:p w14:paraId="7286E68A" w14:textId="77777777" w:rsidR="000412DA" w:rsidRPr="003F574A" w:rsidRDefault="000412DA" w:rsidP="007A229D">
      <w:pPr>
        <w:widowControl w:val="0"/>
        <w:rPr>
          <w:rFonts w:ascii="Arial" w:hAnsi="Arial" w:cs="Arial"/>
          <w:sz w:val="22"/>
          <w:szCs w:val="22"/>
        </w:rPr>
      </w:pPr>
      <w:r w:rsidRPr="003F574A">
        <w:rPr>
          <w:rFonts w:ascii="Arial" w:hAnsi="Arial" w:cs="Arial"/>
          <w:sz w:val="22"/>
          <w:szCs w:val="22"/>
        </w:rPr>
        <w:t>Sobre la base de las consideraciones señaladas, este Consejo Estatal emite el siguiente:</w:t>
      </w:r>
    </w:p>
    <w:p w14:paraId="3C472FF9" w14:textId="77777777" w:rsidR="000412DA" w:rsidRPr="003F574A" w:rsidRDefault="000412DA" w:rsidP="007A229D">
      <w:pPr>
        <w:pStyle w:val="Ttulo1"/>
        <w:keepNext w:val="0"/>
        <w:widowControl w:val="0"/>
        <w:rPr>
          <w:rFonts w:ascii="Arial" w:hAnsi="Arial" w:cs="Arial"/>
          <w:sz w:val="24"/>
          <w:szCs w:val="24"/>
        </w:rPr>
      </w:pPr>
      <w:r w:rsidRPr="003F574A">
        <w:rPr>
          <w:rFonts w:ascii="Arial" w:hAnsi="Arial" w:cs="Arial"/>
          <w:sz w:val="24"/>
          <w:szCs w:val="24"/>
        </w:rPr>
        <w:t>Acuerdo</w:t>
      </w:r>
    </w:p>
    <w:p w14:paraId="12083668" w14:textId="1957543D" w:rsidR="000412DA" w:rsidRPr="003F574A" w:rsidRDefault="000412DA" w:rsidP="007A229D">
      <w:pPr>
        <w:widowControl w:val="0"/>
        <w:rPr>
          <w:rFonts w:ascii="Arial" w:hAnsi="Arial" w:cs="Arial"/>
          <w:sz w:val="22"/>
          <w:szCs w:val="22"/>
        </w:rPr>
      </w:pPr>
      <w:r w:rsidRPr="003F574A">
        <w:rPr>
          <w:rFonts w:ascii="Arial" w:hAnsi="Arial" w:cs="Arial"/>
          <w:b/>
          <w:bCs/>
          <w:sz w:val="22"/>
          <w:szCs w:val="22"/>
        </w:rPr>
        <w:t>Primero.</w:t>
      </w:r>
      <w:r w:rsidRPr="003F574A">
        <w:rPr>
          <w:rFonts w:ascii="Arial" w:hAnsi="Arial" w:cs="Arial"/>
          <w:sz w:val="22"/>
          <w:szCs w:val="22"/>
        </w:rPr>
        <w:t xml:space="preserve"> Se aprueba</w:t>
      </w:r>
      <w:r w:rsidR="00E857FB" w:rsidRPr="003F574A">
        <w:rPr>
          <w:rFonts w:ascii="Arial" w:hAnsi="Arial" w:cs="Arial"/>
          <w:sz w:val="22"/>
          <w:szCs w:val="22"/>
        </w:rPr>
        <w:t xml:space="preserve"> el catálogo de infracciones para el Proceso Electoral Local Extraordinario para personas juzgadoras del Poder Judicial del Estado 2024-2025 </w:t>
      </w:r>
      <w:r w:rsidRPr="003F574A">
        <w:rPr>
          <w:rFonts w:ascii="Arial" w:hAnsi="Arial" w:cs="Arial"/>
          <w:sz w:val="22"/>
          <w:szCs w:val="22"/>
        </w:rPr>
        <w:t>propuest</w:t>
      </w:r>
      <w:r w:rsidR="00E857FB" w:rsidRPr="003F574A">
        <w:rPr>
          <w:rFonts w:ascii="Arial" w:hAnsi="Arial" w:cs="Arial"/>
          <w:sz w:val="22"/>
          <w:szCs w:val="22"/>
        </w:rPr>
        <w:t>o</w:t>
      </w:r>
      <w:r w:rsidRPr="003F574A">
        <w:rPr>
          <w:rFonts w:ascii="Arial" w:hAnsi="Arial" w:cs="Arial"/>
          <w:sz w:val="22"/>
          <w:szCs w:val="22"/>
        </w:rPr>
        <w:t xml:space="preserve"> por la Comisión de Denuncias y Quejas, anex</w:t>
      </w:r>
      <w:r w:rsidR="00E857FB" w:rsidRPr="003F574A">
        <w:rPr>
          <w:rFonts w:ascii="Arial" w:hAnsi="Arial" w:cs="Arial"/>
          <w:sz w:val="22"/>
          <w:szCs w:val="22"/>
        </w:rPr>
        <w:t>o</w:t>
      </w:r>
      <w:r w:rsidRPr="003F574A">
        <w:rPr>
          <w:rFonts w:ascii="Arial" w:hAnsi="Arial" w:cs="Arial"/>
          <w:sz w:val="22"/>
          <w:szCs w:val="22"/>
        </w:rPr>
        <w:t xml:space="preserve"> al presente acuerdo.</w:t>
      </w:r>
    </w:p>
    <w:p w14:paraId="601BEA2D" w14:textId="56B831C1" w:rsidR="000412DA" w:rsidRPr="003F574A" w:rsidRDefault="000412DA" w:rsidP="007A229D">
      <w:pPr>
        <w:widowControl w:val="0"/>
        <w:rPr>
          <w:rFonts w:ascii="Arial" w:hAnsi="Arial" w:cs="Arial"/>
          <w:sz w:val="22"/>
          <w:szCs w:val="22"/>
        </w:rPr>
      </w:pPr>
      <w:r w:rsidRPr="003F574A">
        <w:rPr>
          <w:rFonts w:ascii="Arial" w:hAnsi="Arial" w:cs="Arial"/>
          <w:b/>
          <w:bCs/>
          <w:sz w:val="22"/>
          <w:szCs w:val="22"/>
        </w:rPr>
        <w:t xml:space="preserve">Segundo. </w:t>
      </w:r>
      <w:r w:rsidRPr="003F574A">
        <w:rPr>
          <w:rFonts w:ascii="Arial" w:hAnsi="Arial" w:cs="Arial"/>
          <w:sz w:val="22"/>
          <w:szCs w:val="22"/>
        </w:rPr>
        <w:t>Se instruye al Secretario Ejecutivo haga del conocimiento de las juntas electorales distritales el contenido del presente acuerdo.</w:t>
      </w:r>
      <w:r w:rsidR="00B4443D" w:rsidRPr="003F574A">
        <w:rPr>
          <w:rFonts w:ascii="Arial" w:hAnsi="Arial" w:cs="Arial"/>
          <w:sz w:val="22"/>
          <w:szCs w:val="22"/>
        </w:rPr>
        <w:t xml:space="preserve"> Asimismo, en términos del artículo 387 numeral 9 de la Ley Electoral, lo notifique a las personas candidatas.</w:t>
      </w:r>
    </w:p>
    <w:p w14:paraId="29F3BB9B" w14:textId="77777777" w:rsidR="000412DA" w:rsidRPr="003F574A" w:rsidRDefault="000412DA" w:rsidP="007A229D">
      <w:pPr>
        <w:widowControl w:val="0"/>
        <w:rPr>
          <w:rFonts w:ascii="Arial" w:hAnsi="Arial" w:cs="Arial"/>
          <w:sz w:val="22"/>
          <w:szCs w:val="22"/>
        </w:rPr>
      </w:pPr>
      <w:r w:rsidRPr="003F574A">
        <w:rPr>
          <w:rFonts w:ascii="Arial" w:hAnsi="Arial" w:cs="Arial"/>
          <w:b/>
          <w:bCs/>
          <w:sz w:val="22"/>
          <w:szCs w:val="22"/>
        </w:rPr>
        <w:t>Tercero.</w:t>
      </w:r>
      <w:r w:rsidRPr="003F574A">
        <w:rPr>
          <w:rFonts w:ascii="Arial" w:hAnsi="Arial" w:cs="Arial"/>
          <w:sz w:val="22"/>
          <w:szCs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670FB6F" w14:textId="77777777" w:rsidR="000412DA" w:rsidRPr="003F574A" w:rsidRDefault="000412DA" w:rsidP="007A229D">
      <w:pPr>
        <w:widowControl w:val="0"/>
        <w:rPr>
          <w:rFonts w:ascii="Arial" w:hAnsi="Arial" w:cs="Arial"/>
          <w:sz w:val="22"/>
          <w:szCs w:val="22"/>
        </w:rPr>
      </w:pPr>
      <w:r w:rsidRPr="003F574A">
        <w:rPr>
          <w:rFonts w:ascii="Arial" w:hAnsi="Arial" w:cs="Arial"/>
          <w:b/>
          <w:bCs/>
          <w:sz w:val="22"/>
          <w:szCs w:val="22"/>
        </w:rPr>
        <w:t>Cuarto.</w:t>
      </w:r>
      <w:r w:rsidRPr="003F574A">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376A87CC" w14:textId="71ABEFD1" w:rsidR="000412DA" w:rsidRPr="003F574A" w:rsidRDefault="000412DA" w:rsidP="007A229D">
      <w:pPr>
        <w:widowControl w:val="0"/>
        <w:rPr>
          <w:rFonts w:ascii="Arial" w:hAnsi="Arial" w:cs="Arial"/>
          <w:sz w:val="22"/>
          <w:szCs w:val="22"/>
        </w:rPr>
      </w:pPr>
      <w:r w:rsidRPr="003F574A">
        <w:rPr>
          <w:rFonts w:ascii="Arial" w:hAnsi="Arial" w:cs="Arial"/>
          <w:sz w:val="22"/>
          <w:szCs w:val="22"/>
        </w:rPr>
        <w:t xml:space="preserve">El presente acuerdo se </w:t>
      </w:r>
      <w:r w:rsidR="003F574A">
        <w:rPr>
          <w:rFonts w:ascii="Arial" w:hAnsi="Arial" w:cs="Arial"/>
          <w:sz w:val="22"/>
          <w:szCs w:val="22"/>
        </w:rPr>
        <w:t>aprobó</w:t>
      </w:r>
      <w:r w:rsidRPr="003F574A">
        <w:rPr>
          <w:rFonts w:ascii="Arial" w:hAnsi="Arial" w:cs="Arial"/>
          <w:sz w:val="22"/>
          <w:szCs w:val="22"/>
        </w:rPr>
        <w:t xml:space="preserve"> en sesión </w:t>
      </w:r>
      <w:r w:rsidR="003F574A">
        <w:rPr>
          <w:rFonts w:ascii="Arial" w:hAnsi="Arial" w:cs="Arial"/>
          <w:sz w:val="22"/>
          <w:szCs w:val="22"/>
        </w:rPr>
        <w:t>extraordinaria</w:t>
      </w:r>
      <w:r w:rsidRPr="003F574A">
        <w:rPr>
          <w:rFonts w:ascii="Arial" w:hAnsi="Arial" w:cs="Arial"/>
          <w:sz w:val="22"/>
          <w:szCs w:val="22"/>
        </w:rPr>
        <w:t xml:space="preserve"> efectuada el </w:t>
      </w:r>
      <w:r w:rsidR="000E151A">
        <w:rPr>
          <w:rFonts w:ascii="Arial" w:hAnsi="Arial" w:cs="Arial"/>
          <w:sz w:val="22"/>
          <w:szCs w:val="22"/>
        </w:rPr>
        <w:t xml:space="preserve">día </w:t>
      </w:r>
      <w:r w:rsidR="003F574A">
        <w:rPr>
          <w:rFonts w:ascii="Arial" w:hAnsi="Arial" w:cs="Arial"/>
          <w:sz w:val="22"/>
          <w:szCs w:val="22"/>
        </w:rPr>
        <w:t>veinticinco</w:t>
      </w:r>
      <w:r w:rsidRPr="003F574A">
        <w:rPr>
          <w:rFonts w:ascii="Arial" w:hAnsi="Arial" w:cs="Arial"/>
          <w:sz w:val="22"/>
          <w:szCs w:val="22"/>
        </w:rPr>
        <w:t xml:space="preserve"> de </w:t>
      </w:r>
      <w:r w:rsidR="003F574A">
        <w:rPr>
          <w:rFonts w:ascii="Arial" w:hAnsi="Arial" w:cs="Arial"/>
          <w:sz w:val="22"/>
          <w:szCs w:val="22"/>
        </w:rPr>
        <w:t>marzo</w:t>
      </w:r>
      <w:r w:rsidRPr="003F574A">
        <w:rPr>
          <w:rFonts w:ascii="Arial" w:hAnsi="Arial" w:cs="Arial"/>
          <w:sz w:val="22"/>
          <w:szCs w:val="22"/>
        </w:rPr>
        <w:t xml:space="preserve"> del año dos mil veinticinco, por votación </w:t>
      </w:r>
      <w:r w:rsidR="003F574A">
        <w:rPr>
          <w:rFonts w:ascii="Arial" w:hAnsi="Arial" w:cs="Arial"/>
          <w:sz w:val="22"/>
          <w:szCs w:val="22"/>
        </w:rPr>
        <w:t>unánime</w:t>
      </w:r>
      <w:r w:rsidRPr="003F574A">
        <w:rPr>
          <w:rFonts w:ascii="Arial" w:hAnsi="Arial" w:cs="Arial"/>
          <w:sz w:val="22"/>
          <w:szCs w:val="22"/>
        </w:rPr>
        <w:t xml:space="preserve"> de las y los Consejeros Electorales del Consejo Estatal del Instituto Electoral y de Participación Ciudadana de Tabasco:</w:t>
      </w:r>
      <w:r w:rsidR="00F61B0C">
        <w:rPr>
          <w:rFonts w:ascii="Arial" w:hAnsi="Arial" w:cs="Arial"/>
          <w:sz w:val="22"/>
          <w:szCs w:val="22"/>
        </w:rPr>
        <w:t xml:space="preserve"> </w:t>
      </w:r>
      <w:r w:rsidRPr="003F574A">
        <w:rPr>
          <w:rFonts w:ascii="Arial" w:hAnsi="Arial" w:cs="Arial"/>
          <w:sz w:val="22"/>
          <w:szCs w:val="22"/>
        </w:rPr>
        <w:t xml:space="preserve">Lic. Hernán González Sala, Lic. Vladimir Hernández Venegas, Licda. Ángela Guadalupe Araujo Segura, Licda. Monserrat Martínez </w:t>
      </w:r>
      <w:proofErr w:type="spellStart"/>
      <w:r w:rsidRPr="003F574A">
        <w:rPr>
          <w:rFonts w:ascii="Arial" w:hAnsi="Arial" w:cs="Arial"/>
          <w:sz w:val="22"/>
          <w:szCs w:val="22"/>
        </w:rPr>
        <w:t>Beaurregard</w:t>
      </w:r>
      <w:proofErr w:type="spellEnd"/>
      <w:r w:rsidRPr="003F574A">
        <w:rPr>
          <w:rFonts w:ascii="Arial" w:hAnsi="Arial" w:cs="Arial"/>
          <w:sz w:val="22"/>
          <w:szCs w:val="22"/>
        </w:rPr>
        <w:t>, Mtra. Ruth Lizette Toledo Peral y la Consejera Presidenta, Mtra. Elizabeth Nava Gutiérrez.</w:t>
      </w:r>
      <w:bookmarkStart w:id="1" w:name="_GoBack"/>
      <w:bookmarkEnd w:id="1"/>
    </w:p>
    <w:p w14:paraId="0CE878FA" w14:textId="2A50F1CB" w:rsidR="000412DA" w:rsidRDefault="000412DA" w:rsidP="007A229D">
      <w:pPr>
        <w:widowControl w:val="0"/>
        <w:rPr>
          <w:rFonts w:ascii="Arial" w:hAnsi="Arial" w:cs="Arial"/>
          <w:sz w:val="22"/>
          <w:szCs w:val="22"/>
        </w:rPr>
      </w:pPr>
    </w:p>
    <w:p w14:paraId="7E58B642" w14:textId="77777777" w:rsidR="003F574A" w:rsidRPr="003F574A" w:rsidRDefault="003F574A" w:rsidP="007A229D">
      <w:pPr>
        <w:widowControl w:val="0"/>
        <w:rPr>
          <w:rFonts w:ascii="Arial" w:hAnsi="Arial" w:cs="Arial"/>
          <w:sz w:val="22"/>
          <w:szCs w:val="22"/>
        </w:rPr>
      </w:pPr>
    </w:p>
    <w:p w14:paraId="7CB5AA5C" w14:textId="77777777" w:rsidR="009D591D" w:rsidRPr="003F574A" w:rsidRDefault="009D591D" w:rsidP="007A229D">
      <w:pPr>
        <w:widowControl w:val="0"/>
        <w:rPr>
          <w:rFonts w:ascii="Arial" w:hAnsi="Arial" w:cs="Arial"/>
          <w:sz w:val="22"/>
          <w:szCs w:val="22"/>
        </w:rPr>
      </w:pPr>
    </w:p>
    <w:tbl>
      <w:tblPr>
        <w:tblStyle w:val="Tablaconcuadrcula"/>
        <w:tblW w:w="9793"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4"/>
        <w:gridCol w:w="282"/>
        <w:gridCol w:w="4247"/>
      </w:tblGrid>
      <w:tr w:rsidR="003F574A" w:rsidRPr="003F574A" w14:paraId="516AFD0B" w14:textId="77777777" w:rsidTr="003F574A">
        <w:trPr>
          <w:trHeight w:val="710"/>
        </w:trPr>
        <w:tc>
          <w:tcPr>
            <w:tcW w:w="5264" w:type="dxa"/>
          </w:tcPr>
          <w:p w14:paraId="37E583B7" w14:textId="77777777" w:rsidR="000412DA" w:rsidRPr="003F574A" w:rsidRDefault="000412DA" w:rsidP="007A229D">
            <w:pPr>
              <w:widowControl w:val="0"/>
              <w:spacing w:before="0" w:after="0" w:line="288" w:lineRule="auto"/>
              <w:jc w:val="center"/>
              <w:rPr>
                <w:rFonts w:ascii="Arial" w:hAnsi="Arial" w:cs="Arial"/>
                <w:b/>
                <w:bCs/>
                <w:sz w:val="22"/>
                <w:szCs w:val="22"/>
              </w:rPr>
            </w:pPr>
            <w:r w:rsidRPr="003F574A">
              <w:rPr>
                <w:rFonts w:ascii="Arial" w:hAnsi="Arial" w:cs="Arial"/>
                <w:b/>
                <w:bCs/>
                <w:sz w:val="22"/>
                <w:szCs w:val="22"/>
              </w:rPr>
              <w:t>MTRA. ELIZABETH NAVA GUTIÉRREZ</w:t>
            </w:r>
          </w:p>
          <w:p w14:paraId="7AFADBD1" w14:textId="77777777" w:rsidR="000412DA" w:rsidRPr="003F574A" w:rsidRDefault="000412DA" w:rsidP="007A229D">
            <w:pPr>
              <w:widowControl w:val="0"/>
              <w:spacing w:before="0" w:after="0" w:line="288" w:lineRule="auto"/>
              <w:jc w:val="center"/>
              <w:rPr>
                <w:rFonts w:ascii="Arial" w:hAnsi="Arial" w:cs="Arial"/>
                <w:b/>
                <w:bCs/>
                <w:sz w:val="22"/>
                <w:szCs w:val="22"/>
              </w:rPr>
            </w:pPr>
            <w:r w:rsidRPr="003F574A">
              <w:rPr>
                <w:rFonts w:ascii="Arial" w:hAnsi="Arial" w:cs="Arial"/>
                <w:b/>
                <w:bCs/>
                <w:sz w:val="22"/>
                <w:szCs w:val="22"/>
              </w:rPr>
              <w:t>CONSEJERA PRESIDENTA</w:t>
            </w:r>
          </w:p>
        </w:tc>
        <w:tc>
          <w:tcPr>
            <w:tcW w:w="282" w:type="dxa"/>
          </w:tcPr>
          <w:p w14:paraId="04CFE70D" w14:textId="77777777" w:rsidR="000412DA" w:rsidRPr="003F574A" w:rsidRDefault="000412DA" w:rsidP="007A229D">
            <w:pPr>
              <w:widowControl w:val="0"/>
              <w:spacing w:before="0" w:after="0" w:line="288" w:lineRule="auto"/>
              <w:rPr>
                <w:rFonts w:ascii="Arial" w:hAnsi="Arial" w:cs="Arial"/>
                <w:b/>
                <w:bCs/>
                <w:sz w:val="22"/>
                <w:szCs w:val="22"/>
              </w:rPr>
            </w:pPr>
          </w:p>
        </w:tc>
        <w:tc>
          <w:tcPr>
            <w:tcW w:w="4247" w:type="dxa"/>
          </w:tcPr>
          <w:p w14:paraId="36DF9698" w14:textId="77777777" w:rsidR="000412DA" w:rsidRPr="003F574A" w:rsidRDefault="000412DA" w:rsidP="007A229D">
            <w:pPr>
              <w:widowControl w:val="0"/>
              <w:spacing w:before="0" w:after="0" w:line="288" w:lineRule="auto"/>
              <w:jc w:val="center"/>
              <w:rPr>
                <w:rFonts w:ascii="Arial" w:hAnsi="Arial" w:cs="Arial"/>
                <w:b/>
                <w:bCs/>
                <w:sz w:val="22"/>
                <w:szCs w:val="22"/>
              </w:rPr>
            </w:pPr>
            <w:r w:rsidRPr="003F574A">
              <w:rPr>
                <w:rFonts w:ascii="Arial" w:hAnsi="Arial" w:cs="Arial"/>
                <w:b/>
                <w:bCs/>
                <w:sz w:val="22"/>
                <w:szCs w:val="22"/>
              </w:rPr>
              <w:t>LIC. JORGE ALBERTO ZAVALA FRÍAS</w:t>
            </w:r>
          </w:p>
          <w:p w14:paraId="3AA119E3" w14:textId="77777777" w:rsidR="000412DA" w:rsidRPr="003F574A" w:rsidRDefault="000412DA" w:rsidP="007A229D">
            <w:pPr>
              <w:widowControl w:val="0"/>
              <w:spacing w:before="0" w:after="0" w:line="288" w:lineRule="auto"/>
              <w:jc w:val="center"/>
              <w:rPr>
                <w:rFonts w:ascii="Arial" w:hAnsi="Arial" w:cs="Arial"/>
                <w:b/>
                <w:bCs/>
                <w:sz w:val="22"/>
                <w:szCs w:val="22"/>
              </w:rPr>
            </w:pPr>
            <w:r w:rsidRPr="003F574A">
              <w:rPr>
                <w:rFonts w:ascii="Arial" w:hAnsi="Arial" w:cs="Arial"/>
                <w:b/>
                <w:bCs/>
                <w:sz w:val="22"/>
                <w:szCs w:val="22"/>
              </w:rPr>
              <w:t>SECRETARIO DEL CONSEJO</w:t>
            </w:r>
          </w:p>
        </w:tc>
      </w:tr>
    </w:tbl>
    <w:p w14:paraId="383CB19D" w14:textId="77777777" w:rsidR="000412DA" w:rsidRPr="003F574A" w:rsidRDefault="000412DA" w:rsidP="007A229D">
      <w:pPr>
        <w:widowControl w:val="0"/>
        <w:rPr>
          <w:rFonts w:ascii="Arial" w:hAnsi="Arial" w:cs="Arial"/>
          <w:sz w:val="22"/>
          <w:szCs w:val="22"/>
        </w:rPr>
      </w:pPr>
    </w:p>
    <w:sectPr w:rsidR="000412DA" w:rsidRPr="003F574A" w:rsidSect="00404DDD">
      <w:headerReference w:type="default" r:id="rId7"/>
      <w:footerReference w:type="default" r:id="rId8"/>
      <w:pgSz w:w="12240" w:h="15840" w:code="1"/>
      <w:pgMar w:top="2694"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0D28B" w14:textId="77777777" w:rsidR="003406BE" w:rsidRDefault="003406BE" w:rsidP="00B37F91">
      <w:pPr>
        <w:spacing w:before="0" w:after="0" w:line="240" w:lineRule="auto"/>
      </w:pPr>
      <w:r>
        <w:separator/>
      </w:r>
    </w:p>
  </w:endnote>
  <w:endnote w:type="continuationSeparator" w:id="0">
    <w:p w14:paraId="6684CEED" w14:textId="77777777" w:rsidR="003406BE" w:rsidRDefault="003406BE" w:rsidP="00B37F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181167EA-9CF3-4217-A246-1972FAA48ADB}"/>
    <w:embedBold r:id="rId2" w:fontKey="{5AD00593-E378-4770-BD78-423DDAF885EF}"/>
    <w:embedItalic r:id="rId3" w:fontKey="{C680E665-A817-4503-ADA8-FBC5EC801C00}"/>
  </w:font>
  <w:font w:name="Exo">
    <w:altName w:val="Times New Roman"/>
    <w:charset w:val="00"/>
    <w:family w:val="auto"/>
    <w:pitch w:val="variable"/>
    <w:sig w:usb0="A00000EF" w:usb1="4000204B" w:usb2="00000000" w:usb3="00000000" w:csb0="00000193" w:csb1="00000000"/>
    <w:embedRegular r:id="rId4" w:fontKey="{5F6B71D8-B0DF-4083-8254-1AA1083284E6}"/>
    <w:embedBold r:id="rId5" w:fontKey="{1A237A2C-8662-4E47-8112-C141A7987B51}"/>
    <w:embedItalic r:id="rId6" w:fontKey="{793A108A-93A6-44BE-86E1-6B2261258CC4}"/>
  </w:font>
  <w:font w:name="Aptos Display">
    <w:altName w:val="Arial"/>
    <w:charset w:val="00"/>
    <w:family w:val="swiss"/>
    <w:pitch w:val="variable"/>
    <w:sig w:usb0="20000287" w:usb1="00000003" w:usb2="00000000" w:usb3="00000000" w:csb0="0000019F" w:csb1="00000000"/>
    <w:embedRegular r:id="rId7" w:fontKey="{57AC6F9A-DB2C-45A4-8778-BDCEDA5A4B28}"/>
  </w:font>
  <w:font w:name="Segoe UI">
    <w:panose1 w:val="020B0502040204020203"/>
    <w:charset w:val="00"/>
    <w:family w:val="swiss"/>
    <w:pitch w:val="variable"/>
    <w:sig w:usb0="E4002EFF" w:usb1="C000E47F" w:usb2="00000009" w:usb3="00000000" w:csb0="000001FF" w:csb1="00000000"/>
    <w:embedRegular r:id="rId8" w:fontKey="{4B70C28B-FF0A-4E67-A35B-4E6C26F5F7A9}"/>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267611025"/>
      <w:docPartObj>
        <w:docPartGallery w:val="Page Numbers (Top of Page)"/>
        <w:docPartUnique/>
      </w:docPartObj>
    </w:sdtPr>
    <w:sdtEndPr/>
    <w:sdtContent>
      <w:p w14:paraId="40A5D152" w14:textId="34F0532B" w:rsidR="00B37F91" w:rsidRPr="00B37F91" w:rsidRDefault="00B37F91" w:rsidP="00B37F91">
        <w:pPr>
          <w:pStyle w:val="Piedepgina"/>
          <w:jc w:val="right"/>
          <w:rPr>
            <w:color w:val="993366"/>
            <w:sz w:val="20"/>
            <w:szCs w:val="20"/>
          </w:rPr>
        </w:pPr>
        <w:r w:rsidRPr="003F574A">
          <w:rPr>
            <w:rFonts w:ascii="Arial" w:hAnsi="Arial" w:cs="Arial"/>
            <w:b/>
            <w:bCs/>
            <w:color w:val="993366"/>
          </w:rPr>
          <w:t xml:space="preserve">Página </w:t>
        </w:r>
        <w:r w:rsidRPr="003F574A">
          <w:rPr>
            <w:rFonts w:ascii="Arial" w:hAnsi="Arial" w:cs="Arial"/>
            <w:b/>
            <w:bCs/>
            <w:color w:val="993366"/>
          </w:rPr>
          <w:fldChar w:fldCharType="begin"/>
        </w:r>
        <w:r w:rsidRPr="003F574A">
          <w:rPr>
            <w:rFonts w:ascii="Arial" w:hAnsi="Arial" w:cs="Arial"/>
            <w:b/>
            <w:bCs/>
            <w:color w:val="993366"/>
          </w:rPr>
          <w:instrText>PAGE</w:instrText>
        </w:r>
        <w:r w:rsidRPr="003F574A">
          <w:rPr>
            <w:rFonts w:ascii="Arial" w:hAnsi="Arial" w:cs="Arial"/>
            <w:b/>
            <w:bCs/>
            <w:color w:val="993366"/>
          </w:rPr>
          <w:fldChar w:fldCharType="separate"/>
        </w:r>
        <w:r w:rsidR="00FE03F8">
          <w:rPr>
            <w:rFonts w:ascii="Arial" w:hAnsi="Arial" w:cs="Arial"/>
            <w:b/>
            <w:bCs/>
            <w:noProof/>
            <w:color w:val="993366"/>
          </w:rPr>
          <w:t>9</w:t>
        </w:r>
        <w:r w:rsidRPr="003F574A">
          <w:rPr>
            <w:rFonts w:ascii="Arial" w:hAnsi="Arial" w:cs="Arial"/>
            <w:b/>
            <w:bCs/>
            <w:color w:val="993366"/>
          </w:rPr>
          <w:fldChar w:fldCharType="end"/>
        </w:r>
        <w:r w:rsidRPr="003F574A">
          <w:rPr>
            <w:rFonts w:ascii="Arial" w:hAnsi="Arial" w:cs="Arial"/>
            <w:b/>
            <w:bCs/>
            <w:color w:val="993366"/>
          </w:rPr>
          <w:t xml:space="preserve"> | </w:t>
        </w:r>
        <w:r w:rsidRPr="003F574A">
          <w:rPr>
            <w:rFonts w:ascii="Arial" w:hAnsi="Arial" w:cs="Arial"/>
            <w:b/>
            <w:bCs/>
            <w:color w:val="993366"/>
          </w:rPr>
          <w:fldChar w:fldCharType="begin"/>
        </w:r>
        <w:r w:rsidRPr="003F574A">
          <w:rPr>
            <w:rFonts w:ascii="Arial" w:hAnsi="Arial" w:cs="Arial"/>
            <w:b/>
            <w:bCs/>
            <w:color w:val="993366"/>
          </w:rPr>
          <w:instrText>NUMPAGES</w:instrText>
        </w:r>
        <w:r w:rsidRPr="003F574A">
          <w:rPr>
            <w:rFonts w:ascii="Arial" w:hAnsi="Arial" w:cs="Arial"/>
            <w:b/>
            <w:bCs/>
            <w:color w:val="993366"/>
          </w:rPr>
          <w:fldChar w:fldCharType="separate"/>
        </w:r>
        <w:r w:rsidR="00FE03F8">
          <w:rPr>
            <w:rFonts w:ascii="Arial" w:hAnsi="Arial" w:cs="Arial"/>
            <w:b/>
            <w:bCs/>
            <w:noProof/>
            <w:color w:val="993366"/>
          </w:rPr>
          <w:t>10</w:t>
        </w:r>
        <w:r w:rsidRPr="003F574A">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D12F9" w14:textId="77777777" w:rsidR="003406BE" w:rsidRDefault="003406BE" w:rsidP="00B37F91">
      <w:pPr>
        <w:spacing w:before="0" w:after="0" w:line="240" w:lineRule="auto"/>
      </w:pPr>
      <w:r>
        <w:separator/>
      </w:r>
    </w:p>
  </w:footnote>
  <w:footnote w:type="continuationSeparator" w:id="0">
    <w:p w14:paraId="0D24E3F2" w14:textId="77777777" w:rsidR="003406BE" w:rsidRDefault="003406BE" w:rsidP="00B37F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B37F91" w14:paraId="21DCD00D" w14:textId="77777777" w:rsidTr="00AD6053">
      <w:tc>
        <w:tcPr>
          <w:tcW w:w="1813" w:type="dxa"/>
        </w:tcPr>
        <w:p w14:paraId="56ACF2F5" w14:textId="77777777" w:rsidR="00B37F91" w:rsidRDefault="00B37F91" w:rsidP="00B37F91">
          <w:pPr>
            <w:pStyle w:val="Encabezado"/>
          </w:pPr>
          <w:r>
            <w:rPr>
              <w:b/>
              <w:noProof/>
              <w:sz w:val="32"/>
              <w:lang w:eastAsia="es-MX"/>
            </w:rPr>
            <w:drawing>
              <wp:inline distT="0" distB="0" distL="0" distR="0" wp14:anchorId="2F26512D" wp14:editId="6C04E5A4">
                <wp:extent cx="1014331" cy="1199403"/>
                <wp:effectExtent l="0" t="0" r="0" b="1270"/>
                <wp:docPr id="197725283" name="Imagen 19772528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43F18BED" w14:textId="77777777" w:rsidR="00B37F91" w:rsidRPr="00B33A23" w:rsidRDefault="00B37F91" w:rsidP="00B37F91">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2491E4A8" w14:textId="77777777" w:rsidR="00B37F91" w:rsidRDefault="00B37F91" w:rsidP="00B37F91">
          <w:pPr>
            <w:pStyle w:val="Encabezado"/>
            <w:spacing w:before="60"/>
            <w:jc w:val="center"/>
          </w:pPr>
          <w:r w:rsidRPr="00B33A23">
            <w:rPr>
              <w:rFonts w:ascii="Arial" w:hAnsi="Arial" w:cs="Arial"/>
              <w:b/>
              <w:bCs/>
              <w:sz w:val="28"/>
              <w:szCs w:val="28"/>
            </w:rPr>
            <w:t>CONSEJO ESTATAL</w:t>
          </w:r>
        </w:p>
      </w:tc>
      <w:tc>
        <w:tcPr>
          <w:tcW w:w="1560" w:type="dxa"/>
        </w:tcPr>
        <w:p w14:paraId="0BFDC78B" w14:textId="77777777" w:rsidR="00B37F91" w:rsidRDefault="00B37F91" w:rsidP="00B37F91">
          <w:pPr>
            <w:pStyle w:val="Encabezado"/>
            <w:spacing w:before="480"/>
            <w:jc w:val="right"/>
          </w:pPr>
          <w:r>
            <w:rPr>
              <w:noProof/>
              <w:lang w:eastAsia="es-MX"/>
            </w:rPr>
            <w:drawing>
              <wp:inline distT="0" distB="0" distL="0" distR="0" wp14:anchorId="12EAAA8F" wp14:editId="4F9DEBAB">
                <wp:extent cx="921600" cy="756000"/>
                <wp:effectExtent l="0" t="0" r="0" b="6350"/>
                <wp:docPr id="64528517"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2E66B0D0" w14:textId="65B20C7A" w:rsidR="00B37F91" w:rsidRPr="003F574A" w:rsidRDefault="003F574A" w:rsidP="003F574A">
    <w:pPr>
      <w:pStyle w:val="Encabezado"/>
      <w:jc w:val="right"/>
      <w:rPr>
        <w:rFonts w:ascii="Arial" w:hAnsi="Arial" w:cs="Arial"/>
        <w:b/>
      </w:rPr>
    </w:pPr>
    <w:r w:rsidRPr="003F574A">
      <w:rPr>
        <w:rFonts w:ascii="Arial" w:hAnsi="Arial" w:cs="Arial"/>
        <w:b/>
      </w:rPr>
      <w:t>CE/2025/036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601C7"/>
    <w:multiLevelType w:val="hybridMultilevel"/>
    <w:tmpl w:val="950C5406"/>
    <w:lvl w:ilvl="0" w:tplc="46B06382">
      <w:start w:val="1"/>
      <w:numFmt w:val="upperRoman"/>
      <w:lvlText w:val="%1."/>
      <w:lvlJc w:val="left"/>
      <w:pPr>
        <w:ind w:left="1080" w:hanging="720"/>
      </w:pPr>
      <w:rPr>
        <w:rFonts w:hint="default"/>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E0D3FCA"/>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2DA"/>
    <w:rsid w:val="000412DA"/>
    <w:rsid w:val="000E151A"/>
    <w:rsid w:val="00117618"/>
    <w:rsid w:val="001D136F"/>
    <w:rsid w:val="00214931"/>
    <w:rsid w:val="002F2D63"/>
    <w:rsid w:val="00312F47"/>
    <w:rsid w:val="003406BE"/>
    <w:rsid w:val="003B7CD3"/>
    <w:rsid w:val="003F574A"/>
    <w:rsid w:val="00404DDD"/>
    <w:rsid w:val="00582372"/>
    <w:rsid w:val="005E19C2"/>
    <w:rsid w:val="00643D74"/>
    <w:rsid w:val="007A229D"/>
    <w:rsid w:val="008C0762"/>
    <w:rsid w:val="0098576E"/>
    <w:rsid w:val="009D591D"/>
    <w:rsid w:val="00A04E08"/>
    <w:rsid w:val="00A624DD"/>
    <w:rsid w:val="00A76DF7"/>
    <w:rsid w:val="00B37F91"/>
    <w:rsid w:val="00B4443D"/>
    <w:rsid w:val="00BB34CF"/>
    <w:rsid w:val="00C7223E"/>
    <w:rsid w:val="00E318EB"/>
    <w:rsid w:val="00E857FB"/>
    <w:rsid w:val="00EB42EC"/>
    <w:rsid w:val="00F61B0C"/>
    <w:rsid w:val="00FE03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F277"/>
  <w15:chartTrackingRefBased/>
  <w15:docId w15:val="{FA61E785-C16F-46CB-AED5-B40C62EC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2DA"/>
    <w:pPr>
      <w:spacing w:before="240" w:after="240" w:line="276" w:lineRule="auto"/>
      <w:jc w:val="both"/>
    </w:pPr>
    <w:rPr>
      <w:rFonts w:ascii="Exo" w:hAnsi="Exo"/>
    </w:rPr>
  </w:style>
  <w:style w:type="paragraph" w:styleId="Ttulo1">
    <w:name w:val="heading 1"/>
    <w:basedOn w:val="Normal"/>
    <w:next w:val="Normal"/>
    <w:link w:val="Ttulo1Car"/>
    <w:uiPriority w:val="9"/>
    <w:qFormat/>
    <w:rsid w:val="000412DA"/>
    <w:pPr>
      <w:keepNext/>
      <w:keepLines/>
      <w:numPr>
        <w:numId w:val="2"/>
      </w:numPr>
      <w:spacing w:before="60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0412DA"/>
    <w:pPr>
      <w:keepNext/>
      <w:keepLines/>
      <w:numPr>
        <w:ilvl w:val="1"/>
        <w:numId w:val="2"/>
      </w:numPr>
      <w:spacing w:before="480"/>
      <w:outlineLvl w:val="1"/>
    </w:pPr>
    <w:rPr>
      <w:rFonts w:eastAsiaTheme="majorEastAsia" w:cstheme="majorBidi"/>
      <w:b/>
      <w:bCs/>
    </w:rPr>
  </w:style>
  <w:style w:type="paragraph" w:styleId="Ttulo3">
    <w:name w:val="heading 3"/>
    <w:basedOn w:val="Normal"/>
    <w:next w:val="Normal"/>
    <w:link w:val="Ttulo3Car"/>
    <w:uiPriority w:val="9"/>
    <w:semiHidden/>
    <w:unhideWhenUsed/>
    <w:qFormat/>
    <w:rsid w:val="000412DA"/>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412DA"/>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412DA"/>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412DA"/>
    <w:pPr>
      <w:keepNext/>
      <w:keepLines/>
      <w:numPr>
        <w:ilvl w:val="5"/>
        <w:numId w:val="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412DA"/>
    <w:pPr>
      <w:keepNext/>
      <w:keepLines/>
      <w:numPr>
        <w:ilvl w:val="6"/>
        <w:numId w:val="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412DA"/>
    <w:pPr>
      <w:keepNext/>
      <w:keepLines/>
      <w:numPr>
        <w:ilvl w:val="7"/>
        <w:numId w:val="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412DA"/>
    <w:pPr>
      <w:keepNext/>
      <w:keepLines/>
      <w:numPr>
        <w:ilvl w:val="8"/>
        <w:numId w:val="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12DA"/>
    <w:rPr>
      <w:rFonts w:ascii="Exo" w:eastAsiaTheme="majorEastAsia" w:hAnsi="Exo" w:cstheme="majorBidi"/>
      <w:b/>
      <w:bCs/>
      <w:sz w:val="28"/>
      <w:szCs w:val="28"/>
    </w:rPr>
  </w:style>
  <w:style w:type="character" w:customStyle="1" w:styleId="Ttulo2Car">
    <w:name w:val="Título 2 Car"/>
    <w:basedOn w:val="Fuentedeprrafopredeter"/>
    <w:link w:val="Ttulo2"/>
    <w:uiPriority w:val="9"/>
    <w:rsid w:val="000412DA"/>
    <w:rPr>
      <w:rFonts w:ascii="Exo" w:eastAsiaTheme="majorEastAsia" w:hAnsi="Exo" w:cstheme="majorBidi"/>
      <w:b/>
      <w:bCs/>
    </w:rPr>
  </w:style>
  <w:style w:type="character" w:customStyle="1" w:styleId="Ttulo3Car">
    <w:name w:val="Título 3 Car"/>
    <w:basedOn w:val="Fuentedeprrafopredeter"/>
    <w:link w:val="Ttulo3"/>
    <w:uiPriority w:val="9"/>
    <w:semiHidden/>
    <w:rsid w:val="000412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412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412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412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412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412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412DA"/>
    <w:rPr>
      <w:rFonts w:eastAsiaTheme="majorEastAsia" w:cstheme="majorBidi"/>
      <w:color w:val="272727" w:themeColor="text1" w:themeTint="D8"/>
    </w:rPr>
  </w:style>
  <w:style w:type="paragraph" w:styleId="Ttulo">
    <w:name w:val="Title"/>
    <w:basedOn w:val="Normal"/>
    <w:next w:val="Normal"/>
    <w:link w:val="TtuloCar"/>
    <w:uiPriority w:val="10"/>
    <w:qFormat/>
    <w:rsid w:val="000412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12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412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412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412DA"/>
    <w:pPr>
      <w:spacing w:before="160"/>
      <w:jc w:val="center"/>
    </w:pPr>
    <w:rPr>
      <w:i/>
      <w:iCs/>
      <w:color w:val="404040" w:themeColor="text1" w:themeTint="BF"/>
    </w:rPr>
  </w:style>
  <w:style w:type="character" w:customStyle="1" w:styleId="CitaCar">
    <w:name w:val="Cita Car"/>
    <w:basedOn w:val="Fuentedeprrafopredeter"/>
    <w:link w:val="Cita"/>
    <w:uiPriority w:val="29"/>
    <w:rsid w:val="000412DA"/>
    <w:rPr>
      <w:i/>
      <w:iCs/>
      <w:color w:val="404040" w:themeColor="text1" w:themeTint="BF"/>
    </w:rPr>
  </w:style>
  <w:style w:type="paragraph" w:styleId="Prrafodelista">
    <w:name w:val="List Paragraph"/>
    <w:basedOn w:val="Normal"/>
    <w:uiPriority w:val="34"/>
    <w:qFormat/>
    <w:rsid w:val="000412DA"/>
    <w:pPr>
      <w:ind w:left="720"/>
      <w:contextualSpacing/>
    </w:pPr>
  </w:style>
  <w:style w:type="character" w:styleId="nfasisintenso">
    <w:name w:val="Intense Emphasis"/>
    <w:basedOn w:val="Fuentedeprrafopredeter"/>
    <w:uiPriority w:val="21"/>
    <w:qFormat/>
    <w:rsid w:val="000412DA"/>
    <w:rPr>
      <w:i/>
      <w:iCs/>
      <w:color w:val="0F4761" w:themeColor="accent1" w:themeShade="BF"/>
    </w:rPr>
  </w:style>
  <w:style w:type="paragraph" w:styleId="Citadestacada">
    <w:name w:val="Intense Quote"/>
    <w:basedOn w:val="Normal"/>
    <w:next w:val="Normal"/>
    <w:link w:val="CitadestacadaCar"/>
    <w:uiPriority w:val="30"/>
    <w:qFormat/>
    <w:rsid w:val="000412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412DA"/>
    <w:rPr>
      <w:i/>
      <w:iCs/>
      <w:color w:val="0F4761" w:themeColor="accent1" w:themeShade="BF"/>
    </w:rPr>
  </w:style>
  <w:style w:type="character" w:styleId="Referenciaintensa">
    <w:name w:val="Intense Reference"/>
    <w:basedOn w:val="Fuentedeprrafopredeter"/>
    <w:uiPriority w:val="32"/>
    <w:qFormat/>
    <w:rsid w:val="000412DA"/>
    <w:rPr>
      <w:b/>
      <w:bCs/>
      <w:smallCaps/>
      <w:color w:val="0F4761" w:themeColor="accent1" w:themeShade="BF"/>
      <w:spacing w:val="5"/>
    </w:rPr>
  </w:style>
  <w:style w:type="table" w:styleId="Tablaconcuadrcula">
    <w:name w:val="Table Grid"/>
    <w:basedOn w:val="Tablanormal"/>
    <w:uiPriority w:val="39"/>
    <w:rsid w:val="0004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37F9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37F91"/>
    <w:rPr>
      <w:rFonts w:ascii="Exo" w:hAnsi="Exo"/>
    </w:rPr>
  </w:style>
  <w:style w:type="paragraph" w:styleId="Piedepgina">
    <w:name w:val="footer"/>
    <w:basedOn w:val="Normal"/>
    <w:link w:val="PiedepginaCar"/>
    <w:uiPriority w:val="99"/>
    <w:unhideWhenUsed/>
    <w:rsid w:val="00B37F9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37F91"/>
    <w:rPr>
      <w:rFonts w:ascii="Exo" w:hAnsi="Exo"/>
    </w:rPr>
  </w:style>
  <w:style w:type="paragraph" w:styleId="Textodeglobo">
    <w:name w:val="Balloon Text"/>
    <w:basedOn w:val="Normal"/>
    <w:link w:val="TextodegloboCar"/>
    <w:uiPriority w:val="99"/>
    <w:semiHidden/>
    <w:unhideWhenUsed/>
    <w:rsid w:val="000E151A"/>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3429</Words>
  <Characters>18860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Coordinación Técnica</cp:lastModifiedBy>
  <cp:revision>22</cp:revision>
  <cp:lastPrinted>2025-03-26T15:43:00Z</cp:lastPrinted>
  <dcterms:created xsi:type="dcterms:W3CDTF">2025-03-24T22:01:00Z</dcterms:created>
  <dcterms:modified xsi:type="dcterms:W3CDTF">2025-03-26T15:43:00Z</dcterms:modified>
</cp:coreProperties>
</file>