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F0D85" w14:textId="0E53B8F1" w:rsidR="00AA0495" w:rsidRPr="002412B6" w:rsidRDefault="002412B6" w:rsidP="00AA0495">
      <w:pPr>
        <w:rPr>
          <w:rFonts w:ascii="Arial" w:hAnsi="Arial" w:cs="Arial"/>
          <w:b/>
          <w:bCs/>
        </w:rPr>
      </w:pPr>
      <w:bookmarkStart w:id="0" w:name="_Hlk193706851"/>
      <w:r w:rsidRPr="002412B6">
        <w:rPr>
          <w:rFonts w:ascii="Arial" w:hAnsi="Arial" w:cs="Arial"/>
          <w:b/>
          <w:bCs/>
        </w:rPr>
        <w:t>ACUERDO QUE, A PROPUESTA DE LA COMISIÓN PERMANENTE DE DENUNCIAS Y QUEJAS, EMITE EL CONSEJO ESTATAL DEL INSTITUTO ELECTORAL Y DE PARTICIPACIÓN CIUDADANA DE TABASCO MEDIANTE EL CUAL APRUEBA LAS REGLAS PARA LA PROTECCIÓN DE NIÑAS, NIÑOS Y ADOLESCENTES EN LA DIFUSIÓN DE PROPAGANDA Y MENSAJES ELECTORALES PARA EL PROCESO ELECTORAL LOCAL EXTRAORDINARIO PARA PERSONAS JUZGADORAS DEL PODER JUDICIAL DEL ESTADO 2024-2025</w:t>
      </w:r>
    </w:p>
    <w:p w14:paraId="6499BDC3" w14:textId="77777777" w:rsidR="00451D18" w:rsidRPr="002412B6" w:rsidRDefault="00451D18" w:rsidP="00AA0495">
      <w:pPr>
        <w:rPr>
          <w:rFonts w:ascii="Arial" w:hAnsi="Arial" w:cs="Arial"/>
          <w:b/>
          <w:bCs/>
        </w:rPr>
      </w:pPr>
    </w:p>
    <w:bookmarkEnd w:id="0"/>
    <w:p w14:paraId="2689B080" w14:textId="2EED72E8" w:rsidR="00AA0495" w:rsidRPr="002412B6" w:rsidRDefault="00AA0495" w:rsidP="00AA0495">
      <w:pPr>
        <w:rPr>
          <w:rFonts w:ascii="Arial" w:hAnsi="Arial" w:cs="Arial"/>
        </w:rPr>
      </w:pPr>
      <w:r w:rsidRPr="002412B6">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2412B6" w:rsidRPr="002412B6" w14:paraId="525EF22A" w14:textId="77777777" w:rsidTr="00540F8C">
        <w:trPr>
          <w:trHeight w:val="624"/>
          <w:jc w:val="center"/>
        </w:trPr>
        <w:tc>
          <w:tcPr>
            <w:tcW w:w="2042" w:type="pct"/>
            <w:shd w:val="clear" w:color="auto" w:fill="auto"/>
            <w:vAlign w:val="center"/>
          </w:tcPr>
          <w:p w14:paraId="30F86766" w14:textId="77777777" w:rsidR="00AA0495" w:rsidRPr="002412B6" w:rsidRDefault="00AA0495" w:rsidP="00540F8C">
            <w:pPr>
              <w:widowControl w:val="0"/>
              <w:spacing w:before="60" w:after="60"/>
              <w:jc w:val="right"/>
              <w:rPr>
                <w:rFonts w:ascii="Arial" w:hAnsi="Arial" w:cs="Arial"/>
                <w:b/>
                <w:bCs/>
                <w:sz w:val="20"/>
                <w:szCs w:val="20"/>
              </w:rPr>
            </w:pPr>
            <w:bookmarkStart w:id="1" w:name="_Hlk186652747"/>
            <w:r w:rsidRPr="002412B6">
              <w:rPr>
                <w:rFonts w:ascii="Arial" w:hAnsi="Arial" w:cs="Arial"/>
                <w:b/>
                <w:bCs/>
                <w:sz w:val="20"/>
                <w:szCs w:val="20"/>
              </w:rPr>
              <w:t>Comisión:</w:t>
            </w:r>
          </w:p>
        </w:tc>
        <w:tc>
          <w:tcPr>
            <w:tcW w:w="2958" w:type="pct"/>
            <w:shd w:val="clear" w:color="auto" w:fill="auto"/>
            <w:vAlign w:val="center"/>
          </w:tcPr>
          <w:p w14:paraId="44A39383" w14:textId="1D95A023"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 xml:space="preserve">Comisión de </w:t>
            </w:r>
            <w:r w:rsidR="001C6281" w:rsidRPr="002412B6">
              <w:rPr>
                <w:rFonts w:ascii="Arial" w:hAnsi="Arial" w:cs="Arial"/>
                <w:sz w:val="20"/>
                <w:szCs w:val="20"/>
              </w:rPr>
              <w:t>Denuncias y Quejas del Instituto Electoral y de Participación Ciudadana de Tabasco.</w:t>
            </w:r>
          </w:p>
        </w:tc>
      </w:tr>
      <w:tr w:rsidR="002412B6" w:rsidRPr="002412B6" w14:paraId="10316255" w14:textId="77777777" w:rsidTr="00540F8C">
        <w:trPr>
          <w:trHeight w:val="624"/>
          <w:jc w:val="center"/>
        </w:trPr>
        <w:tc>
          <w:tcPr>
            <w:tcW w:w="2042" w:type="pct"/>
            <w:shd w:val="clear" w:color="auto" w:fill="auto"/>
            <w:vAlign w:val="center"/>
          </w:tcPr>
          <w:p w14:paraId="1F7D0C7A"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Consejo Estatal:</w:t>
            </w:r>
          </w:p>
        </w:tc>
        <w:tc>
          <w:tcPr>
            <w:tcW w:w="2958" w:type="pct"/>
            <w:shd w:val="clear" w:color="auto" w:fill="auto"/>
            <w:vAlign w:val="center"/>
          </w:tcPr>
          <w:p w14:paraId="1B546848"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Consejo Estatal del Instituto Electoral y de Participación Ciudadana de Tabasco.</w:t>
            </w:r>
          </w:p>
        </w:tc>
      </w:tr>
      <w:tr w:rsidR="002412B6" w:rsidRPr="002412B6" w14:paraId="113C256D" w14:textId="77777777" w:rsidTr="00540F8C">
        <w:trPr>
          <w:trHeight w:val="624"/>
          <w:jc w:val="center"/>
        </w:trPr>
        <w:tc>
          <w:tcPr>
            <w:tcW w:w="2042" w:type="pct"/>
            <w:shd w:val="clear" w:color="auto" w:fill="auto"/>
            <w:vAlign w:val="center"/>
          </w:tcPr>
          <w:p w14:paraId="519617FE"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Consejos Distritales:</w:t>
            </w:r>
          </w:p>
        </w:tc>
        <w:tc>
          <w:tcPr>
            <w:tcW w:w="2958" w:type="pct"/>
            <w:shd w:val="clear" w:color="auto" w:fill="auto"/>
            <w:vAlign w:val="center"/>
          </w:tcPr>
          <w:p w14:paraId="06233F32"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Consejos Electorales Distritales del Instituto Electoral y de Participación Ciudadana de Tabasco.</w:t>
            </w:r>
          </w:p>
        </w:tc>
      </w:tr>
      <w:tr w:rsidR="002412B6" w:rsidRPr="002412B6" w14:paraId="326BF039" w14:textId="77777777" w:rsidTr="00540F8C">
        <w:trPr>
          <w:trHeight w:val="624"/>
          <w:jc w:val="center"/>
        </w:trPr>
        <w:tc>
          <w:tcPr>
            <w:tcW w:w="2042" w:type="pct"/>
            <w:shd w:val="clear" w:color="auto" w:fill="auto"/>
            <w:vAlign w:val="center"/>
          </w:tcPr>
          <w:p w14:paraId="4B748C48"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Constitución Federal:</w:t>
            </w:r>
          </w:p>
        </w:tc>
        <w:tc>
          <w:tcPr>
            <w:tcW w:w="2958" w:type="pct"/>
            <w:shd w:val="clear" w:color="auto" w:fill="auto"/>
            <w:vAlign w:val="center"/>
          </w:tcPr>
          <w:p w14:paraId="51367D26"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Constitución Política de los Estados Unidos Mexicanos.</w:t>
            </w:r>
          </w:p>
        </w:tc>
      </w:tr>
      <w:tr w:rsidR="002412B6" w:rsidRPr="002412B6" w14:paraId="46D26F02" w14:textId="77777777" w:rsidTr="00540F8C">
        <w:trPr>
          <w:trHeight w:val="624"/>
          <w:jc w:val="center"/>
        </w:trPr>
        <w:tc>
          <w:tcPr>
            <w:tcW w:w="2042" w:type="pct"/>
            <w:shd w:val="clear" w:color="auto" w:fill="auto"/>
            <w:vAlign w:val="center"/>
          </w:tcPr>
          <w:p w14:paraId="71EB973E"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Constitución Local:</w:t>
            </w:r>
          </w:p>
        </w:tc>
        <w:tc>
          <w:tcPr>
            <w:tcW w:w="2958" w:type="pct"/>
            <w:shd w:val="clear" w:color="auto" w:fill="auto"/>
            <w:vAlign w:val="center"/>
          </w:tcPr>
          <w:p w14:paraId="76160BDF"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Constitución Política del Estado Libre y Soberano de Tabasco.</w:t>
            </w:r>
          </w:p>
        </w:tc>
      </w:tr>
      <w:tr w:rsidR="002412B6" w:rsidRPr="002412B6" w14:paraId="7BF3BD8A" w14:textId="77777777" w:rsidTr="00540F8C">
        <w:trPr>
          <w:trHeight w:val="624"/>
          <w:jc w:val="center"/>
        </w:trPr>
        <w:tc>
          <w:tcPr>
            <w:tcW w:w="2042" w:type="pct"/>
            <w:shd w:val="clear" w:color="auto" w:fill="auto"/>
            <w:vAlign w:val="center"/>
          </w:tcPr>
          <w:p w14:paraId="11F98974"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INE:</w:t>
            </w:r>
          </w:p>
        </w:tc>
        <w:tc>
          <w:tcPr>
            <w:tcW w:w="2958" w:type="pct"/>
            <w:shd w:val="clear" w:color="auto" w:fill="auto"/>
            <w:vAlign w:val="center"/>
          </w:tcPr>
          <w:p w14:paraId="2D1AE5EF"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Instituto Nacional Electoral.</w:t>
            </w:r>
          </w:p>
        </w:tc>
      </w:tr>
      <w:tr w:rsidR="002412B6" w:rsidRPr="002412B6" w14:paraId="1CD56469" w14:textId="77777777" w:rsidTr="00540F8C">
        <w:trPr>
          <w:trHeight w:val="624"/>
          <w:jc w:val="center"/>
        </w:trPr>
        <w:tc>
          <w:tcPr>
            <w:tcW w:w="2042" w:type="pct"/>
            <w:shd w:val="clear" w:color="auto" w:fill="auto"/>
            <w:vAlign w:val="center"/>
          </w:tcPr>
          <w:p w14:paraId="50BB4E6B"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Instituto:</w:t>
            </w:r>
          </w:p>
        </w:tc>
        <w:tc>
          <w:tcPr>
            <w:tcW w:w="2958" w:type="pct"/>
            <w:shd w:val="clear" w:color="auto" w:fill="auto"/>
          </w:tcPr>
          <w:p w14:paraId="3CBC3F4E"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Instituto Electoral y de Participación Ciudadana de Tabasco.</w:t>
            </w:r>
          </w:p>
        </w:tc>
      </w:tr>
      <w:tr w:rsidR="002412B6" w:rsidRPr="002412B6" w14:paraId="39D9DDC2" w14:textId="77777777" w:rsidTr="00540F8C">
        <w:trPr>
          <w:trHeight w:val="624"/>
          <w:jc w:val="center"/>
        </w:trPr>
        <w:tc>
          <w:tcPr>
            <w:tcW w:w="2042" w:type="pct"/>
            <w:shd w:val="clear" w:color="auto" w:fill="auto"/>
            <w:vAlign w:val="center"/>
          </w:tcPr>
          <w:p w14:paraId="4179D827"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Ley Electoral:</w:t>
            </w:r>
          </w:p>
        </w:tc>
        <w:tc>
          <w:tcPr>
            <w:tcW w:w="2958" w:type="pct"/>
            <w:shd w:val="clear" w:color="auto" w:fill="auto"/>
            <w:vAlign w:val="center"/>
          </w:tcPr>
          <w:p w14:paraId="7A6618FF"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Ley Electoral y de Partidos Políticos del Estado de Tabasco.</w:t>
            </w:r>
          </w:p>
        </w:tc>
      </w:tr>
      <w:tr w:rsidR="002412B6" w:rsidRPr="002412B6" w14:paraId="278AD99C" w14:textId="77777777" w:rsidTr="00540F8C">
        <w:trPr>
          <w:trHeight w:val="624"/>
          <w:jc w:val="center"/>
        </w:trPr>
        <w:tc>
          <w:tcPr>
            <w:tcW w:w="2042" w:type="pct"/>
            <w:shd w:val="clear" w:color="auto" w:fill="auto"/>
            <w:vAlign w:val="center"/>
          </w:tcPr>
          <w:p w14:paraId="761D1D56"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Ley General:</w:t>
            </w:r>
          </w:p>
        </w:tc>
        <w:tc>
          <w:tcPr>
            <w:tcW w:w="2958" w:type="pct"/>
            <w:shd w:val="clear" w:color="auto" w:fill="auto"/>
            <w:vAlign w:val="center"/>
          </w:tcPr>
          <w:p w14:paraId="55FB5F7B"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Ley General de Instituciones y Procedimientos Electorales.</w:t>
            </w:r>
          </w:p>
        </w:tc>
      </w:tr>
      <w:tr w:rsidR="002412B6" w:rsidRPr="002412B6" w14:paraId="7E60CB55" w14:textId="77777777" w:rsidTr="00540F8C">
        <w:trPr>
          <w:trHeight w:val="624"/>
          <w:jc w:val="center"/>
        </w:trPr>
        <w:tc>
          <w:tcPr>
            <w:tcW w:w="2042" w:type="pct"/>
            <w:shd w:val="clear" w:color="auto" w:fill="auto"/>
            <w:vAlign w:val="center"/>
          </w:tcPr>
          <w:p w14:paraId="14CB0D0B"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Lineamientos:</w:t>
            </w:r>
          </w:p>
        </w:tc>
        <w:tc>
          <w:tcPr>
            <w:tcW w:w="2958" w:type="pct"/>
            <w:shd w:val="clear" w:color="auto" w:fill="auto"/>
            <w:vAlign w:val="center"/>
          </w:tcPr>
          <w:p w14:paraId="4CC00A87" w14:textId="26DD6B2C" w:rsidR="00AA0495" w:rsidRPr="002412B6" w:rsidRDefault="0099227F" w:rsidP="00540F8C">
            <w:pPr>
              <w:widowControl w:val="0"/>
              <w:spacing w:before="60" w:after="60"/>
              <w:rPr>
                <w:rFonts w:ascii="Arial" w:hAnsi="Arial" w:cs="Arial"/>
                <w:sz w:val="20"/>
                <w:szCs w:val="20"/>
              </w:rPr>
            </w:pPr>
            <w:r w:rsidRPr="002412B6">
              <w:rPr>
                <w:rFonts w:ascii="Arial" w:hAnsi="Arial" w:cs="Arial"/>
                <w:sz w:val="20"/>
                <w:szCs w:val="20"/>
              </w:rPr>
              <w:t>Lineamientos para la protección de niñas, niños y adolescentes en materia de propaganda y mensajes electorales, aprobados por el Instituto Nacional Electoral.</w:t>
            </w:r>
          </w:p>
        </w:tc>
      </w:tr>
      <w:tr w:rsidR="002412B6" w:rsidRPr="002412B6" w14:paraId="359BC53E" w14:textId="77777777" w:rsidTr="00540F8C">
        <w:trPr>
          <w:trHeight w:val="624"/>
          <w:jc w:val="center"/>
        </w:trPr>
        <w:tc>
          <w:tcPr>
            <w:tcW w:w="2042" w:type="pct"/>
            <w:shd w:val="clear" w:color="auto" w:fill="auto"/>
            <w:vAlign w:val="center"/>
          </w:tcPr>
          <w:p w14:paraId="62658A77" w14:textId="77777777" w:rsidR="00AA0495" w:rsidRPr="005245D3" w:rsidRDefault="00AA0495" w:rsidP="00540F8C">
            <w:pPr>
              <w:widowControl w:val="0"/>
              <w:spacing w:before="60" w:after="60"/>
              <w:jc w:val="right"/>
              <w:rPr>
                <w:rFonts w:ascii="Arial" w:hAnsi="Arial" w:cs="Arial"/>
                <w:b/>
                <w:bCs/>
                <w:sz w:val="20"/>
                <w:szCs w:val="20"/>
              </w:rPr>
            </w:pPr>
            <w:r w:rsidRPr="005245D3">
              <w:rPr>
                <w:rFonts w:ascii="Arial" w:hAnsi="Arial" w:cs="Arial"/>
                <w:b/>
                <w:bCs/>
                <w:sz w:val="20"/>
                <w:szCs w:val="20"/>
              </w:rPr>
              <w:lastRenderedPageBreak/>
              <w:t>Organismo electoral:</w:t>
            </w:r>
          </w:p>
        </w:tc>
        <w:tc>
          <w:tcPr>
            <w:tcW w:w="2958" w:type="pct"/>
            <w:shd w:val="clear" w:color="auto" w:fill="auto"/>
            <w:vAlign w:val="center"/>
          </w:tcPr>
          <w:p w14:paraId="6C7DEA8B" w14:textId="77777777" w:rsidR="00AA0495" w:rsidRPr="005245D3" w:rsidRDefault="00AA0495" w:rsidP="00540F8C">
            <w:pPr>
              <w:widowControl w:val="0"/>
              <w:spacing w:before="60" w:after="60"/>
              <w:rPr>
                <w:rFonts w:ascii="Arial" w:hAnsi="Arial" w:cs="Arial"/>
                <w:sz w:val="20"/>
                <w:szCs w:val="20"/>
              </w:rPr>
            </w:pPr>
            <w:r w:rsidRPr="005245D3">
              <w:rPr>
                <w:rFonts w:ascii="Arial" w:hAnsi="Arial" w:cs="Arial"/>
                <w:sz w:val="20"/>
                <w:szCs w:val="20"/>
              </w:rPr>
              <w:t xml:space="preserve">Organismo(s) público(s) local(es) electoral(es). </w:t>
            </w:r>
          </w:p>
        </w:tc>
      </w:tr>
      <w:tr w:rsidR="002412B6" w:rsidRPr="002412B6" w14:paraId="579519A2" w14:textId="77777777" w:rsidTr="00540F8C">
        <w:trPr>
          <w:trHeight w:val="624"/>
          <w:jc w:val="center"/>
        </w:trPr>
        <w:tc>
          <w:tcPr>
            <w:tcW w:w="2042" w:type="pct"/>
            <w:shd w:val="clear" w:color="auto" w:fill="auto"/>
            <w:vAlign w:val="center"/>
          </w:tcPr>
          <w:p w14:paraId="33EAA0FC" w14:textId="77777777" w:rsidR="00AA0495" w:rsidRPr="005245D3" w:rsidRDefault="00AA0495" w:rsidP="00540F8C">
            <w:pPr>
              <w:widowControl w:val="0"/>
              <w:spacing w:before="60" w:after="60"/>
              <w:jc w:val="right"/>
              <w:rPr>
                <w:rFonts w:ascii="Arial" w:hAnsi="Arial" w:cs="Arial"/>
                <w:b/>
                <w:bCs/>
                <w:sz w:val="20"/>
                <w:szCs w:val="20"/>
              </w:rPr>
            </w:pPr>
            <w:r w:rsidRPr="005245D3">
              <w:rPr>
                <w:rFonts w:ascii="Arial" w:hAnsi="Arial" w:cs="Arial"/>
                <w:b/>
                <w:bCs/>
                <w:sz w:val="20"/>
                <w:szCs w:val="20"/>
              </w:rPr>
              <w:t>Proceso Electoral Extraordinario:</w:t>
            </w:r>
          </w:p>
        </w:tc>
        <w:tc>
          <w:tcPr>
            <w:tcW w:w="2958" w:type="pct"/>
            <w:shd w:val="clear" w:color="auto" w:fill="auto"/>
            <w:vAlign w:val="center"/>
          </w:tcPr>
          <w:p w14:paraId="4B2EA5A2" w14:textId="77777777" w:rsidR="00AA0495" w:rsidRPr="005245D3" w:rsidRDefault="00AA0495" w:rsidP="00540F8C">
            <w:pPr>
              <w:widowControl w:val="0"/>
              <w:spacing w:before="60" w:after="60"/>
              <w:rPr>
                <w:rFonts w:ascii="Arial" w:hAnsi="Arial" w:cs="Arial"/>
                <w:sz w:val="20"/>
                <w:szCs w:val="20"/>
              </w:rPr>
            </w:pPr>
            <w:r w:rsidRPr="005245D3">
              <w:rPr>
                <w:rFonts w:ascii="Arial" w:hAnsi="Arial" w:cs="Arial"/>
                <w:sz w:val="20"/>
                <w:szCs w:val="20"/>
              </w:rPr>
              <w:t>Proceso Electoral Local Extraordinario para personas juzgadoras del Poder Judicial del Estado 2024 – 2025.</w:t>
            </w:r>
          </w:p>
        </w:tc>
      </w:tr>
      <w:tr w:rsidR="002412B6" w:rsidRPr="002412B6" w14:paraId="4065118D" w14:textId="77777777" w:rsidTr="00540F8C">
        <w:trPr>
          <w:trHeight w:val="624"/>
          <w:jc w:val="center"/>
        </w:trPr>
        <w:tc>
          <w:tcPr>
            <w:tcW w:w="2042" w:type="pct"/>
            <w:shd w:val="clear" w:color="auto" w:fill="auto"/>
            <w:vAlign w:val="center"/>
          </w:tcPr>
          <w:p w14:paraId="0E053744" w14:textId="77777777" w:rsidR="00AA0495" w:rsidRPr="005245D3" w:rsidRDefault="00AA0495" w:rsidP="00540F8C">
            <w:pPr>
              <w:widowControl w:val="0"/>
              <w:spacing w:before="60" w:after="60"/>
              <w:jc w:val="right"/>
              <w:rPr>
                <w:rFonts w:ascii="Arial" w:hAnsi="Arial" w:cs="Arial"/>
                <w:b/>
                <w:bCs/>
                <w:sz w:val="20"/>
                <w:szCs w:val="20"/>
              </w:rPr>
            </w:pPr>
            <w:r w:rsidRPr="005245D3">
              <w:rPr>
                <w:rFonts w:ascii="Arial" w:hAnsi="Arial" w:cs="Arial"/>
                <w:b/>
                <w:bCs/>
                <w:sz w:val="20"/>
                <w:szCs w:val="20"/>
              </w:rPr>
              <w:t>Reglamento de Comisiones:</w:t>
            </w:r>
          </w:p>
        </w:tc>
        <w:tc>
          <w:tcPr>
            <w:tcW w:w="2958" w:type="pct"/>
            <w:shd w:val="clear" w:color="auto" w:fill="auto"/>
            <w:vAlign w:val="center"/>
          </w:tcPr>
          <w:p w14:paraId="7925F641" w14:textId="77777777" w:rsidR="00AA0495" w:rsidRPr="005245D3" w:rsidRDefault="00AA0495" w:rsidP="00540F8C">
            <w:pPr>
              <w:widowControl w:val="0"/>
              <w:spacing w:before="60" w:after="60"/>
              <w:rPr>
                <w:rFonts w:ascii="Arial" w:hAnsi="Arial" w:cs="Arial"/>
                <w:sz w:val="20"/>
                <w:szCs w:val="20"/>
              </w:rPr>
            </w:pPr>
            <w:r w:rsidRPr="005245D3">
              <w:rPr>
                <w:rFonts w:ascii="Arial" w:hAnsi="Arial" w:cs="Arial"/>
                <w:sz w:val="20"/>
                <w:szCs w:val="20"/>
              </w:rPr>
              <w:t>Reglamento de Comisiones del Consejo Estatal del Instituto Electoral y de Participación Ciudadana de Tabasco.</w:t>
            </w:r>
          </w:p>
        </w:tc>
      </w:tr>
      <w:tr w:rsidR="002412B6" w:rsidRPr="002412B6" w14:paraId="67DAF6AF" w14:textId="77777777" w:rsidTr="00540F8C">
        <w:trPr>
          <w:trHeight w:val="624"/>
          <w:jc w:val="center"/>
        </w:trPr>
        <w:tc>
          <w:tcPr>
            <w:tcW w:w="2042" w:type="pct"/>
            <w:shd w:val="clear" w:color="auto" w:fill="auto"/>
            <w:vAlign w:val="center"/>
          </w:tcPr>
          <w:p w14:paraId="005F2478" w14:textId="77777777" w:rsidR="00AA0495" w:rsidRPr="002412B6" w:rsidRDefault="00AA0495" w:rsidP="00540F8C">
            <w:pPr>
              <w:widowControl w:val="0"/>
              <w:spacing w:before="60" w:after="60"/>
              <w:jc w:val="right"/>
              <w:rPr>
                <w:rFonts w:ascii="Arial" w:hAnsi="Arial" w:cs="Arial"/>
                <w:b/>
                <w:bCs/>
                <w:sz w:val="20"/>
                <w:szCs w:val="20"/>
              </w:rPr>
            </w:pPr>
            <w:r w:rsidRPr="002412B6">
              <w:rPr>
                <w:rFonts w:ascii="Arial" w:hAnsi="Arial" w:cs="Arial"/>
                <w:b/>
                <w:bCs/>
                <w:sz w:val="20"/>
                <w:szCs w:val="20"/>
              </w:rPr>
              <w:t>Secretaría Ejecutiva:</w:t>
            </w:r>
          </w:p>
        </w:tc>
        <w:tc>
          <w:tcPr>
            <w:tcW w:w="2958" w:type="pct"/>
            <w:shd w:val="clear" w:color="auto" w:fill="auto"/>
            <w:vAlign w:val="center"/>
          </w:tcPr>
          <w:p w14:paraId="5D06C5B1" w14:textId="77777777" w:rsidR="00AA0495" w:rsidRPr="002412B6" w:rsidRDefault="00AA0495" w:rsidP="00540F8C">
            <w:pPr>
              <w:widowControl w:val="0"/>
              <w:spacing w:before="60" w:after="60"/>
              <w:rPr>
                <w:rFonts w:ascii="Arial" w:hAnsi="Arial" w:cs="Arial"/>
                <w:sz w:val="20"/>
                <w:szCs w:val="20"/>
              </w:rPr>
            </w:pPr>
            <w:r w:rsidRPr="002412B6">
              <w:rPr>
                <w:rFonts w:ascii="Arial" w:hAnsi="Arial" w:cs="Arial"/>
                <w:sz w:val="20"/>
                <w:szCs w:val="20"/>
              </w:rPr>
              <w:t>Secretaría Ejecutiva del Instituto Electoral y de Participación Ciudadana de Tabasco.</w:t>
            </w:r>
          </w:p>
        </w:tc>
      </w:tr>
    </w:tbl>
    <w:bookmarkEnd w:id="1"/>
    <w:p w14:paraId="42A08A98" w14:textId="77777777" w:rsidR="00AA0495" w:rsidRPr="002412B6" w:rsidRDefault="00AA0495" w:rsidP="00451D18">
      <w:pPr>
        <w:pStyle w:val="Ttulo1"/>
        <w:rPr>
          <w:rFonts w:ascii="Arial" w:hAnsi="Arial" w:cs="Arial"/>
          <w:color w:val="auto"/>
          <w:sz w:val="24"/>
          <w:szCs w:val="24"/>
        </w:rPr>
      </w:pPr>
      <w:r w:rsidRPr="002412B6">
        <w:rPr>
          <w:rFonts w:ascii="Arial" w:hAnsi="Arial" w:cs="Arial"/>
          <w:color w:val="auto"/>
          <w:sz w:val="24"/>
          <w:szCs w:val="24"/>
        </w:rPr>
        <w:t>Antecedentes</w:t>
      </w:r>
    </w:p>
    <w:p w14:paraId="23F1B3C6"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Fines del Instituto</w:t>
      </w:r>
    </w:p>
    <w:p w14:paraId="0A8A8282" w14:textId="77777777" w:rsidR="00AA0495" w:rsidRPr="002412B6" w:rsidRDefault="00AA0495" w:rsidP="00AA0495">
      <w:pPr>
        <w:rPr>
          <w:rFonts w:ascii="Arial" w:hAnsi="Arial" w:cs="Arial"/>
          <w:sz w:val="22"/>
          <w:szCs w:val="22"/>
        </w:rPr>
      </w:pPr>
      <w:r w:rsidRPr="002412B6">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EBD64F4" w14:textId="77777777" w:rsidR="00AA0495" w:rsidRPr="002412B6" w:rsidRDefault="00AA0495" w:rsidP="00AA0495">
      <w:pPr>
        <w:rPr>
          <w:rFonts w:ascii="Arial" w:hAnsi="Arial" w:cs="Arial"/>
          <w:sz w:val="22"/>
          <w:szCs w:val="22"/>
        </w:rPr>
      </w:pPr>
      <w:r w:rsidRPr="002412B6">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42D6D987" w14:textId="77777777" w:rsidR="00AA0495" w:rsidRPr="002412B6" w:rsidRDefault="00AA0495" w:rsidP="00AA0495">
      <w:pPr>
        <w:rPr>
          <w:rFonts w:ascii="Arial" w:hAnsi="Arial" w:cs="Arial"/>
          <w:sz w:val="22"/>
          <w:szCs w:val="22"/>
        </w:rPr>
      </w:pPr>
      <w:r w:rsidRPr="002412B6">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763F7AB"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Integración del órgano superior de dirección</w:t>
      </w:r>
    </w:p>
    <w:p w14:paraId="61213CFA" w14:textId="77777777" w:rsidR="00AA0495" w:rsidRPr="002412B6" w:rsidRDefault="00AA0495" w:rsidP="00AA0495">
      <w:pPr>
        <w:rPr>
          <w:rFonts w:ascii="Arial" w:hAnsi="Arial" w:cs="Arial"/>
          <w:sz w:val="22"/>
          <w:szCs w:val="22"/>
        </w:rPr>
      </w:pPr>
      <w:r w:rsidRPr="002412B6">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32D2533" w14:textId="77777777" w:rsidR="00AA0495" w:rsidRPr="002412B6" w:rsidRDefault="00AA0495" w:rsidP="00AA0495">
      <w:pPr>
        <w:rPr>
          <w:rFonts w:ascii="Arial" w:hAnsi="Arial" w:cs="Arial"/>
          <w:sz w:val="22"/>
          <w:szCs w:val="22"/>
        </w:rPr>
      </w:pPr>
      <w:r w:rsidRPr="002412B6">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05F90254" w14:textId="77777777" w:rsidR="00AA0495" w:rsidRPr="002412B6" w:rsidRDefault="00AA0495" w:rsidP="00AA0495">
      <w:pPr>
        <w:rPr>
          <w:rFonts w:ascii="Arial" w:hAnsi="Arial" w:cs="Arial"/>
          <w:sz w:val="22"/>
          <w:szCs w:val="22"/>
        </w:rPr>
      </w:pPr>
      <w:r w:rsidRPr="002412B6">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CDAFA1A"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Comisiones del Instituto</w:t>
      </w:r>
    </w:p>
    <w:p w14:paraId="37B98A04" w14:textId="77777777" w:rsidR="00AA0495" w:rsidRPr="002412B6" w:rsidRDefault="00AA0495" w:rsidP="00AA0495">
      <w:pPr>
        <w:rPr>
          <w:rFonts w:ascii="Arial" w:hAnsi="Arial" w:cs="Arial"/>
          <w:sz w:val="22"/>
          <w:szCs w:val="22"/>
        </w:rPr>
      </w:pPr>
      <w:r w:rsidRPr="002412B6">
        <w:rPr>
          <w:rFonts w:ascii="Arial" w:hAnsi="Arial" w:cs="Arial"/>
          <w:sz w:val="22"/>
          <w:szCs w:val="22"/>
        </w:rPr>
        <w:t>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INE, que será presidida por la Consejera o el Consejero Presidente.</w:t>
      </w:r>
    </w:p>
    <w:p w14:paraId="63F09BBC"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 xml:space="preserve">Reforma Constitucional </w:t>
      </w:r>
    </w:p>
    <w:p w14:paraId="209364CC" w14:textId="77777777" w:rsidR="00AA0495" w:rsidRPr="002412B6" w:rsidRDefault="00AA0495" w:rsidP="00AA0495">
      <w:pPr>
        <w:rPr>
          <w:rFonts w:ascii="Arial" w:hAnsi="Arial" w:cs="Arial"/>
          <w:sz w:val="22"/>
          <w:szCs w:val="22"/>
        </w:rPr>
      </w:pPr>
      <w:r w:rsidRPr="002412B6">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518EB65B" w14:textId="77777777" w:rsidR="00AA0495" w:rsidRPr="002412B6" w:rsidRDefault="00AA0495" w:rsidP="00AA0495">
      <w:pPr>
        <w:rPr>
          <w:rFonts w:ascii="Arial" w:hAnsi="Arial" w:cs="Arial"/>
          <w:sz w:val="22"/>
          <w:szCs w:val="22"/>
        </w:rPr>
      </w:pPr>
      <w:r w:rsidRPr="002412B6">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AF6AF80"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Inicio del Proceso Electoral Extraordinario</w:t>
      </w:r>
    </w:p>
    <w:p w14:paraId="14B7B7AA" w14:textId="77777777" w:rsidR="00AA0495" w:rsidRPr="002412B6" w:rsidRDefault="00AA0495" w:rsidP="00AA0495">
      <w:pPr>
        <w:rPr>
          <w:rFonts w:ascii="Arial" w:hAnsi="Arial" w:cs="Arial"/>
          <w:sz w:val="22"/>
          <w:szCs w:val="22"/>
        </w:rPr>
      </w:pPr>
      <w:r w:rsidRPr="002412B6">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670DB977"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Reforma a la Ley Electoral</w:t>
      </w:r>
    </w:p>
    <w:p w14:paraId="1490F9BA" w14:textId="77777777" w:rsidR="00AA0495" w:rsidRPr="002412B6" w:rsidRDefault="00AA0495" w:rsidP="00AA0495">
      <w:pPr>
        <w:rPr>
          <w:rFonts w:ascii="Arial" w:hAnsi="Arial" w:cs="Arial"/>
          <w:sz w:val="22"/>
          <w:szCs w:val="22"/>
        </w:rPr>
      </w:pPr>
      <w:r w:rsidRPr="002412B6">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18C912D7"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 xml:space="preserve">Integración de la Comisión </w:t>
      </w:r>
    </w:p>
    <w:p w14:paraId="74E47368" w14:textId="15CE52AD" w:rsidR="00AA0495" w:rsidRPr="002412B6" w:rsidRDefault="00AA0495" w:rsidP="00AA0495">
      <w:pPr>
        <w:rPr>
          <w:rFonts w:ascii="Arial" w:hAnsi="Arial" w:cs="Arial"/>
          <w:sz w:val="22"/>
          <w:szCs w:val="22"/>
        </w:rPr>
      </w:pPr>
      <w:r w:rsidRPr="002412B6">
        <w:rPr>
          <w:rFonts w:ascii="Arial" w:hAnsi="Arial" w:cs="Arial"/>
          <w:sz w:val="22"/>
          <w:szCs w:val="22"/>
        </w:rPr>
        <w:t xml:space="preserve">El 4 de octubre de 2024, mediante acuerdo CE/2024/090, el Consejo Estatal modificó la conformación de las Comisiones Permanentes, entre ellas, la relativa a la de Denuncias y Quejas, quedando integrada por el Consejero Electoral, Lic. Vladimir Hernández Venegas y las Consejeras Electorales, Licda. Monserrat Martínez </w:t>
      </w:r>
      <w:proofErr w:type="spellStart"/>
      <w:r w:rsidRPr="002412B6">
        <w:rPr>
          <w:rFonts w:ascii="Arial" w:hAnsi="Arial" w:cs="Arial"/>
          <w:sz w:val="22"/>
          <w:szCs w:val="22"/>
        </w:rPr>
        <w:t>Beaurregard</w:t>
      </w:r>
      <w:proofErr w:type="spellEnd"/>
      <w:r w:rsidRPr="002412B6">
        <w:rPr>
          <w:rFonts w:ascii="Arial" w:hAnsi="Arial" w:cs="Arial"/>
          <w:sz w:val="22"/>
          <w:szCs w:val="22"/>
        </w:rPr>
        <w:t xml:space="preserve"> y Mtra. Ruth Lizette Toledo Peral, ésta última, Presidenta de la Comisión.</w:t>
      </w:r>
    </w:p>
    <w:p w14:paraId="7B2C4A8C"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Lineamientos aprobados por el INE</w:t>
      </w:r>
    </w:p>
    <w:p w14:paraId="6D34E11B" w14:textId="77777777" w:rsidR="00AA0495" w:rsidRPr="002412B6" w:rsidRDefault="00AA0495" w:rsidP="00AA0495">
      <w:pPr>
        <w:rPr>
          <w:rFonts w:ascii="Arial" w:hAnsi="Arial" w:cs="Arial"/>
          <w:sz w:val="22"/>
          <w:szCs w:val="22"/>
        </w:rPr>
      </w:pPr>
      <w:r w:rsidRPr="002412B6">
        <w:rPr>
          <w:rFonts w:ascii="Arial" w:hAnsi="Arial" w:cs="Arial"/>
          <w:sz w:val="22"/>
          <w:szCs w:val="22"/>
        </w:rPr>
        <w:t>El 5 de febrero de 2025, mediante acuerdo INE/CG56/2025, el Consejo General del INE aprobó los Lineamientos, los cuales tienen la finalidad de preservar la cadena de custodia de los paquetes electorales, toda vez que en el supuesto de que no se pudieran tomar las medidas necesarias para garantizar el cumplimiento de los principios constitucionales rectores de los procesos electorales, sobre el resguardo de paquetes electorales, podría generar una serie de violaciones e irregularidades que podrían ser determinantes para el resultado de alguna elección.</w:t>
      </w:r>
    </w:p>
    <w:p w14:paraId="20ACB994"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Jornada electoral</w:t>
      </w:r>
    </w:p>
    <w:p w14:paraId="1D58247B" w14:textId="77777777" w:rsidR="00AA0495" w:rsidRPr="002412B6" w:rsidRDefault="00AA0495" w:rsidP="00AA0495">
      <w:pPr>
        <w:rPr>
          <w:rFonts w:ascii="Arial" w:hAnsi="Arial" w:cs="Arial"/>
          <w:sz w:val="22"/>
          <w:szCs w:val="22"/>
        </w:rPr>
      </w:pPr>
      <w:r w:rsidRPr="002412B6">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97C419F"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 xml:space="preserve">Presentación de la propuesta </w:t>
      </w:r>
    </w:p>
    <w:p w14:paraId="582733B9" w14:textId="1DE1D99B" w:rsidR="00436B15" w:rsidRPr="002412B6" w:rsidRDefault="00AA0495" w:rsidP="00AA0495">
      <w:pPr>
        <w:rPr>
          <w:rFonts w:ascii="Arial" w:hAnsi="Arial" w:cs="Arial"/>
          <w:sz w:val="22"/>
          <w:szCs w:val="22"/>
        </w:rPr>
      </w:pPr>
      <w:r w:rsidRPr="002412B6">
        <w:rPr>
          <w:rFonts w:ascii="Arial" w:hAnsi="Arial" w:cs="Arial"/>
          <w:sz w:val="22"/>
          <w:szCs w:val="22"/>
        </w:rPr>
        <w:t xml:space="preserve">El </w:t>
      </w:r>
      <w:r w:rsidR="00436B15" w:rsidRPr="002412B6">
        <w:rPr>
          <w:rFonts w:ascii="Arial" w:hAnsi="Arial" w:cs="Arial"/>
          <w:sz w:val="22"/>
          <w:szCs w:val="22"/>
        </w:rPr>
        <w:t>24</w:t>
      </w:r>
      <w:r w:rsidRPr="002412B6">
        <w:rPr>
          <w:rFonts w:ascii="Arial" w:hAnsi="Arial" w:cs="Arial"/>
          <w:sz w:val="22"/>
          <w:szCs w:val="22"/>
        </w:rPr>
        <w:t xml:space="preserve"> de </w:t>
      </w:r>
      <w:r w:rsidR="00436B15" w:rsidRPr="002412B6">
        <w:rPr>
          <w:rFonts w:ascii="Arial" w:hAnsi="Arial" w:cs="Arial"/>
          <w:sz w:val="22"/>
          <w:szCs w:val="22"/>
        </w:rPr>
        <w:t xml:space="preserve">marzo </w:t>
      </w:r>
      <w:r w:rsidRPr="002412B6">
        <w:rPr>
          <w:rFonts w:ascii="Arial" w:hAnsi="Arial" w:cs="Arial"/>
          <w:sz w:val="22"/>
          <w:szCs w:val="22"/>
        </w:rPr>
        <w:t>de 2025, l</w:t>
      </w:r>
      <w:r w:rsidR="00436B15" w:rsidRPr="002412B6">
        <w:rPr>
          <w:rFonts w:ascii="Arial" w:hAnsi="Arial" w:cs="Arial"/>
          <w:sz w:val="22"/>
          <w:szCs w:val="22"/>
        </w:rPr>
        <w:t>a</w:t>
      </w:r>
      <w:r w:rsidRPr="002412B6">
        <w:rPr>
          <w:rFonts w:ascii="Arial" w:hAnsi="Arial" w:cs="Arial"/>
          <w:sz w:val="22"/>
          <w:szCs w:val="22"/>
        </w:rPr>
        <w:t xml:space="preserve"> </w:t>
      </w:r>
      <w:r w:rsidR="00692AF6" w:rsidRPr="002412B6">
        <w:rPr>
          <w:rFonts w:ascii="Arial" w:hAnsi="Arial" w:cs="Arial"/>
          <w:sz w:val="22"/>
          <w:szCs w:val="22"/>
        </w:rPr>
        <w:t>Secretaria T</w:t>
      </w:r>
      <w:r w:rsidRPr="002412B6">
        <w:rPr>
          <w:rFonts w:ascii="Arial" w:hAnsi="Arial" w:cs="Arial"/>
          <w:sz w:val="22"/>
          <w:szCs w:val="22"/>
        </w:rPr>
        <w:t>écnic</w:t>
      </w:r>
      <w:r w:rsidR="00436B15" w:rsidRPr="002412B6">
        <w:rPr>
          <w:rFonts w:ascii="Arial" w:hAnsi="Arial" w:cs="Arial"/>
          <w:sz w:val="22"/>
          <w:szCs w:val="22"/>
        </w:rPr>
        <w:t>a</w:t>
      </w:r>
      <w:r w:rsidRPr="002412B6">
        <w:rPr>
          <w:rFonts w:ascii="Arial" w:hAnsi="Arial" w:cs="Arial"/>
          <w:sz w:val="22"/>
          <w:szCs w:val="22"/>
        </w:rPr>
        <w:t xml:space="preserve"> de la Comisión remitió a la Presidencia del Consejo, la propuesta aprobada por la Comisión relativa a</w:t>
      </w:r>
      <w:r w:rsidR="00436B15" w:rsidRPr="002412B6">
        <w:rPr>
          <w:rFonts w:ascii="Arial" w:hAnsi="Arial" w:cs="Arial"/>
          <w:sz w:val="22"/>
          <w:szCs w:val="22"/>
        </w:rPr>
        <w:t xml:space="preserve"> </w:t>
      </w:r>
      <w:r w:rsidRPr="002412B6">
        <w:rPr>
          <w:rFonts w:ascii="Arial" w:hAnsi="Arial" w:cs="Arial"/>
          <w:sz w:val="22"/>
          <w:szCs w:val="22"/>
        </w:rPr>
        <w:t>l</w:t>
      </w:r>
      <w:r w:rsidR="00436B15" w:rsidRPr="002412B6">
        <w:rPr>
          <w:rFonts w:ascii="Arial" w:hAnsi="Arial" w:cs="Arial"/>
          <w:sz w:val="22"/>
          <w:szCs w:val="22"/>
        </w:rPr>
        <w:t>as reglas para la protección de niñas, niños y adolescentes en la difusión de propaganda y mensajes electorales para el Proceso Electoral Extraordinario.</w:t>
      </w:r>
    </w:p>
    <w:p w14:paraId="6A03A156" w14:textId="77777777" w:rsidR="00AA0495" w:rsidRPr="002412B6" w:rsidRDefault="00AA0495" w:rsidP="00AA0495">
      <w:pPr>
        <w:pStyle w:val="Ttulo1"/>
        <w:rPr>
          <w:rFonts w:ascii="Arial" w:hAnsi="Arial" w:cs="Arial"/>
          <w:color w:val="auto"/>
          <w:sz w:val="24"/>
          <w:szCs w:val="24"/>
        </w:rPr>
      </w:pPr>
      <w:r w:rsidRPr="002412B6">
        <w:rPr>
          <w:rFonts w:ascii="Arial" w:hAnsi="Arial" w:cs="Arial"/>
          <w:color w:val="auto"/>
          <w:sz w:val="24"/>
          <w:szCs w:val="24"/>
        </w:rPr>
        <w:t>Considerando</w:t>
      </w:r>
    </w:p>
    <w:p w14:paraId="2851416D" w14:textId="77777777" w:rsidR="00AA0495" w:rsidRPr="002412B6" w:rsidRDefault="00AA0495" w:rsidP="00AA0495">
      <w:pPr>
        <w:pStyle w:val="Ttulo2"/>
        <w:rPr>
          <w:rFonts w:ascii="Arial" w:hAnsi="Arial" w:cs="Arial"/>
          <w:color w:val="auto"/>
        </w:rPr>
      </w:pPr>
      <w:r w:rsidRPr="002412B6">
        <w:rPr>
          <w:rFonts w:ascii="Arial" w:hAnsi="Arial" w:cs="Arial"/>
          <w:color w:val="auto"/>
        </w:rPr>
        <w:t>Competencia del Consejo Estatal</w:t>
      </w:r>
    </w:p>
    <w:p w14:paraId="5047BCA0" w14:textId="77777777" w:rsidR="00AA0495" w:rsidRPr="002412B6" w:rsidRDefault="00AA0495" w:rsidP="00AA0495">
      <w:pPr>
        <w:rPr>
          <w:rFonts w:ascii="Arial" w:hAnsi="Arial" w:cs="Arial"/>
          <w:sz w:val="22"/>
          <w:szCs w:val="22"/>
        </w:rPr>
      </w:pPr>
      <w:r w:rsidRPr="002412B6">
        <w:rPr>
          <w:rFonts w:ascii="Arial" w:hAnsi="Arial" w:cs="Arial"/>
        </w:rPr>
        <w:t xml:space="preserve">Que, de conformidad con los </w:t>
      </w:r>
      <w:r w:rsidRPr="002412B6">
        <w:rPr>
          <w:rFonts w:ascii="Arial" w:hAnsi="Arial" w:cs="Arial"/>
          <w:sz w:val="22"/>
          <w:szCs w:val="22"/>
        </w:rPr>
        <w:t>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además de aprobar los lineamientos o acuerdos necesarios para llevar a cabo la organización, desarrollo y cómputo de la elección.</w:t>
      </w:r>
    </w:p>
    <w:p w14:paraId="7CCC1E83" w14:textId="77777777" w:rsidR="002368F9" w:rsidRPr="002412B6" w:rsidRDefault="002368F9" w:rsidP="002368F9">
      <w:pPr>
        <w:widowControl w:val="0"/>
        <w:rPr>
          <w:rFonts w:ascii="Arial" w:hAnsi="Arial" w:cs="Arial"/>
          <w:sz w:val="22"/>
          <w:szCs w:val="22"/>
        </w:rPr>
      </w:pPr>
      <w:r w:rsidRPr="002412B6">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738E2E2E" w14:textId="6FCFFC35" w:rsidR="00E352F7" w:rsidRPr="002412B6" w:rsidRDefault="00E352F7" w:rsidP="00E352F7">
      <w:pPr>
        <w:pStyle w:val="Ttulo2"/>
        <w:rPr>
          <w:rFonts w:ascii="Arial" w:hAnsi="Arial" w:cs="Arial"/>
          <w:color w:val="auto"/>
          <w:sz w:val="22"/>
          <w:szCs w:val="22"/>
        </w:rPr>
      </w:pPr>
      <w:r w:rsidRPr="002412B6">
        <w:rPr>
          <w:rFonts w:ascii="Arial" w:hAnsi="Arial" w:cs="Arial"/>
          <w:color w:val="auto"/>
          <w:sz w:val="22"/>
          <w:szCs w:val="22"/>
        </w:rPr>
        <w:t>Promoción, respeto, protección y garantía de los derechos humanos de niñas, niños y adolescentes</w:t>
      </w:r>
    </w:p>
    <w:p w14:paraId="0AC5F683" w14:textId="77777777" w:rsidR="00E352F7" w:rsidRPr="002412B6" w:rsidRDefault="00E352F7" w:rsidP="00AA0495">
      <w:pPr>
        <w:rPr>
          <w:rFonts w:ascii="Arial" w:hAnsi="Arial" w:cs="Arial"/>
          <w:sz w:val="22"/>
          <w:szCs w:val="22"/>
        </w:rPr>
      </w:pPr>
      <w:r w:rsidRPr="002412B6">
        <w:rPr>
          <w:rFonts w:ascii="Arial" w:hAnsi="Arial" w:cs="Arial"/>
          <w:sz w:val="22"/>
          <w:szCs w:val="22"/>
        </w:rPr>
        <w:t xml:space="preserve">Que, el artículo 1 de la Constitución Federal establece que todas las personas gozan de los derechos reconocidos en la Constitución y en los tratados internacionales de los que México es parte, mismos que deben ser interpretados favoreciendo en todo tiempo la protección más amplia a las personas y respecto de los cuales el Estado tiene la obligación de promoverlos, respetarlos, protegerlos y garantizarlos de acuerdo con los principios de universalidad, interdependencia, indivisibilidad y progresividad. </w:t>
      </w:r>
    </w:p>
    <w:p w14:paraId="758464C3" w14:textId="77777777" w:rsidR="006B1E59" w:rsidRPr="002412B6" w:rsidRDefault="00E352F7" w:rsidP="00AA0495">
      <w:pPr>
        <w:rPr>
          <w:rFonts w:ascii="Arial" w:hAnsi="Arial" w:cs="Arial"/>
          <w:sz w:val="22"/>
          <w:szCs w:val="22"/>
        </w:rPr>
      </w:pPr>
      <w:r w:rsidRPr="002412B6">
        <w:rPr>
          <w:rFonts w:ascii="Arial" w:hAnsi="Arial" w:cs="Arial"/>
          <w:sz w:val="22"/>
          <w:szCs w:val="22"/>
        </w:rPr>
        <w:t xml:space="preserve">Por su parte, el artículo 4 párrafos noveno, décimo y décimo primero de la Constitución Federal señala que en todas las decisiones y actuaciones del Estado se velará y cumplirá con el principio del interés superior de la niñez, garantizando de manera plena sus derechos. Asimismo, los niños y las niñas tienen derecho a la satisfacción de sus necesidades de alimentación, salud, educación y sano esparcimiento para su desarrollo integral. </w:t>
      </w:r>
    </w:p>
    <w:p w14:paraId="0DA55088" w14:textId="7DCB262C" w:rsidR="00E352F7" w:rsidRPr="002412B6" w:rsidRDefault="00E352F7" w:rsidP="00AA0495">
      <w:pPr>
        <w:rPr>
          <w:rFonts w:ascii="Arial" w:hAnsi="Arial" w:cs="Arial"/>
          <w:sz w:val="22"/>
          <w:szCs w:val="22"/>
        </w:rPr>
      </w:pPr>
      <w:r w:rsidRPr="002412B6">
        <w:rPr>
          <w:rFonts w:ascii="Arial" w:hAnsi="Arial" w:cs="Arial"/>
          <w:sz w:val="22"/>
          <w:szCs w:val="22"/>
        </w:rPr>
        <w:t>Este principio deberá guiar el diseño, ejecución, seguimiento y evaluación de las políticas públicas dirigidas a la niñez. Del mismo modo, refiere que los ascendientes, tutores y custodios tienen la obligación de preservar y exigir el cumplimiento de estos derechos y principios. Y que el Estado otorgará facilidades a los particulares para que coadyuven al cumplimiento de los derechos de la niñez.</w:t>
      </w:r>
    </w:p>
    <w:p w14:paraId="09A60DCD" w14:textId="77777777" w:rsidR="00E352F7" w:rsidRPr="002412B6" w:rsidRDefault="00E352F7" w:rsidP="00E352F7">
      <w:pPr>
        <w:pStyle w:val="Ttulo2"/>
        <w:rPr>
          <w:rFonts w:ascii="Arial" w:hAnsi="Arial" w:cs="Arial"/>
          <w:color w:val="auto"/>
          <w:sz w:val="22"/>
          <w:szCs w:val="22"/>
        </w:rPr>
      </w:pPr>
      <w:r w:rsidRPr="002412B6">
        <w:rPr>
          <w:rFonts w:ascii="Arial" w:hAnsi="Arial" w:cs="Arial"/>
          <w:color w:val="auto"/>
          <w:sz w:val="22"/>
          <w:szCs w:val="22"/>
        </w:rPr>
        <w:t>Convención sobre los Derechos del Niño</w:t>
      </w:r>
    </w:p>
    <w:p w14:paraId="6B50E873" w14:textId="5BCD8CE9" w:rsidR="00E352F7" w:rsidRPr="002412B6" w:rsidRDefault="00E352F7" w:rsidP="00AA0495">
      <w:pPr>
        <w:rPr>
          <w:rFonts w:ascii="Arial" w:hAnsi="Arial" w:cs="Arial"/>
          <w:sz w:val="22"/>
          <w:szCs w:val="22"/>
        </w:rPr>
      </w:pPr>
      <w:r w:rsidRPr="002412B6">
        <w:rPr>
          <w:rFonts w:ascii="Arial" w:hAnsi="Arial" w:cs="Arial"/>
          <w:sz w:val="22"/>
          <w:szCs w:val="22"/>
        </w:rPr>
        <w:t>Que, en la Convención sobre los Derechos del Niño, aprobada el 20 de noviembre de 1989 y ratificada por México el 21 de septiembre de 1990, se establece que “niño” es todo ser humano menor de dieciocho años de edad, quien es titular de derechos, entre los que se encuentran el derecho a la libre expresión de sus opiniones, a la protección de su privacidad, a ser escuchado, a participar, a acceder a información y materiales de diversas fuentes nacionales e internacionales, a que sea considerada la evolución de sus facultades y a ser protegido contra toda forma de perjuicio o abuso físico y mental, descuido o trato negligente, malos tratos o explotación, y que el Estado debe adoptar las medidas necesarias para la efectividad de esos derechos y promover las directrices apropiadas de protección de la niñez frente a información y material que pueda perjudicar su bienestar.</w:t>
      </w:r>
    </w:p>
    <w:p w14:paraId="3D8600C8" w14:textId="77777777" w:rsidR="00E352F7" w:rsidRPr="002412B6" w:rsidRDefault="00E352F7" w:rsidP="00AA0495">
      <w:pPr>
        <w:rPr>
          <w:rFonts w:ascii="Arial" w:hAnsi="Arial" w:cs="Arial"/>
          <w:sz w:val="22"/>
          <w:szCs w:val="22"/>
        </w:rPr>
      </w:pPr>
      <w:r w:rsidRPr="002412B6">
        <w:rPr>
          <w:rFonts w:ascii="Arial" w:hAnsi="Arial" w:cs="Arial"/>
          <w:sz w:val="22"/>
          <w:szCs w:val="22"/>
        </w:rPr>
        <w:t xml:space="preserve">Acorde a lo anterior, la Ley General de los Derechos de Niñas, Niños y Adolescentes en su artículo 5, párrafo primero, establece que se consideran niños y niñas a las personas menores de 12 años y adolescentes a las personas con 12 años cumplidos y menores de 18 años de edad. </w:t>
      </w:r>
    </w:p>
    <w:p w14:paraId="12DE5586" w14:textId="10E231F1" w:rsidR="00E352F7" w:rsidRPr="002412B6" w:rsidRDefault="00E352F7" w:rsidP="00AA0495">
      <w:pPr>
        <w:rPr>
          <w:rFonts w:ascii="Arial" w:hAnsi="Arial" w:cs="Arial"/>
          <w:sz w:val="22"/>
          <w:szCs w:val="22"/>
        </w:rPr>
      </w:pPr>
      <w:r w:rsidRPr="002412B6">
        <w:rPr>
          <w:rFonts w:ascii="Arial" w:hAnsi="Arial" w:cs="Arial"/>
          <w:sz w:val="22"/>
          <w:szCs w:val="22"/>
        </w:rPr>
        <w:t>Por su parte, el artículo 13 fracciones VII, XI, XIII, XIV, XV, XVII y XX del ordenamiento señalado, enuncia que son derechos de las niñas, niños y adolescentes, entre otros, los siguientes: el derecho a vivir en condiciones de bienestar y a un sano desarrollo integral, el derecho a la educación, el derecho a la libertad de convicciones éticas, pensamiento, conciencia, religión y cultura; el derecho a la libertad de expresión y acceso a la información; el derecho a la participación; el derecho a la intimidad; el derecho de acceso a las tecnologías de información y comunicación, así como a los servicios de radiodifusión y telecomunicaciones, incluido el Internet.</w:t>
      </w:r>
    </w:p>
    <w:p w14:paraId="3CC21C43" w14:textId="023FF384" w:rsidR="003157CC" w:rsidRPr="002412B6" w:rsidRDefault="003157CC" w:rsidP="003157CC">
      <w:pPr>
        <w:pStyle w:val="Ttulo2"/>
        <w:rPr>
          <w:rFonts w:ascii="Arial" w:hAnsi="Arial" w:cs="Arial"/>
          <w:color w:val="auto"/>
          <w:sz w:val="22"/>
          <w:szCs w:val="22"/>
        </w:rPr>
      </w:pPr>
      <w:r w:rsidRPr="002412B6">
        <w:rPr>
          <w:rFonts w:ascii="Arial" w:hAnsi="Arial" w:cs="Arial"/>
          <w:color w:val="auto"/>
          <w:sz w:val="22"/>
          <w:szCs w:val="22"/>
        </w:rPr>
        <w:t>Derecho a la libertad de expresión y acceso a la información de las niñas, niños y adolescentes</w:t>
      </w:r>
    </w:p>
    <w:p w14:paraId="0F13AFC9" w14:textId="2F8B04B0" w:rsidR="003157CC" w:rsidRPr="002412B6" w:rsidRDefault="003157CC" w:rsidP="00AA0495">
      <w:pPr>
        <w:rPr>
          <w:rFonts w:ascii="Arial" w:hAnsi="Arial" w:cs="Arial"/>
          <w:sz w:val="22"/>
          <w:szCs w:val="22"/>
        </w:rPr>
      </w:pPr>
      <w:r w:rsidRPr="002412B6">
        <w:rPr>
          <w:rFonts w:ascii="Arial" w:hAnsi="Arial" w:cs="Arial"/>
          <w:sz w:val="22"/>
          <w:szCs w:val="22"/>
        </w:rPr>
        <w:t>Que, los artículos 64, 65 y 66 de la Ley General de los Derechos de Niñas, Niños y Adolescentes establecen que todas las autoridades federales, de las entidades federativas, municipales y de las demarcaciones territoriales de la Ciudad de México, en el ámbito de sus respectivas competencias, deberán garantizar el derecho de niñas, niños y adolescentes a expresar su opinión libremente, así como a buscar, recibir y difundir información e ideas de todo tipo y por cualquier medio. También, les corresponde promover la difusión de información y material que tenga por finalidad asegurar su bienestar social y ético, así como su desarrollo cultural y salud física y mental. Así como promover los mecanismos para la protección de los intereses de niñas, niños y adolescentes respecto de los riesgos derivados del acceso a medios de comunicación y uso de sistemas de información que afecten o impidan objetivamente su desarrollo integral.</w:t>
      </w:r>
    </w:p>
    <w:p w14:paraId="49C9EAE3" w14:textId="43D75469" w:rsidR="00F05A41" w:rsidRPr="002412B6" w:rsidRDefault="00F05A41" w:rsidP="00F05A41">
      <w:pPr>
        <w:pStyle w:val="Ttulo2"/>
        <w:rPr>
          <w:rFonts w:ascii="Arial" w:hAnsi="Arial" w:cs="Arial"/>
          <w:color w:val="auto"/>
          <w:sz w:val="22"/>
          <w:szCs w:val="22"/>
        </w:rPr>
      </w:pPr>
      <w:r w:rsidRPr="002412B6">
        <w:rPr>
          <w:rFonts w:ascii="Arial" w:hAnsi="Arial" w:cs="Arial"/>
          <w:color w:val="auto"/>
          <w:sz w:val="22"/>
          <w:szCs w:val="22"/>
        </w:rPr>
        <w:t>Derecho a la intimidad de niñas, niños y adolescentes</w:t>
      </w:r>
    </w:p>
    <w:p w14:paraId="3B34525C" w14:textId="77777777" w:rsidR="00F05A41" w:rsidRPr="002412B6" w:rsidRDefault="00F05A41" w:rsidP="00F05A41">
      <w:pPr>
        <w:rPr>
          <w:rFonts w:ascii="Arial" w:hAnsi="Arial" w:cs="Arial"/>
          <w:sz w:val="22"/>
          <w:szCs w:val="22"/>
        </w:rPr>
      </w:pPr>
      <w:r w:rsidRPr="002412B6">
        <w:rPr>
          <w:rFonts w:ascii="Arial" w:hAnsi="Arial" w:cs="Arial"/>
          <w:sz w:val="22"/>
          <w:szCs w:val="22"/>
        </w:rPr>
        <w:t>Que, de acuerdo con los artículos 76 y 77 de la Ley General de los Derechos de Niñas, Niños y Adolescentes, éstos tienen derecho a la intimidad personal y familiar, y a la protección de sus datos personales, por lo que, no podrán ser objeto de injerencias arbitrarias o ilegales en su vida privada, su domicilio o correspondencia o la divulgación o difusión ilícita de su información, incluyendo aquella que tenga carácter informativo a la opinión pública o de noticia que permita identificarlos y que atente contra su honra, imagen o reputación. Se considerará violación a la intimidad de niñas, niños y adolescentes cualquier manejo directo de su imagen y referencias que permitan su identificación en los medios de comunicación que cuenten con cesión para prestar el servicio de radiodifusión y telecomunicaciones, así como medios impresos, electrónicos de los que tengan control los concesionarios y que menoscabe su honra o reputación, o sea contrario a sus derechos o que los ponga en riesgo conforme al principio de interés superior de la niñez.</w:t>
      </w:r>
    </w:p>
    <w:p w14:paraId="3F387F3D" w14:textId="1FD4A114" w:rsidR="00F05A41" w:rsidRPr="002412B6" w:rsidRDefault="00F05A41" w:rsidP="00F05A41">
      <w:pPr>
        <w:rPr>
          <w:rFonts w:ascii="Arial" w:hAnsi="Arial" w:cs="Arial"/>
          <w:sz w:val="22"/>
          <w:szCs w:val="22"/>
        </w:rPr>
      </w:pPr>
      <w:r w:rsidRPr="002412B6">
        <w:rPr>
          <w:rFonts w:ascii="Arial" w:hAnsi="Arial" w:cs="Arial"/>
          <w:sz w:val="22"/>
          <w:szCs w:val="22"/>
        </w:rPr>
        <w:t xml:space="preserve"> Por su parte el artículo 78 de la misma Ley establece que los medios de comunicación que difundan entrevistas realizadas a niñas, niños y adolescentes tienen la obligación de: I. Recabar el consentimiento por escrito o cualquier otro medio, de quienes ejerzan la patria potestad o tutela, así como la opinión de la niña, niño o adolescente, respectivamente, y II. La persona que realice la entrevista será respetuosa y no podrá mostrar actitudes ni emitir comentarios que afecten o impidan objetivamente el desarrollo integral de niñas, niños y adolescentes.</w:t>
      </w:r>
    </w:p>
    <w:p w14:paraId="3AFAD3FC" w14:textId="757624E4" w:rsidR="003157CC" w:rsidRPr="002412B6" w:rsidRDefault="00F05A41" w:rsidP="00F05A41">
      <w:pPr>
        <w:rPr>
          <w:rFonts w:ascii="Arial" w:hAnsi="Arial" w:cs="Arial"/>
          <w:sz w:val="22"/>
          <w:szCs w:val="22"/>
        </w:rPr>
      </w:pPr>
      <w:r w:rsidRPr="002412B6">
        <w:rPr>
          <w:rFonts w:ascii="Arial" w:hAnsi="Arial" w:cs="Arial"/>
          <w:sz w:val="22"/>
          <w:szCs w:val="22"/>
        </w:rPr>
        <w:t>En el caso de que no sea posible recabar el consentimiento de quienes ejerzan la patria potestad o tutela de un adolescente, este podrá otorgarlo siempre que ello no implique una afectación a su derecho a la privacidad por el menoscabo a su honra o reputación. 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14:paraId="1229674B" w14:textId="2B199905" w:rsidR="00F05A41" w:rsidRPr="002412B6" w:rsidRDefault="00F05A41" w:rsidP="00F05A41">
      <w:pPr>
        <w:rPr>
          <w:rFonts w:ascii="Arial" w:hAnsi="Arial" w:cs="Arial"/>
          <w:sz w:val="22"/>
          <w:szCs w:val="22"/>
        </w:rPr>
      </w:pPr>
      <w:r w:rsidRPr="002412B6">
        <w:rPr>
          <w:rFonts w:ascii="Arial" w:hAnsi="Arial" w:cs="Arial"/>
          <w:sz w:val="22"/>
          <w:szCs w:val="22"/>
        </w:rPr>
        <w:t>Asimismo, el artículo 79 de la Ley General de los Derechos de Niñas, Niños y Adolescentes establece que las autoridades federales, de las entidades federativas, municipales y de las demarcaciones territoriales de la Ciudad de México, en el ámbito de sus respectivas competencias, garantizarán la protección de la identidad e intimidad de niñas, niños y adolescentes que sean víctimas, ofendidos, testigos o que estén relacionados de cualquier manera en la comisión de un delito, a fin de evitar su identificación pública.</w:t>
      </w:r>
    </w:p>
    <w:p w14:paraId="53A1741F" w14:textId="77777777" w:rsidR="00AA0495" w:rsidRPr="002412B6" w:rsidRDefault="00AA0495" w:rsidP="00AA0495">
      <w:pPr>
        <w:pStyle w:val="Ttulo2"/>
        <w:keepNext w:val="0"/>
        <w:widowControl w:val="0"/>
        <w:rPr>
          <w:rFonts w:ascii="Arial" w:hAnsi="Arial" w:cs="Arial"/>
          <w:color w:val="auto"/>
          <w:sz w:val="22"/>
          <w:szCs w:val="22"/>
        </w:rPr>
      </w:pPr>
      <w:r w:rsidRPr="002412B6">
        <w:rPr>
          <w:rFonts w:ascii="Arial" w:hAnsi="Arial" w:cs="Arial"/>
          <w:color w:val="auto"/>
          <w:sz w:val="22"/>
          <w:szCs w:val="22"/>
        </w:rPr>
        <w:t>Proceso electoral de las personas juzgadoras</w:t>
      </w:r>
    </w:p>
    <w:p w14:paraId="73F0A280" w14:textId="77777777" w:rsidR="00AA0495" w:rsidRPr="002412B6" w:rsidRDefault="00AA0495" w:rsidP="00AA0495">
      <w:pPr>
        <w:widowControl w:val="0"/>
        <w:spacing w:line="281" w:lineRule="auto"/>
        <w:rPr>
          <w:rFonts w:ascii="Arial" w:hAnsi="Arial" w:cs="Arial"/>
          <w:sz w:val="22"/>
          <w:szCs w:val="22"/>
        </w:rPr>
      </w:pPr>
      <w:r w:rsidRPr="002412B6">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7196EF26" w14:textId="77777777" w:rsidR="00AA0495" w:rsidRPr="002412B6" w:rsidRDefault="00AA0495" w:rsidP="00AA0495">
      <w:pPr>
        <w:pStyle w:val="Ttulo2"/>
        <w:keepNext w:val="0"/>
        <w:widowControl w:val="0"/>
        <w:rPr>
          <w:rFonts w:ascii="Arial" w:hAnsi="Arial" w:cs="Arial"/>
          <w:color w:val="auto"/>
          <w:sz w:val="22"/>
          <w:szCs w:val="22"/>
        </w:rPr>
      </w:pPr>
      <w:r w:rsidRPr="002412B6">
        <w:rPr>
          <w:rFonts w:ascii="Arial" w:hAnsi="Arial" w:cs="Arial"/>
          <w:color w:val="auto"/>
          <w:sz w:val="22"/>
          <w:szCs w:val="22"/>
        </w:rPr>
        <w:t>Derecho de la ciudadanía a participar en los procesos de selección y evaluación de candidaturas</w:t>
      </w:r>
    </w:p>
    <w:p w14:paraId="46617F50" w14:textId="77777777" w:rsidR="00AA0495" w:rsidRPr="002412B6" w:rsidRDefault="00AA0495" w:rsidP="00AA0495">
      <w:pPr>
        <w:widowControl w:val="0"/>
        <w:rPr>
          <w:rFonts w:ascii="Arial" w:hAnsi="Arial" w:cs="Arial"/>
          <w:sz w:val="22"/>
          <w:szCs w:val="22"/>
        </w:rPr>
      </w:pPr>
      <w:r w:rsidRPr="002412B6">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255DF94E" w14:textId="77777777" w:rsidR="00AA0495" w:rsidRPr="002412B6" w:rsidRDefault="00AA0495" w:rsidP="00AA0495">
      <w:pPr>
        <w:pStyle w:val="Ttulo2"/>
        <w:rPr>
          <w:rFonts w:ascii="Arial" w:hAnsi="Arial" w:cs="Arial"/>
          <w:color w:val="auto"/>
          <w:sz w:val="22"/>
          <w:szCs w:val="22"/>
        </w:rPr>
      </w:pPr>
      <w:r w:rsidRPr="002412B6">
        <w:rPr>
          <w:rFonts w:ascii="Arial" w:hAnsi="Arial" w:cs="Arial"/>
          <w:color w:val="auto"/>
          <w:sz w:val="22"/>
          <w:szCs w:val="22"/>
        </w:rPr>
        <w:t xml:space="preserve">Procedimiento para la elección de personas juzgadoras del Poder Judicial </w:t>
      </w:r>
    </w:p>
    <w:p w14:paraId="2131E5A0" w14:textId="77777777" w:rsidR="00AA0495" w:rsidRPr="002412B6" w:rsidRDefault="00AA0495" w:rsidP="00AA0495">
      <w:pPr>
        <w:rPr>
          <w:rFonts w:ascii="Arial" w:hAnsi="Arial" w:cs="Arial"/>
          <w:sz w:val="22"/>
          <w:szCs w:val="22"/>
        </w:rPr>
      </w:pPr>
      <w:r w:rsidRPr="002412B6">
        <w:rPr>
          <w:rFonts w:ascii="Arial" w:hAnsi="Arial" w:cs="Arial"/>
          <w:sz w:val="22"/>
          <w:szCs w:val="22"/>
        </w:rPr>
        <w:t>Que, para llevar a cabo la elección y renovación de las Magistradas y Magistrados del Tribunal de Disciplina Judicial y las Magistradas y Magistrados, Juezas y Jueces del Tribunal Superior de Justicia, el artículo 56 de la Constitución Local establece que la elección estará sujeta al siguiente procedimiento:</w:t>
      </w:r>
    </w:p>
    <w:p w14:paraId="1242FF1F" w14:textId="77777777" w:rsidR="00AA0495" w:rsidRPr="002412B6" w:rsidRDefault="00AA0495" w:rsidP="00AA0495">
      <w:pPr>
        <w:pStyle w:val="Prrafodelista"/>
        <w:numPr>
          <w:ilvl w:val="0"/>
          <w:numId w:val="1"/>
        </w:numPr>
        <w:ind w:left="720"/>
        <w:contextualSpacing w:val="0"/>
        <w:rPr>
          <w:rFonts w:ascii="Arial" w:hAnsi="Arial" w:cs="Arial"/>
          <w:sz w:val="22"/>
          <w:szCs w:val="22"/>
        </w:rPr>
      </w:pPr>
      <w:r w:rsidRPr="002412B6">
        <w:rPr>
          <w:rFonts w:ascii="Arial" w:hAnsi="Arial" w:cs="Arial"/>
          <w:sz w:val="22"/>
          <w:szCs w:val="22"/>
        </w:rPr>
        <w:t>El Congreso del Estado publicará la convocatoria para la integración del listado de candidaturas dentro de los treinta días naturales siguientes a la instalación del primer periodo ordinario de sesiones del año anterior al de la elección que corresponda, que contendrá las etapas completas del procedimiento, sus fechas y plazos improrrogables y los cargos a elegir. El Órgano de Administración Judicial hará del conocimiento del Congreso, los cargos sujetos a elección y demás información que requiera;</w:t>
      </w:r>
    </w:p>
    <w:p w14:paraId="2F42137E" w14:textId="77777777" w:rsidR="00AA0495" w:rsidRPr="002412B6" w:rsidRDefault="00AA0495" w:rsidP="00AA0495">
      <w:pPr>
        <w:pStyle w:val="Prrafodelista"/>
        <w:numPr>
          <w:ilvl w:val="0"/>
          <w:numId w:val="1"/>
        </w:numPr>
        <w:ind w:left="720"/>
        <w:contextualSpacing w:val="0"/>
        <w:rPr>
          <w:rFonts w:ascii="Arial" w:hAnsi="Arial" w:cs="Arial"/>
          <w:sz w:val="22"/>
          <w:szCs w:val="22"/>
        </w:rPr>
      </w:pPr>
      <w:r w:rsidRPr="002412B6">
        <w:rPr>
          <w:rFonts w:ascii="Arial" w:hAnsi="Arial" w:cs="Arial"/>
          <w:sz w:val="22"/>
          <w:szCs w:val="22"/>
        </w:rPr>
        <w:t>Los Poderes del Estado postularán el número de candidaturas que corresponda a cada cargo conforme a los párrafos segundo y tercero del artículo en mención. Para la evaluación y selección de sus postulaciones, observarán lo siguiente:</w:t>
      </w:r>
    </w:p>
    <w:p w14:paraId="14F28A57" w14:textId="77777777" w:rsidR="00AA0495" w:rsidRPr="002412B6" w:rsidRDefault="00AA0495" w:rsidP="00AA0495">
      <w:pPr>
        <w:pStyle w:val="Prrafodelista"/>
        <w:numPr>
          <w:ilvl w:val="1"/>
          <w:numId w:val="1"/>
        </w:numPr>
        <w:contextualSpacing w:val="0"/>
        <w:rPr>
          <w:rFonts w:ascii="Arial" w:hAnsi="Arial" w:cs="Arial"/>
          <w:sz w:val="22"/>
          <w:szCs w:val="22"/>
        </w:rPr>
      </w:pPr>
      <w:r w:rsidRPr="002412B6">
        <w:rPr>
          <w:rFonts w:ascii="Arial" w:hAnsi="Arial" w:cs="Arial"/>
          <w:sz w:val="22"/>
          <w:szCs w:val="22"/>
        </w:rPr>
        <w:t>Los Poderes establecerán mecanismos públicos, abiertos, transparentes, inclusivos y accesibles que permitan la participación de todas las personas interesadas que acrediten los requisitos establecidos en esta Constitución y en las leyes aplicables, presenten un ensayo de tres cuartillas donde justifiquen los motivos de su postulación y remitan cinco cartas de referencia de sus vecinos, colegas o personas que respalden su idoneidad para desempeñar el cargo;</w:t>
      </w:r>
    </w:p>
    <w:p w14:paraId="37B1DC9C" w14:textId="77777777" w:rsidR="00AA0495" w:rsidRPr="002412B6" w:rsidRDefault="00AA0495" w:rsidP="00AA0495">
      <w:pPr>
        <w:pStyle w:val="Prrafodelista"/>
        <w:numPr>
          <w:ilvl w:val="1"/>
          <w:numId w:val="1"/>
        </w:numPr>
        <w:contextualSpacing w:val="0"/>
        <w:rPr>
          <w:rFonts w:ascii="Arial" w:hAnsi="Arial" w:cs="Arial"/>
          <w:sz w:val="22"/>
          <w:szCs w:val="22"/>
        </w:rPr>
      </w:pPr>
      <w:r w:rsidRPr="002412B6">
        <w:rPr>
          <w:rFonts w:ascii="Arial" w:hAnsi="Arial" w:cs="Arial"/>
          <w:sz w:val="22"/>
          <w:szCs w:val="22"/>
        </w:rPr>
        <w:t>Cada Poder integrará un Comité de Evaluación conformado por tres personas reconocidas en la actividad jurídica, que recibirá los expedientes de las personas aspirantes, evaluará el cumplimiento de los requisitos constitucionales y legales e identificará a las personas mejor evaluadas que cuenten con los conocimientos técnicos necesarios para el desempeño del cargo y se hayan distinguido por su honestidad, buena fama pública, competencia y antecedentes académicos y profesionales en el ejercicio de la actividad jurídica, y</w:t>
      </w:r>
    </w:p>
    <w:p w14:paraId="3D691E92" w14:textId="77777777" w:rsidR="00AA0495" w:rsidRPr="002412B6" w:rsidRDefault="00AA0495" w:rsidP="00AA0495">
      <w:pPr>
        <w:pStyle w:val="Prrafodelista"/>
        <w:numPr>
          <w:ilvl w:val="1"/>
          <w:numId w:val="1"/>
        </w:numPr>
        <w:contextualSpacing w:val="0"/>
        <w:rPr>
          <w:rFonts w:ascii="Arial" w:hAnsi="Arial" w:cs="Arial"/>
          <w:sz w:val="22"/>
          <w:szCs w:val="22"/>
        </w:rPr>
      </w:pPr>
      <w:r w:rsidRPr="002412B6">
        <w:rPr>
          <w:rFonts w:ascii="Arial" w:hAnsi="Arial" w:cs="Arial"/>
          <w:sz w:val="22"/>
          <w:szCs w:val="22"/>
        </w:rPr>
        <w:t>Los Comités de Evaluación integrarán un listado de las cinco personas mejor evaluadas para cada cargo. Posteriormente, depurarán dicho listado en los términos que establezca la legislación secundaria, para ajustarlo al número de postulaciones para cada cargo, observando la paridad de género. Ajustados los listados, los Comités los remitirán a la autoridad que represente a cada Poder del Estado para su aprobación y envío al Congreso.</w:t>
      </w:r>
    </w:p>
    <w:p w14:paraId="04C68EF9" w14:textId="77777777" w:rsidR="00AA0495" w:rsidRPr="002412B6" w:rsidRDefault="00AA0495" w:rsidP="00AA0495">
      <w:pPr>
        <w:pStyle w:val="Prrafodelista"/>
        <w:numPr>
          <w:ilvl w:val="0"/>
          <w:numId w:val="1"/>
        </w:numPr>
        <w:ind w:left="720"/>
        <w:contextualSpacing w:val="0"/>
        <w:rPr>
          <w:rFonts w:ascii="Arial" w:hAnsi="Arial" w:cs="Arial"/>
          <w:sz w:val="22"/>
          <w:szCs w:val="22"/>
        </w:rPr>
      </w:pPr>
      <w:r w:rsidRPr="002412B6">
        <w:rPr>
          <w:rFonts w:ascii="Arial" w:hAnsi="Arial" w:cs="Arial"/>
          <w:sz w:val="22"/>
          <w:szCs w:val="22"/>
        </w:rPr>
        <w:t>El Congreso recibirá las postulaciones y remitirá los listados al Instituto a más tardar el 12 de febrero del año de la elección que corresponda, a efecto de que organice el proceso electivo.</w:t>
      </w:r>
    </w:p>
    <w:p w14:paraId="5067A851" w14:textId="77777777" w:rsidR="00AA0495" w:rsidRPr="002412B6" w:rsidRDefault="00AA0495" w:rsidP="00AA0495">
      <w:pPr>
        <w:pStyle w:val="Prrafodelista"/>
        <w:contextualSpacing w:val="0"/>
        <w:rPr>
          <w:rFonts w:ascii="Arial" w:hAnsi="Arial" w:cs="Arial"/>
          <w:sz w:val="22"/>
          <w:szCs w:val="22"/>
        </w:rPr>
      </w:pPr>
      <w:r w:rsidRPr="002412B6">
        <w:rPr>
          <w:rFonts w:ascii="Arial" w:hAnsi="Arial" w:cs="Arial"/>
          <w:sz w:val="22"/>
          <w:szCs w:val="22"/>
        </w:rPr>
        <w:t>Las personas candidatas podrán ser postuladas simultáneamente por uno o varios Poderes del Estado, siempre que aspiren al mismo cargo. Los Poderes que no remitan sus postulaciones al término del plazo previsto en la convocatoria no podrán hacerlo posteriormente; y</w:t>
      </w:r>
    </w:p>
    <w:p w14:paraId="33B11EAB" w14:textId="77777777" w:rsidR="00AA0495" w:rsidRPr="002412B6" w:rsidRDefault="00AA0495" w:rsidP="00AA0495">
      <w:pPr>
        <w:pStyle w:val="Prrafodelista"/>
        <w:numPr>
          <w:ilvl w:val="0"/>
          <w:numId w:val="1"/>
        </w:numPr>
        <w:ind w:left="720"/>
        <w:contextualSpacing w:val="0"/>
        <w:rPr>
          <w:rFonts w:ascii="Arial" w:hAnsi="Arial" w:cs="Arial"/>
          <w:sz w:val="22"/>
          <w:szCs w:val="22"/>
        </w:rPr>
      </w:pPr>
      <w:r w:rsidRPr="002412B6">
        <w:rPr>
          <w:rFonts w:ascii="Arial" w:hAnsi="Arial" w:cs="Arial"/>
          <w:sz w:val="22"/>
          <w:szCs w:val="22"/>
        </w:rPr>
        <w:t>El Instituto efectuará los cómputos de la elección, publicará los resultados y entregará las constancias de mayoría a las candidaturas que obtengan el mayor número de votos, asignando los cargos alternadamente entre mujeres y hombres. También declarará la validez de la elección y enviará sus resultados al Tribunal Electoral de Tabasco, el cual resolverá las impugnaciones antes de que el Congreso instale el primer periodo ordinario de sesiones del año de la elección que corresponda, fecha en que las personas electas rendirán protesta de su encargo ante dicho órgano legislativo.</w:t>
      </w:r>
    </w:p>
    <w:p w14:paraId="2CF24789" w14:textId="77777777" w:rsidR="00AA0495" w:rsidRPr="002412B6" w:rsidRDefault="00AA0495" w:rsidP="00AA0495">
      <w:pPr>
        <w:pStyle w:val="Prrafodelista"/>
        <w:contextualSpacing w:val="0"/>
        <w:rPr>
          <w:rFonts w:ascii="Arial" w:hAnsi="Arial" w:cs="Arial"/>
          <w:sz w:val="22"/>
          <w:szCs w:val="22"/>
        </w:rPr>
      </w:pPr>
      <w:r w:rsidRPr="002412B6">
        <w:rPr>
          <w:rFonts w:ascii="Arial" w:hAnsi="Arial" w:cs="Arial"/>
          <w:sz w:val="22"/>
          <w:szCs w:val="22"/>
        </w:rPr>
        <w:t>La elección de Magistradas y Magistrados del Tribunal de Disciplina Judicial y del Tribunal Superior de Justicia, así como las Juezas y Jueces en materia penal, se realizará a nivel estatal conforme al procedimiento anterior y en los términos que dispongan las leyes generales y locales aplicables. El titular del Poder Ejecutivo postulará hasta dos personas aspirantes; el Poder Legislativo postulará hasta dos personas, mediante votación calificada de dos tercios de sus integrantes presentes, y el Poder Judicial del Estado por conducto del Pleno, postulará hasta dos personas por mayoría calificada de votos.</w:t>
      </w:r>
    </w:p>
    <w:p w14:paraId="65AF1C33" w14:textId="77777777" w:rsidR="00AA0495" w:rsidRPr="002412B6" w:rsidRDefault="00AA0495" w:rsidP="00AA0495">
      <w:pPr>
        <w:pStyle w:val="Prrafodelista"/>
        <w:contextualSpacing w:val="0"/>
        <w:rPr>
          <w:rFonts w:ascii="Arial" w:hAnsi="Arial" w:cs="Arial"/>
          <w:sz w:val="22"/>
          <w:szCs w:val="22"/>
        </w:rPr>
      </w:pPr>
      <w:r w:rsidRPr="002412B6">
        <w:rPr>
          <w:rFonts w:ascii="Arial" w:hAnsi="Arial" w:cs="Arial"/>
          <w:sz w:val="22"/>
          <w:szCs w:val="22"/>
        </w:rPr>
        <w:t>Para el caso de Juezas y Jueces civiles, familiares, mercantiles y laborales, la elección se realizará por distrito o región judicial conforme al procedimiento establecido en este artículo y en los términos que dispongan las leyes generales y locales aplicables. Cada uno de los Poderes del Estado postulará hasta dos personas para cada cargo: el Poder Ejecutivo lo hará por conducto de su titular; el Poder Legislativo mediante votación calificada de dos terceras partes de sus integrantes presentes, y el Poder Judicial del Estado, por conducto del Pleno del Tribunal Superior de Justicia por mayoría calificada de votos.</w:t>
      </w:r>
    </w:p>
    <w:p w14:paraId="09D9AAAB" w14:textId="77777777" w:rsidR="00AA0495" w:rsidRPr="002412B6" w:rsidRDefault="00AA0495" w:rsidP="00AA0495">
      <w:pPr>
        <w:pStyle w:val="Prrafodelista"/>
        <w:contextualSpacing w:val="0"/>
        <w:rPr>
          <w:rFonts w:ascii="Arial" w:hAnsi="Arial" w:cs="Arial"/>
          <w:sz w:val="22"/>
          <w:szCs w:val="22"/>
        </w:rPr>
      </w:pPr>
      <w:r w:rsidRPr="002412B6">
        <w:rPr>
          <w:rFonts w:ascii="Arial" w:hAnsi="Arial" w:cs="Arial"/>
          <w:sz w:val="22"/>
          <w:szCs w:val="22"/>
        </w:rPr>
        <w:t>El Congreso incorporará a los listados que remita al Instituto a las personas que se encuentren en funciones en los cargos señalados en los dos párrafos anteriores al cierre de la convocatoria respectiva, excepto cuando manifiesten la declinación de su candidatura dentro de los treinta días posteriores a su publicación o sean postuladas para un cargo judicial diverso. La asignación de los cargos electos se realizará por materia de especialización entre las candidaturas que obtengan el mayor número de votos.</w:t>
      </w:r>
    </w:p>
    <w:p w14:paraId="18F67D2C" w14:textId="4B9768ED" w:rsidR="00AA0495" w:rsidRPr="002412B6" w:rsidRDefault="003157CC" w:rsidP="003157CC">
      <w:pPr>
        <w:pStyle w:val="Ttulo2"/>
        <w:rPr>
          <w:rFonts w:ascii="Arial" w:hAnsi="Arial" w:cs="Arial"/>
          <w:color w:val="auto"/>
          <w:sz w:val="22"/>
          <w:szCs w:val="22"/>
        </w:rPr>
      </w:pPr>
      <w:r w:rsidRPr="002412B6">
        <w:rPr>
          <w:rFonts w:ascii="Arial" w:hAnsi="Arial" w:cs="Arial"/>
          <w:color w:val="auto"/>
          <w:sz w:val="22"/>
          <w:szCs w:val="22"/>
        </w:rPr>
        <w:t>Propaganda Electoral</w:t>
      </w:r>
    </w:p>
    <w:p w14:paraId="6691D351" w14:textId="11B6B3B3" w:rsidR="003157CC" w:rsidRPr="002412B6" w:rsidRDefault="003157CC" w:rsidP="00AA0495">
      <w:pPr>
        <w:rPr>
          <w:rFonts w:ascii="Arial" w:hAnsi="Arial" w:cs="Arial"/>
          <w:sz w:val="22"/>
          <w:szCs w:val="22"/>
        </w:rPr>
      </w:pPr>
      <w:r w:rsidRPr="002412B6">
        <w:rPr>
          <w:rFonts w:ascii="Arial" w:hAnsi="Arial" w:cs="Arial"/>
          <w:sz w:val="22"/>
          <w:szCs w:val="22"/>
        </w:rPr>
        <w:t>Que, el artículo 394 numeral 1 de la Ley Electoral dispone que durante el tiempo que comprendan las campañas electorales, las personas candidatas a cargos de elección del Poder Judicial podrán difundir su trayectoria profesional, méritos y visiones acerca de la función jurisdiccional y la impartición de justicia, así como propuestas de mejora o cualquier otra manifestación amparada bajo el derecho al ejercicio de la libertad de expresión, siempre que no excedan o contravengan los parámetros constitucionales y legales aplicables.</w:t>
      </w:r>
    </w:p>
    <w:p w14:paraId="733FE79A" w14:textId="6DB081BB" w:rsidR="003157CC" w:rsidRPr="002412B6" w:rsidRDefault="003157CC" w:rsidP="00AA0495">
      <w:pPr>
        <w:rPr>
          <w:rFonts w:ascii="Arial" w:hAnsi="Arial" w:cs="Arial"/>
          <w:sz w:val="22"/>
          <w:szCs w:val="22"/>
        </w:rPr>
      </w:pPr>
      <w:r w:rsidRPr="002412B6">
        <w:rPr>
          <w:rFonts w:ascii="Arial" w:hAnsi="Arial" w:cs="Arial"/>
          <w:sz w:val="22"/>
          <w:szCs w:val="22"/>
        </w:rPr>
        <w:t>Para tal efecto, el numeral 2 del artículo en cita señala que, se entiende por propaganda al conjunto de escritos, publicaciones, imágenes, grabaciones, proyecciones y expresiones que difundan las personas candidatas durante el periodo de campaña.</w:t>
      </w:r>
    </w:p>
    <w:p w14:paraId="39720BC6" w14:textId="28E6E0CA" w:rsidR="00D661C8" w:rsidRPr="002412B6" w:rsidRDefault="00D661C8" w:rsidP="00D661C8">
      <w:pPr>
        <w:pStyle w:val="Ttulo2"/>
        <w:rPr>
          <w:rFonts w:ascii="Arial" w:hAnsi="Arial" w:cs="Arial"/>
          <w:color w:val="auto"/>
          <w:sz w:val="22"/>
          <w:szCs w:val="22"/>
        </w:rPr>
      </w:pPr>
      <w:r w:rsidRPr="002412B6">
        <w:rPr>
          <w:rFonts w:ascii="Arial" w:hAnsi="Arial" w:cs="Arial"/>
          <w:color w:val="auto"/>
          <w:sz w:val="22"/>
          <w:szCs w:val="22"/>
        </w:rPr>
        <w:t>Reglas para la protección de niñas, niños y adolescentes en la difusión de propaganda y mensajes electorales</w:t>
      </w:r>
    </w:p>
    <w:p w14:paraId="0FE8ABED" w14:textId="431719C4" w:rsidR="00D661C8" w:rsidRPr="002412B6" w:rsidRDefault="00D661C8" w:rsidP="00AA0495">
      <w:pPr>
        <w:rPr>
          <w:rFonts w:ascii="Arial" w:hAnsi="Arial" w:cs="Arial"/>
          <w:sz w:val="22"/>
          <w:szCs w:val="22"/>
        </w:rPr>
      </w:pPr>
      <w:r w:rsidRPr="002412B6">
        <w:rPr>
          <w:rFonts w:ascii="Arial" w:hAnsi="Arial" w:cs="Arial"/>
          <w:sz w:val="22"/>
          <w:szCs w:val="22"/>
        </w:rPr>
        <w:t>Que, a partir de las consideraciones anteriores, la Comisión propone la implementación de reglas para proteger a niñas, niños y adolescentes con motivo de la difusión de propaganda y mensajes electorales que realicen las personas que se postulen a los cargos de elección en el Poder Judicial del Estado durante el Proceso Electoral Local Extraordinario.</w:t>
      </w:r>
    </w:p>
    <w:p w14:paraId="69545E67" w14:textId="14709953" w:rsidR="003D2159" w:rsidRPr="002412B6" w:rsidRDefault="003D2159" w:rsidP="00AA0495">
      <w:pPr>
        <w:rPr>
          <w:rFonts w:ascii="Arial" w:hAnsi="Arial" w:cs="Arial"/>
          <w:sz w:val="22"/>
          <w:szCs w:val="22"/>
        </w:rPr>
      </w:pPr>
      <w:r w:rsidRPr="002412B6">
        <w:rPr>
          <w:rFonts w:ascii="Arial" w:hAnsi="Arial" w:cs="Arial"/>
          <w:sz w:val="22"/>
          <w:szCs w:val="22"/>
        </w:rPr>
        <w:t>En ese sentido, el uso de tecnologías en la propaganda electoral constituye un aspecto que debe regularse; incluso, la Sala Regional Especializada del Tribunal Electoral del Poder Judicial del Estado, partiendo del Reglamento de Inteligencia Artificial del Parlamento Europeo, sostiene que, dependiendo de las circunstancias relativas a su aplicación, utilización y nivel de desarrollo tecnológico concretos, la inteligencia artificial puede generar riesgos y menoscabar los intereses públicos y los derechos fundamentales que protege. Dicho menoscabo puede ser tangible o intangible y abarca los perjuicios físicos, psíquicos, sociales o económicos.</w:t>
      </w:r>
    </w:p>
    <w:p w14:paraId="0E67FD5F" w14:textId="77777777" w:rsidR="000158B0" w:rsidRPr="002412B6" w:rsidRDefault="003D2159" w:rsidP="000158B0">
      <w:pPr>
        <w:rPr>
          <w:rFonts w:ascii="Arial" w:hAnsi="Arial" w:cs="Arial"/>
          <w:sz w:val="22"/>
          <w:szCs w:val="22"/>
        </w:rPr>
      </w:pPr>
      <w:r w:rsidRPr="002412B6">
        <w:rPr>
          <w:rFonts w:ascii="Arial" w:hAnsi="Arial" w:cs="Arial"/>
          <w:sz w:val="22"/>
          <w:szCs w:val="22"/>
        </w:rPr>
        <w:t>Entre esos riesgos, se encuentra el uso de imágenes de niñas, niños y adolescentes cread</w:t>
      </w:r>
      <w:r w:rsidR="000158B0" w:rsidRPr="002412B6">
        <w:rPr>
          <w:rFonts w:ascii="Arial" w:hAnsi="Arial" w:cs="Arial"/>
          <w:sz w:val="22"/>
          <w:szCs w:val="22"/>
        </w:rPr>
        <w:t>a</w:t>
      </w:r>
      <w:r w:rsidRPr="002412B6">
        <w:rPr>
          <w:rFonts w:ascii="Arial" w:hAnsi="Arial" w:cs="Arial"/>
          <w:sz w:val="22"/>
          <w:szCs w:val="22"/>
        </w:rPr>
        <w:t xml:space="preserve">s a través del uso de inteligencia artificial, </w:t>
      </w:r>
      <w:r w:rsidR="000158B0" w:rsidRPr="002412B6">
        <w:rPr>
          <w:rFonts w:ascii="Arial" w:hAnsi="Arial" w:cs="Arial"/>
          <w:sz w:val="22"/>
          <w:szCs w:val="22"/>
        </w:rPr>
        <w:t xml:space="preserve">circunstancia que hace aún </w:t>
      </w:r>
      <w:r w:rsidRPr="002412B6">
        <w:rPr>
          <w:rFonts w:ascii="Arial" w:hAnsi="Arial" w:cs="Arial"/>
          <w:sz w:val="22"/>
          <w:szCs w:val="22"/>
        </w:rPr>
        <w:t>más complej</w:t>
      </w:r>
      <w:r w:rsidR="000158B0" w:rsidRPr="002412B6">
        <w:rPr>
          <w:rFonts w:ascii="Arial" w:hAnsi="Arial" w:cs="Arial"/>
          <w:sz w:val="22"/>
          <w:szCs w:val="22"/>
        </w:rPr>
        <w:t xml:space="preserve">o el propósito de garantizar su integridad y protección durante los procesos electorales, ya que, esto implica la creación y difusión de </w:t>
      </w:r>
      <w:r w:rsidRPr="002412B6">
        <w:rPr>
          <w:rFonts w:ascii="Arial" w:hAnsi="Arial" w:cs="Arial"/>
          <w:sz w:val="22"/>
          <w:szCs w:val="22"/>
        </w:rPr>
        <w:t xml:space="preserve">propaganda electoral con información o contenido </w:t>
      </w:r>
      <w:r w:rsidR="000158B0" w:rsidRPr="002412B6">
        <w:rPr>
          <w:rFonts w:ascii="Arial" w:hAnsi="Arial" w:cs="Arial"/>
          <w:sz w:val="22"/>
          <w:szCs w:val="22"/>
        </w:rPr>
        <w:t>artificial.</w:t>
      </w:r>
    </w:p>
    <w:p w14:paraId="4F370D4D" w14:textId="19E899F8" w:rsidR="000158B0" w:rsidRPr="002412B6" w:rsidRDefault="000158B0" w:rsidP="000158B0">
      <w:pPr>
        <w:rPr>
          <w:rFonts w:ascii="Arial" w:hAnsi="Arial" w:cs="Arial"/>
          <w:sz w:val="22"/>
          <w:szCs w:val="22"/>
        </w:rPr>
      </w:pPr>
      <w:r w:rsidRPr="002412B6">
        <w:rPr>
          <w:rFonts w:ascii="Arial" w:hAnsi="Arial" w:cs="Arial"/>
          <w:sz w:val="22"/>
          <w:szCs w:val="22"/>
        </w:rPr>
        <w:t>A partir de lo anterior, la Comisión propone la implementación de reglas de carácter general, cuyo propósito es establecer las directrices para la protección de los derechos de niñas, niños y adolescentes que aparezcan en la propaganda-electoral, mensajes y en los actos de campaña de las personas juzgadoras y a las personas que se encuentren vinculadas directamente a ellas, atendiendo a su calidad o naturaleza jurídica, por cualquier medio de comunicación y difusión, incluidas redes sociales o cualquier plataforma digital, sea esta transmitida en vivo o videograbada que sean difundidas en espacios físicos, impresos o digitales durante el Proceso Electoral Extraordinario.</w:t>
      </w:r>
    </w:p>
    <w:p w14:paraId="1BE50E3B" w14:textId="430206A8" w:rsidR="000158B0" w:rsidRPr="002412B6" w:rsidRDefault="000158B0" w:rsidP="000158B0">
      <w:pPr>
        <w:rPr>
          <w:rFonts w:ascii="Arial" w:hAnsi="Arial" w:cs="Arial"/>
          <w:sz w:val="22"/>
          <w:szCs w:val="22"/>
        </w:rPr>
      </w:pPr>
      <w:r w:rsidRPr="002412B6">
        <w:rPr>
          <w:rFonts w:ascii="Arial" w:hAnsi="Arial" w:cs="Arial"/>
          <w:sz w:val="22"/>
          <w:szCs w:val="22"/>
        </w:rPr>
        <w:t>La propuesta establece el procedimiento y los requisitos que deben seguir las personas candidatas a juzgadoras que difundan imágenes de niñas, niños o adolescentes, sean imágenes auténticas o creadas mediante el uso de inteligencia artificial</w:t>
      </w:r>
      <w:r w:rsidR="000615E2" w:rsidRPr="002412B6">
        <w:rPr>
          <w:rFonts w:ascii="Arial" w:hAnsi="Arial" w:cs="Arial"/>
          <w:sz w:val="22"/>
          <w:szCs w:val="22"/>
        </w:rPr>
        <w:t xml:space="preserve">. </w:t>
      </w:r>
    </w:p>
    <w:p w14:paraId="32EF94C9" w14:textId="453C89FD" w:rsidR="000615E2" w:rsidRPr="002412B6" w:rsidRDefault="000615E2" w:rsidP="000158B0">
      <w:pPr>
        <w:rPr>
          <w:rFonts w:ascii="Arial" w:hAnsi="Arial" w:cs="Arial"/>
          <w:sz w:val="22"/>
          <w:szCs w:val="22"/>
        </w:rPr>
      </w:pPr>
      <w:r w:rsidRPr="002412B6">
        <w:rPr>
          <w:rFonts w:ascii="Arial" w:hAnsi="Arial" w:cs="Arial"/>
          <w:sz w:val="22"/>
          <w:szCs w:val="22"/>
        </w:rPr>
        <w:t xml:space="preserve">En ese contexto, este órgano electoral considera que la propuesta se apega al principio de certeza que rigen las actuaciones electorales, ya que, define las reglas relacionadas con la propaganda electoral que durante el Proceso Electoral Extraordinario </w:t>
      </w:r>
      <w:r w:rsidR="001C6281" w:rsidRPr="002412B6">
        <w:rPr>
          <w:rFonts w:ascii="Arial" w:hAnsi="Arial" w:cs="Arial"/>
          <w:sz w:val="22"/>
          <w:szCs w:val="22"/>
        </w:rPr>
        <w:t xml:space="preserve">difundirán </w:t>
      </w:r>
      <w:r w:rsidRPr="002412B6">
        <w:rPr>
          <w:rFonts w:ascii="Arial" w:hAnsi="Arial" w:cs="Arial"/>
          <w:sz w:val="22"/>
          <w:szCs w:val="22"/>
        </w:rPr>
        <w:t>las personas candidatas a juzgadoras</w:t>
      </w:r>
      <w:r w:rsidR="001C6281" w:rsidRPr="002412B6">
        <w:rPr>
          <w:rFonts w:ascii="Arial" w:hAnsi="Arial" w:cs="Arial"/>
          <w:sz w:val="22"/>
          <w:szCs w:val="22"/>
        </w:rPr>
        <w:t>.</w:t>
      </w:r>
    </w:p>
    <w:p w14:paraId="489E08EB" w14:textId="4000C351" w:rsidR="001C6281" w:rsidRPr="002412B6" w:rsidRDefault="001C6281" w:rsidP="000158B0">
      <w:pPr>
        <w:rPr>
          <w:rFonts w:ascii="Arial" w:hAnsi="Arial" w:cs="Arial"/>
          <w:sz w:val="22"/>
          <w:szCs w:val="22"/>
        </w:rPr>
      </w:pPr>
      <w:r w:rsidRPr="002412B6">
        <w:rPr>
          <w:rFonts w:ascii="Arial" w:hAnsi="Arial" w:cs="Arial"/>
          <w:sz w:val="22"/>
          <w:szCs w:val="22"/>
        </w:rPr>
        <w:t>Sobre la base de las consideraciones señaladas, este Consejo Estatal emite el siguiente:</w:t>
      </w:r>
    </w:p>
    <w:p w14:paraId="73C24378" w14:textId="0CB4851D" w:rsidR="001C6281" w:rsidRPr="002412B6" w:rsidRDefault="001C6281" w:rsidP="001C6281">
      <w:pPr>
        <w:pStyle w:val="Ttulo1"/>
        <w:rPr>
          <w:rFonts w:ascii="Arial" w:hAnsi="Arial" w:cs="Arial"/>
          <w:color w:val="auto"/>
          <w:sz w:val="24"/>
          <w:szCs w:val="24"/>
        </w:rPr>
      </w:pPr>
      <w:r w:rsidRPr="002412B6">
        <w:rPr>
          <w:rFonts w:ascii="Arial" w:hAnsi="Arial" w:cs="Arial"/>
          <w:color w:val="auto"/>
          <w:sz w:val="24"/>
          <w:szCs w:val="24"/>
        </w:rPr>
        <w:t>Acuerdo</w:t>
      </w:r>
    </w:p>
    <w:p w14:paraId="087C59C4" w14:textId="2DBCD3AC" w:rsidR="001C6281" w:rsidRPr="002412B6" w:rsidRDefault="001C6281" w:rsidP="001C6281">
      <w:pPr>
        <w:rPr>
          <w:rFonts w:ascii="Arial" w:hAnsi="Arial" w:cs="Arial"/>
          <w:sz w:val="22"/>
          <w:szCs w:val="22"/>
        </w:rPr>
      </w:pPr>
      <w:r w:rsidRPr="002412B6">
        <w:rPr>
          <w:rFonts w:ascii="Arial" w:hAnsi="Arial" w:cs="Arial"/>
          <w:b/>
          <w:bCs/>
          <w:sz w:val="22"/>
          <w:szCs w:val="22"/>
        </w:rPr>
        <w:t>Primero.</w:t>
      </w:r>
      <w:r w:rsidRPr="002412B6">
        <w:rPr>
          <w:rFonts w:ascii="Arial" w:hAnsi="Arial" w:cs="Arial"/>
          <w:sz w:val="22"/>
          <w:szCs w:val="22"/>
        </w:rPr>
        <w:t xml:space="preserve"> Se aprueban las reglas para la protección de niñas, niños y adolescentes en la difusión de propaganda y mensajes electorales para el Proceso Electoral Local Extraordinario para personas juzgadoras del Poder Judicial del Estado 2024-2025 propuestas por la Comisión de Denuncias y Quejas, anexas al presente acuerdo.</w:t>
      </w:r>
    </w:p>
    <w:p w14:paraId="10219E9F" w14:textId="6AA49C34" w:rsidR="001C6281" w:rsidRPr="002412B6" w:rsidRDefault="001C6281" w:rsidP="001C6281">
      <w:pPr>
        <w:widowControl w:val="0"/>
        <w:rPr>
          <w:rFonts w:ascii="Arial" w:hAnsi="Arial" w:cs="Arial"/>
          <w:sz w:val="22"/>
          <w:szCs w:val="22"/>
        </w:rPr>
      </w:pPr>
      <w:r w:rsidRPr="002412B6">
        <w:rPr>
          <w:rFonts w:ascii="Arial" w:hAnsi="Arial" w:cs="Arial"/>
          <w:b/>
          <w:bCs/>
          <w:sz w:val="22"/>
          <w:szCs w:val="22"/>
        </w:rPr>
        <w:t xml:space="preserve">Segundo. </w:t>
      </w:r>
      <w:r w:rsidRPr="002412B6">
        <w:rPr>
          <w:rFonts w:ascii="Arial" w:hAnsi="Arial" w:cs="Arial"/>
          <w:sz w:val="22"/>
          <w:szCs w:val="22"/>
        </w:rPr>
        <w:t>Se instruye al Secretario Ejecutivo haga del conocimiento de las juntas electorales distritales el contenido del presente acuerdo.</w:t>
      </w:r>
      <w:r w:rsidR="00764B7F" w:rsidRPr="002412B6">
        <w:rPr>
          <w:rFonts w:ascii="Arial" w:hAnsi="Arial" w:cs="Arial"/>
          <w:sz w:val="22"/>
          <w:szCs w:val="22"/>
        </w:rPr>
        <w:t xml:space="preserve"> Asimismo, en términos del artículo 387 numeral 9 de la Ley Electoral, lo notifique a las personas candidatas.</w:t>
      </w:r>
    </w:p>
    <w:p w14:paraId="74CF025D" w14:textId="77777777" w:rsidR="001C6281" w:rsidRPr="002412B6" w:rsidRDefault="001C6281" w:rsidP="001C6281">
      <w:pPr>
        <w:widowControl w:val="0"/>
        <w:rPr>
          <w:rFonts w:ascii="Arial" w:hAnsi="Arial" w:cs="Arial"/>
          <w:sz w:val="22"/>
          <w:szCs w:val="22"/>
        </w:rPr>
      </w:pPr>
      <w:r w:rsidRPr="002412B6">
        <w:rPr>
          <w:rFonts w:ascii="Arial" w:hAnsi="Arial" w:cs="Arial"/>
          <w:b/>
          <w:bCs/>
          <w:sz w:val="22"/>
          <w:szCs w:val="22"/>
        </w:rPr>
        <w:t>Tercero.</w:t>
      </w:r>
      <w:r w:rsidRPr="002412B6">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49AAA5D" w14:textId="77777777" w:rsidR="001C6281" w:rsidRPr="002412B6" w:rsidRDefault="001C6281" w:rsidP="001C6281">
      <w:pPr>
        <w:widowControl w:val="0"/>
        <w:rPr>
          <w:rFonts w:ascii="Arial" w:hAnsi="Arial" w:cs="Arial"/>
          <w:sz w:val="22"/>
          <w:szCs w:val="22"/>
        </w:rPr>
      </w:pPr>
      <w:r w:rsidRPr="002412B6">
        <w:rPr>
          <w:rFonts w:ascii="Arial" w:hAnsi="Arial" w:cs="Arial"/>
          <w:b/>
          <w:bCs/>
          <w:sz w:val="22"/>
          <w:szCs w:val="22"/>
        </w:rPr>
        <w:t>Cuarto.</w:t>
      </w:r>
      <w:r w:rsidRPr="002412B6">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C867FEF" w14:textId="6C1B75B8" w:rsidR="001C6281" w:rsidRPr="002412B6" w:rsidRDefault="001C6281" w:rsidP="001C6281">
      <w:pPr>
        <w:widowControl w:val="0"/>
        <w:rPr>
          <w:rFonts w:ascii="Arial" w:hAnsi="Arial" w:cs="Arial"/>
          <w:sz w:val="22"/>
          <w:szCs w:val="22"/>
        </w:rPr>
      </w:pPr>
      <w:r w:rsidRPr="002412B6">
        <w:rPr>
          <w:rFonts w:ascii="Arial" w:hAnsi="Arial" w:cs="Arial"/>
          <w:sz w:val="22"/>
          <w:szCs w:val="22"/>
        </w:rPr>
        <w:t>El presente acuerdo se</w:t>
      </w:r>
      <w:r w:rsidR="002412B6">
        <w:rPr>
          <w:rFonts w:ascii="Arial" w:hAnsi="Arial" w:cs="Arial"/>
          <w:sz w:val="22"/>
          <w:szCs w:val="22"/>
        </w:rPr>
        <w:t xml:space="preserve"> aprobó</w:t>
      </w:r>
      <w:r w:rsidRPr="002412B6">
        <w:rPr>
          <w:rFonts w:ascii="Arial" w:hAnsi="Arial" w:cs="Arial"/>
          <w:sz w:val="22"/>
          <w:szCs w:val="22"/>
        </w:rPr>
        <w:t xml:space="preserve"> en sesión </w:t>
      </w:r>
      <w:r w:rsidR="002412B6">
        <w:rPr>
          <w:rFonts w:ascii="Arial" w:hAnsi="Arial" w:cs="Arial"/>
          <w:sz w:val="22"/>
          <w:szCs w:val="22"/>
        </w:rPr>
        <w:t>extraordinaria</w:t>
      </w:r>
      <w:r w:rsidRPr="002412B6">
        <w:rPr>
          <w:rFonts w:ascii="Arial" w:hAnsi="Arial" w:cs="Arial"/>
          <w:sz w:val="22"/>
          <w:szCs w:val="22"/>
        </w:rPr>
        <w:t xml:space="preserve"> efectuada el</w:t>
      </w:r>
      <w:r w:rsidR="002412B6">
        <w:rPr>
          <w:rFonts w:ascii="Arial" w:hAnsi="Arial" w:cs="Arial"/>
          <w:sz w:val="22"/>
          <w:szCs w:val="22"/>
        </w:rPr>
        <w:t xml:space="preserve"> día veinticinco</w:t>
      </w:r>
      <w:r w:rsidRPr="002412B6">
        <w:rPr>
          <w:rFonts w:ascii="Arial" w:hAnsi="Arial" w:cs="Arial"/>
          <w:sz w:val="22"/>
          <w:szCs w:val="22"/>
        </w:rPr>
        <w:t xml:space="preserve"> de </w:t>
      </w:r>
      <w:r w:rsidR="002412B6">
        <w:rPr>
          <w:rFonts w:ascii="Arial" w:hAnsi="Arial" w:cs="Arial"/>
          <w:sz w:val="22"/>
          <w:szCs w:val="22"/>
        </w:rPr>
        <w:t>marzo</w:t>
      </w:r>
      <w:r w:rsidRPr="002412B6">
        <w:rPr>
          <w:rFonts w:ascii="Arial" w:hAnsi="Arial" w:cs="Arial"/>
          <w:sz w:val="22"/>
          <w:szCs w:val="22"/>
        </w:rPr>
        <w:t xml:space="preserve"> del año dos mil veinticinco, por votación</w:t>
      </w:r>
      <w:r w:rsidR="005245D3">
        <w:rPr>
          <w:rFonts w:ascii="Arial" w:hAnsi="Arial" w:cs="Arial"/>
          <w:sz w:val="22"/>
          <w:szCs w:val="22"/>
        </w:rPr>
        <w:t xml:space="preserve"> unánime</w:t>
      </w:r>
      <w:r w:rsidRPr="002412B6">
        <w:rPr>
          <w:rFonts w:ascii="Arial" w:hAnsi="Arial" w:cs="Arial"/>
          <w:sz w:val="22"/>
          <w:szCs w:val="22"/>
        </w:rPr>
        <w:t xml:space="preserve"> de las y los Consejeros Electorales del Consejo Estatal del Instituto Electoral y de Participación Ciudadana de Tabasco: </w:t>
      </w:r>
      <w:bookmarkStart w:id="2" w:name="_GoBack"/>
      <w:bookmarkEnd w:id="2"/>
      <w:r w:rsidRPr="002412B6">
        <w:rPr>
          <w:rFonts w:ascii="Arial" w:hAnsi="Arial" w:cs="Arial"/>
          <w:sz w:val="22"/>
          <w:szCs w:val="22"/>
        </w:rPr>
        <w:t xml:space="preserve">Lic. Hernán González Sala, Lic. Vladimir Hernández Venegas, Licda. Ángela Guadalupe Araujo Segura, Licda. Monserrat Martínez </w:t>
      </w:r>
      <w:proofErr w:type="spellStart"/>
      <w:r w:rsidRPr="002412B6">
        <w:rPr>
          <w:rFonts w:ascii="Arial" w:hAnsi="Arial" w:cs="Arial"/>
          <w:sz w:val="22"/>
          <w:szCs w:val="22"/>
        </w:rPr>
        <w:t>Beaurregard</w:t>
      </w:r>
      <w:proofErr w:type="spellEnd"/>
      <w:r w:rsidRPr="002412B6">
        <w:rPr>
          <w:rFonts w:ascii="Arial" w:hAnsi="Arial" w:cs="Arial"/>
          <w:sz w:val="22"/>
          <w:szCs w:val="22"/>
        </w:rPr>
        <w:t>, Mtra. Ruth Lizette Toledo Peral y la Consejera Presidenta, Mtra. Elizabeth Nava Gutiérrez.</w:t>
      </w:r>
    </w:p>
    <w:p w14:paraId="4EE6DEF9" w14:textId="60342A2A" w:rsidR="001C6281" w:rsidRDefault="001C6281" w:rsidP="001C6281">
      <w:pPr>
        <w:widowControl w:val="0"/>
        <w:rPr>
          <w:rFonts w:ascii="Arial" w:hAnsi="Arial" w:cs="Arial"/>
          <w:sz w:val="22"/>
          <w:szCs w:val="22"/>
        </w:rPr>
      </w:pPr>
    </w:p>
    <w:p w14:paraId="4C426A3E" w14:textId="77777777" w:rsidR="005245D3" w:rsidRPr="002412B6" w:rsidRDefault="005245D3" w:rsidP="001C6281">
      <w:pPr>
        <w:widowControl w:val="0"/>
        <w:rPr>
          <w:rFonts w:ascii="Arial" w:hAnsi="Arial" w:cs="Arial"/>
          <w:sz w:val="22"/>
          <w:szCs w:val="22"/>
        </w:rPr>
      </w:pPr>
    </w:p>
    <w:p w14:paraId="0A04C6B5" w14:textId="77777777" w:rsidR="001C6281" w:rsidRPr="002412B6" w:rsidRDefault="001C6281" w:rsidP="001C6281">
      <w:pPr>
        <w:widowControl w:val="0"/>
        <w:rPr>
          <w:rFonts w:ascii="Arial" w:hAnsi="Arial" w:cs="Arial"/>
          <w:sz w:val="22"/>
          <w:szCs w:val="22"/>
        </w:rPr>
      </w:pPr>
    </w:p>
    <w:tbl>
      <w:tblPr>
        <w:tblStyle w:val="Tablaconcuadrcula"/>
        <w:tblW w:w="971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9"/>
        <w:gridCol w:w="280"/>
        <w:gridCol w:w="4211"/>
      </w:tblGrid>
      <w:tr w:rsidR="002412B6" w:rsidRPr="002412B6" w14:paraId="5363D465" w14:textId="77777777" w:rsidTr="002412B6">
        <w:trPr>
          <w:trHeight w:val="722"/>
        </w:trPr>
        <w:tc>
          <w:tcPr>
            <w:tcW w:w="5219" w:type="dxa"/>
          </w:tcPr>
          <w:p w14:paraId="7447D5D5" w14:textId="77777777" w:rsidR="001C6281" w:rsidRPr="002412B6" w:rsidRDefault="001C6281" w:rsidP="00540F8C">
            <w:pPr>
              <w:widowControl w:val="0"/>
              <w:spacing w:before="0" w:after="0" w:line="288" w:lineRule="auto"/>
              <w:jc w:val="center"/>
              <w:rPr>
                <w:rFonts w:ascii="Arial" w:hAnsi="Arial" w:cs="Arial"/>
                <w:b/>
                <w:bCs/>
                <w:sz w:val="22"/>
                <w:szCs w:val="22"/>
              </w:rPr>
            </w:pPr>
            <w:r w:rsidRPr="002412B6">
              <w:rPr>
                <w:rFonts w:ascii="Arial" w:hAnsi="Arial" w:cs="Arial"/>
                <w:b/>
                <w:bCs/>
                <w:sz w:val="22"/>
                <w:szCs w:val="22"/>
              </w:rPr>
              <w:t>MTRA. ELIZABETH NAVA GUTIÉRREZ</w:t>
            </w:r>
          </w:p>
          <w:p w14:paraId="02E3428B" w14:textId="77777777" w:rsidR="001C6281" w:rsidRPr="002412B6" w:rsidRDefault="001C6281" w:rsidP="00540F8C">
            <w:pPr>
              <w:widowControl w:val="0"/>
              <w:spacing w:before="0" w:after="0" w:line="288" w:lineRule="auto"/>
              <w:jc w:val="center"/>
              <w:rPr>
                <w:rFonts w:ascii="Arial" w:hAnsi="Arial" w:cs="Arial"/>
                <w:b/>
                <w:bCs/>
                <w:sz w:val="22"/>
                <w:szCs w:val="22"/>
              </w:rPr>
            </w:pPr>
            <w:r w:rsidRPr="002412B6">
              <w:rPr>
                <w:rFonts w:ascii="Arial" w:hAnsi="Arial" w:cs="Arial"/>
                <w:b/>
                <w:bCs/>
                <w:sz w:val="22"/>
                <w:szCs w:val="22"/>
              </w:rPr>
              <w:t>CONSEJERA PRESIDENTA</w:t>
            </w:r>
          </w:p>
        </w:tc>
        <w:tc>
          <w:tcPr>
            <w:tcW w:w="280" w:type="dxa"/>
          </w:tcPr>
          <w:p w14:paraId="637C9334" w14:textId="77777777" w:rsidR="001C6281" w:rsidRPr="002412B6" w:rsidRDefault="001C6281" w:rsidP="00540F8C">
            <w:pPr>
              <w:widowControl w:val="0"/>
              <w:spacing w:before="0" w:after="0" w:line="288" w:lineRule="auto"/>
              <w:rPr>
                <w:rFonts w:ascii="Arial" w:hAnsi="Arial" w:cs="Arial"/>
                <w:b/>
                <w:bCs/>
                <w:sz w:val="22"/>
                <w:szCs w:val="22"/>
              </w:rPr>
            </w:pPr>
          </w:p>
        </w:tc>
        <w:tc>
          <w:tcPr>
            <w:tcW w:w="4211" w:type="dxa"/>
          </w:tcPr>
          <w:p w14:paraId="3D282163" w14:textId="77777777" w:rsidR="001C6281" w:rsidRPr="002412B6" w:rsidRDefault="001C6281" w:rsidP="00540F8C">
            <w:pPr>
              <w:widowControl w:val="0"/>
              <w:spacing w:before="0" w:after="0" w:line="288" w:lineRule="auto"/>
              <w:jc w:val="center"/>
              <w:rPr>
                <w:rFonts w:ascii="Arial" w:hAnsi="Arial" w:cs="Arial"/>
                <w:b/>
                <w:bCs/>
                <w:sz w:val="22"/>
                <w:szCs w:val="22"/>
              </w:rPr>
            </w:pPr>
            <w:r w:rsidRPr="002412B6">
              <w:rPr>
                <w:rFonts w:ascii="Arial" w:hAnsi="Arial" w:cs="Arial"/>
                <w:b/>
                <w:bCs/>
                <w:sz w:val="22"/>
                <w:szCs w:val="22"/>
              </w:rPr>
              <w:t>LIC. JORGE ALBERTO ZAVALA FRÍAS</w:t>
            </w:r>
          </w:p>
          <w:p w14:paraId="4795A83C" w14:textId="77777777" w:rsidR="001C6281" w:rsidRPr="002412B6" w:rsidRDefault="001C6281" w:rsidP="00540F8C">
            <w:pPr>
              <w:widowControl w:val="0"/>
              <w:spacing w:before="0" w:after="0" w:line="288" w:lineRule="auto"/>
              <w:jc w:val="center"/>
              <w:rPr>
                <w:rFonts w:ascii="Arial" w:hAnsi="Arial" w:cs="Arial"/>
                <w:b/>
                <w:bCs/>
                <w:sz w:val="22"/>
                <w:szCs w:val="22"/>
              </w:rPr>
            </w:pPr>
            <w:r w:rsidRPr="002412B6">
              <w:rPr>
                <w:rFonts w:ascii="Arial" w:hAnsi="Arial" w:cs="Arial"/>
                <w:b/>
                <w:bCs/>
                <w:sz w:val="22"/>
                <w:szCs w:val="22"/>
              </w:rPr>
              <w:t>SECRETARIO DEL CONSEJO</w:t>
            </w:r>
          </w:p>
        </w:tc>
      </w:tr>
    </w:tbl>
    <w:p w14:paraId="37D81549" w14:textId="77777777" w:rsidR="001C6281" w:rsidRPr="002412B6" w:rsidRDefault="001C6281" w:rsidP="001C6281">
      <w:pPr>
        <w:widowControl w:val="0"/>
        <w:rPr>
          <w:rFonts w:ascii="Arial" w:hAnsi="Arial" w:cs="Arial"/>
          <w:sz w:val="22"/>
          <w:szCs w:val="22"/>
        </w:rPr>
      </w:pPr>
    </w:p>
    <w:p w14:paraId="6EFEAE72" w14:textId="77777777" w:rsidR="001C6281" w:rsidRPr="002412B6" w:rsidRDefault="001C6281" w:rsidP="001C6281">
      <w:pPr>
        <w:rPr>
          <w:rFonts w:ascii="Arial" w:hAnsi="Arial" w:cs="Arial"/>
          <w:sz w:val="22"/>
          <w:szCs w:val="22"/>
        </w:rPr>
      </w:pPr>
    </w:p>
    <w:p w14:paraId="716FFF38" w14:textId="258C6F1A" w:rsidR="001C6281" w:rsidRPr="002412B6" w:rsidRDefault="001C6281" w:rsidP="000158B0">
      <w:pPr>
        <w:rPr>
          <w:rFonts w:ascii="Arial" w:hAnsi="Arial" w:cs="Arial"/>
          <w:sz w:val="22"/>
          <w:szCs w:val="22"/>
        </w:rPr>
      </w:pPr>
    </w:p>
    <w:sectPr w:rsidR="001C6281" w:rsidRPr="002412B6" w:rsidSect="005245D3">
      <w:headerReference w:type="default" r:id="rId7"/>
      <w:footerReference w:type="default" r:id="rId8"/>
      <w:pgSz w:w="12240" w:h="15840" w:code="1"/>
      <w:pgMar w:top="1418" w:right="2034"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9CA9C" w14:textId="77777777" w:rsidR="00080F05" w:rsidRDefault="00080F05" w:rsidP="00451D18">
      <w:pPr>
        <w:spacing w:before="0" w:after="0" w:line="240" w:lineRule="auto"/>
      </w:pPr>
      <w:r>
        <w:separator/>
      </w:r>
    </w:p>
  </w:endnote>
  <w:endnote w:type="continuationSeparator" w:id="0">
    <w:p w14:paraId="2408AF82" w14:textId="77777777" w:rsidR="00080F05" w:rsidRDefault="00080F05" w:rsidP="00451D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AB5A71B1-CCA4-48D0-9971-AB84A08C8772}"/>
    <w:embedBold r:id="rId2" w:fontKey="{279C2E66-F8A0-4461-9B71-423B8EF3161A}"/>
    <w:embedItalic r:id="rId3" w:fontKey="{CEBA0EF3-D2DA-4903-B0C2-EB45F54D496F}"/>
  </w:font>
  <w:font w:name="Exo">
    <w:altName w:val="Times New Roman"/>
    <w:charset w:val="00"/>
    <w:family w:val="auto"/>
    <w:pitch w:val="variable"/>
    <w:sig w:usb0="A00000EF" w:usb1="4000204B" w:usb2="00000000" w:usb3="00000000" w:csb0="00000193" w:csb1="00000000"/>
    <w:embedRegular r:id="rId4" w:fontKey="{52F16FDC-921E-4CF1-8476-784A141420C4}"/>
    <w:embedBold r:id="rId5" w:fontKey="{C7C57E8D-135C-4DBF-AA36-EA2EE9610DFC}"/>
    <w:embedItalic r:id="rId6" w:fontKey="{D500AFF3-7016-4FFD-9A11-A4E60CF69E10}"/>
  </w:font>
  <w:font w:name="Aptos Display">
    <w:altName w:val="Arial"/>
    <w:charset w:val="00"/>
    <w:family w:val="swiss"/>
    <w:pitch w:val="variable"/>
    <w:sig w:usb0="20000287" w:usb1="00000003" w:usb2="00000000" w:usb3="00000000" w:csb0="0000019F" w:csb1="00000000"/>
    <w:embedRegular r:id="rId7" w:fontKey="{7A0E4BC3-75B3-4FFE-85CD-C91818FC380C}"/>
  </w:font>
  <w:font w:name="Segoe UI">
    <w:panose1 w:val="020B0502040204020203"/>
    <w:charset w:val="00"/>
    <w:family w:val="swiss"/>
    <w:pitch w:val="variable"/>
    <w:sig w:usb0="E4002EFF" w:usb1="C000E47F" w:usb2="00000009" w:usb3="00000000" w:csb0="000001FF" w:csb1="00000000"/>
    <w:embedRegular r:id="rId8" w:fontKey="{D142EB96-D7E3-4638-9F51-66165C3F3741}"/>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787661093"/>
      <w:docPartObj>
        <w:docPartGallery w:val="Page Numbers (Top of Page)"/>
        <w:docPartUnique/>
      </w:docPartObj>
    </w:sdtPr>
    <w:sdtEndPr/>
    <w:sdtContent>
      <w:p w14:paraId="223EC2AC" w14:textId="6FFB2759" w:rsidR="00451D18" w:rsidRPr="002412B6" w:rsidRDefault="00451D18" w:rsidP="00451D18">
        <w:pPr>
          <w:pStyle w:val="Piedepgina"/>
          <w:jc w:val="right"/>
          <w:rPr>
            <w:rFonts w:ascii="Arial" w:hAnsi="Arial" w:cs="Arial"/>
            <w:color w:val="993366"/>
            <w:sz w:val="20"/>
            <w:szCs w:val="20"/>
          </w:rPr>
        </w:pPr>
        <w:r w:rsidRPr="002412B6">
          <w:rPr>
            <w:rFonts w:ascii="Arial" w:hAnsi="Arial" w:cs="Arial"/>
            <w:b/>
            <w:bCs/>
            <w:color w:val="993366"/>
          </w:rPr>
          <w:t xml:space="preserve">Página </w:t>
        </w:r>
        <w:r w:rsidRPr="002412B6">
          <w:rPr>
            <w:rFonts w:ascii="Arial" w:hAnsi="Arial" w:cs="Arial"/>
            <w:b/>
            <w:bCs/>
            <w:color w:val="993366"/>
          </w:rPr>
          <w:fldChar w:fldCharType="begin"/>
        </w:r>
        <w:r w:rsidRPr="002412B6">
          <w:rPr>
            <w:rFonts w:ascii="Arial" w:hAnsi="Arial" w:cs="Arial"/>
            <w:b/>
            <w:bCs/>
            <w:color w:val="993366"/>
          </w:rPr>
          <w:instrText>PAGE</w:instrText>
        </w:r>
        <w:r w:rsidRPr="002412B6">
          <w:rPr>
            <w:rFonts w:ascii="Arial" w:hAnsi="Arial" w:cs="Arial"/>
            <w:b/>
            <w:bCs/>
            <w:color w:val="993366"/>
          </w:rPr>
          <w:fldChar w:fldCharType="separate"/>
        </w:r>
        <w:r w:rsidR="000D11F9">
          <w:rPr>
            <w:rFonts w:ascii="Arial" w:hAnsi="Arial" w:cs="Arial"/>
            <w:b/>
            <w:bCs/>
            <w:noProof/>
            <w:color w:val="993366"/>
          </w:rPr>
          <w:t>12</w:t>
        </w:r>
        <w:r w:rsidRPr="002412B6">
          <w:rPr>
            <w:rFonts w:ascii="Arial" w:hAnsi="Arial" w:cs="Arial"/>
            <w:b/>
            <w:bCs/>
            <w:color w:val="993366"/>
          </w:rPr>
          <w:fldChar w:fldCharType="end"/>
        </w:r>
        <w:r w:rsidRPr="002412B6">
          <w:rPr>
            <w:rFonts w:ascii="Arial" w:hAnsi="Arial" w:cs="Arial"/>
            <w:b/>
            <w:bCs/>
            <w:color w:val="993366"/>
          </w:rPr>
          <w:t xml:space="preserve"> | </w:t>
        </w:r>
        <w:r w:rsidRPr="002412B6">
          <w:rPr>
            <w:rFonts w:ascii="Arial" w:hAnsi="Arial" w:cs="Arial"/>
            <w:b/>
            <w:bCs/>
            <w:color w:val="993366"/>
          </w:rPr>
          <w:fldChar w:fldCharType="begin"/>
        </w:r>
        <w:r w:rsidRPr="002412B6">
          <w:rPr>
            <w:rFonts w:ascii="Arial" w:hAnsi="Arial" w:cs="Arial"/>
            <w:b/>
            <w:bCs/>
            <w:color w:val="993366"/>
          </w:rPr>
          <w:instrText>NUMPAGES</w:instrText>
        </w:r>
        <w:r w:rsidRPr="002412B6">
          <w:rPr>
            <w:rFonts w:ascii="Arial" w:hAnsi="Arial" w:cs="Arial"/>
            <w:b/>
            <w:bCs/>
            <w:color w:val="993366"/>
          </w:rPr>
          <w:fldChar w:fldCharType="separate"/>
        </w:r>
        <w:r w:rsidR="000D11F9">
          <w:rPr>
            <w:rFonts w:ascii="Arial" w:hAnsi="Arial" w:cs="Arial"/>
            <w:b/>
            <w:bCs/>
            <w:noProof/>
            <w:color w:val="993366"/>
          </w:rPr>
          <w:t>13</w:t>
        </w:r>
        <w:r w:rsidRPr="002412B6">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84BCD" w14:textId="77777777" w:rsidR="00080F05" w:rsidRDefault="00080F05" w:rsidP="00451D18">
      <w:pPr>
        <w:spacing w:before="0" w:after="0" w:line="240" w:lineRule="auto"/>
      </w:pPr>
      <w:r>
        <w:separator/>
      </w:r>
    </w:p>
  </w:footnote>
  <w:footnote w:type="continuationSeparator" w:id="0">
    <w:p w14:paraId="76E33A63" w14:textId="77777777" w:rsidR="00080F05" w:rsidRDefault="00080F05" w:rsidP="00451D1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451D18" w14:paraId="0A3B10DE" w14:textId="77777777" w:rsidTr="00540F8C">
      <w:tc>
        <w:tcPr>
          <w:tcW w:w="1813" w:type="dxa"/>
        </w:tcPr>
        <w:p w14:paraId="001C724C" w14:textId="77777777" w:rsidR="00451D18" w:rsidRDefault="00451D18" w:rsidP="00451D18">
          <w:pPr>
            <w:pStyle w:val="Encabezado"/>
          </w:pPr>
          <w:r>
            <w:rPr>
              <w:b/>
              <w:noProof/>
              <w:sz w:val="32"/>
              <w:lang w:eastAsia="es-MX"/>
            </w:rPr>
            <w:drawing>
              <wp:inline distT="0" distB="0" distL="0" distR="0" wp14:anchorId="1702C115" wp14:editId="5FB61174">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5E59728C" w14:textId="77777777" w:rsidR="00451D18" w:rsidRPr="00B33A23" w:rsidRDefault="00451D18" w:rsidP="00451D18">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88C53C2" w14:textId="77777777" w:rsidR="00451D18" w:rsidRDefault="00451D18" w:rsidP="00451D18">
          <w:pPr>
            <w:pStyle w:val="Encabezado"/>
            <w:spacing w:before="60"/>
            <w:jc w:val="center"/>
          </w:pPr>
          <w:r w:rsidRPr="00B33A23">
            <w:rPr>
              <w:rFonts w:ascii="Arial" w:hAnsi="Arial" w:cs="Arial"/>
              <w:b/>
              <w:bCs/>
              <w:sz w:val="28"/>
              <w:szCs w:val="28"/>
            </w:rPr>
            <w:t>CONSEJO ESTATAL</w:t>
          </w:r>
        </w:p>
      </w:tc>
      <w:tc>
        <w:tcPr>
          <w:tcW w:w="1560" w:type="dxa"/>
        </w:tcPr>
        <w:p w14:paraId="2A75F4BF" w14:textId="77777777" w:rsidR="00451D18" w:rsidRDefault="00451D18" w:rsidP="00451D18">
          <w:pPr>
            <w:pStyle w:val="Encabezado"/>
            <w:spacing w:before="480"/>
            <w:jc w:val="right"/>
          </w:pPr>
          <w:r>
            <w:rPr>
              <w:noProof/>
              <w:lang w:eastAsia="es-MX"/>
            </w:rPr>
            <w:drawing>
              <wp:inline distT="0" distB="0" distL="0" distR="0" wp14:anchorId="66C86C46" wp14:editId="31EEB12B">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7FCCA60F" w14:textId="0F832565" w:rsidR="00451D18" w:rsidRPr="002412B6" w:rsidRDefault="002412B6" w:rsidP="002412B6">
    <w:pPr>
      <w:pStyle w:val="Encabezado"/>
      <w:jc w:val="right"/>
      <w:rPr>
        <w:rFonts w:ascii="Arial" w:hAnsi="Arial" w:cs="Arial"/>
        <w:b/>
      </w:rPr>
    </w:pPr>
    <w:r w:rsidRPr="002412B6">
      <w:rPr>
        <w:rFonts w:ascii="Arial" w:hAnsi="Arial" w:cs="Arial"/>
        <w:b/>
      </w:rPr>
      <w:t>CE/2025/035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601C7"/>
    <w:multiLevelType w:val="hybridMultilevel"/>
    <w:tmpl w:val="950C5406"/>
    <w:lvl w:ilvl="0" w:tplc="46B06382">
      <w:start w:val="1"/>
      <w:numFmt w:val="upperRoman"/>
      <w:lvlText w:val="%1."/>
      <w:lvlJc w:val="left"/>
      <w:pPr>
        <w:ind w:left="1080" w:hanging="720"/>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F361EB2"/>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495"/>
    <w:rsid w:val="000158B0"/>
    <w:rsid w:val="00034D21"/>
    <w:rsid w:val="00035792"/>
    <w:rsid w:val="000615E2"/>
    <w:rsid w:val="00080F05"/>
    <w:rsid w:val="000D11F9"/>
    <w:rsid w:val="00121F86"/>
    <w:rsid w:val="00170BB5"/>
    <w:rsid w:val="001C6281"/>
    <w:rsid w:val="00217455"/>
    <w:rsid w:val="002368F9"/>
    <w:rsid w:val="002412B6"/>
    <w:rsid w:val="003157CC"/>
    <w:rsid w:val="003D2159"/>
    <w:rsid w:val="00436B15"/>
    <w:rsid w:val="00451D18"/>
    <w:rsid w:val="005245D3"/>
    <w:rsid w:val="00571608"/>
    <w:rsid w:val="00605023"/>
    <w:rsid w:val="00692AF6"/>
    <w:rsid w:val="006B1E59"/>
    <w:rsid w:val="00764B7F"/>
    <w:rsid w:val="0086060C"/>
    <w:rsid w:val="0099227F"/>
    <w:rsid w:val="00A624DD"/>
    <w:rsid w:val="00AA0495"/>
    <w:rsid w:val="00B15565"/>
    <w:rsid w:val="00B74376"/>
    <w:rsid w:val="00BB34CF"/>
    <w:rsid w:val="00CC6A5E"/>
    <w:rsid w:val="00D661C8"/>
    <w:rsid w:val="00E318EB"/>
    <w:rsid w:val="00E352F7"/>
    <w:rsid w:val="00F05A41"/>
    <w:rsid w:val="00F972FF"/>
    <w:rsid w:val="00FF5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FC18"/>
  <w15:chartTrackingRefBased/>
  <w15:docId w15:val="{25BEF735-F80C-4949-BBB9-42D2FA5C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495"/>
    <w:pPr>
      <w:spacing w:before="240" w:after="240" w:line="276" w:lineRule="auto"/>
      <w:jc w:val="both"/>
    </w:pPr>
    <w:rPr>
      <w:rFonts w:ascii="Exo" w:hAnsi="Exo"/>
    </w:rPr>
  </w:style>
  <w:style w:type="paragraph" w:styleId="Ttulo1">
    <w:name w:val="heading 1"/>
    <w:basedOn w:val="Normal"/>
    <w:next w:val="Normal"/>
    <w:link w:val="Ttulo1Car"/>
    <w:uiPriority w:val="9"/>
    <w:qFormat/>
    <w:rsid w:val="00AA0495"/>
    <w:pPr>
      <w:keepNext/>
      <w:keepLines/>
      <w:numPr>
        <w:numId w:val="2"/>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AA0495"/>
    <w:pPr>
      <w:keepNext/>
      <w:keepLines/>
      <w:numPr>
        <w:ilvl w:val="1"/>
        <w:numId w:val="2"/>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AA0495"/>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A0495"/>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A0495"/>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A0495"/>
    <w:pPr>
      <w:keepNext/>
      <w:keepLines/>
      <w:numPr>
        <w:ilvl w:val="5"/>
        <w:numId w:val="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A0495"/>
    <w:pPr>
      <w:keepNext/>
      <w:keepLines/>
      <w:numPr>
        <w:ilvl w:val="6"/>
        <w:numId w:val="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0495"/>
    <w:pPr>
      <w:keepNext/>
      <w:keepLines/>
      <w:numPr>
        <w:ilvl w:val="7"/>
        <w:numId w:val="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0495"/>
    <w:pPr>
      <w:keepNext/>
      <w:keepLines/>
      <w:numPr>
        <w:ilvl w:val="8"/>
        <w:numId w:val="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0495"/>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AA0495"/>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AA049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A049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A049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A049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049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049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0495"/>
    <w:rPr>
      <w:rFonts w:eastAsiaTheme="majorEastAsia" w:cstheme="majorBidi"/>
      <w:color w:val="272727" w:themeColor="text1" w:themeTint="D8"/>
    </w:rPr>
  </w:style>
  <w:style w:type="paragraph" w:styleId="Ttulo">
    <w:name w:val="Title"/>
    <w:basedOn w:val="Normal"/>
    <w:next w:val="Normal"/>
    <w:link w:val="TtuloCar"/>
    <w:uiPriority w:val="10"/>
    <w:qFormat/>
    <w:rsid w:val="00AA0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04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A04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A04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0495"/>
    <w:pPr>
      <w:spacing w:before="160"/>
      <w:jc w:val="center"/>
    </w:pPr>
    <w:rPr>
      <w:i/>
      <w:iCs/>
      <w:color w:val="404040" w:themeColor="text1" w:themeTint="BF"/>
    </w:rPr>
  </w:style>
  <w:style w:type="character" w:customStyle="1" w:styleId="CitaCar">
    <w:name w:val="Cita Car"/>
    <w:basedOn w:val="Fuentedeprrafopredeter"/>
    <w:link w:val="Cita"/>
    <w:uiPriority w:val="29"/>
    <w:rsid w:val="00AA0495"/>
    <w:rPr>
      <w:i/>
      <w:iCs/>
      <w:color w:val="404040" w:themeColor="text1" w:themeTint="BF"/>
    </w:rPr>
  </w:style>
  <w:style w:type="paragraph" w:styleId="Prrafodelista">
    <w:name w:val="List Paragraph"/>
    <w:basedOn w:val="Normal"/>
    <w:uiPriority w:val="34"/>
    <w:qFormat/>
    <w:rsid w:val="00AA0495"/>
    <w:pPr>
      <w:ind w:left="720"/>
      <w:contextualSpacing/>
    </w:pPr>
  </w:style>
  <w:style w:type="character" w:styleId="nfasisintenso">
    <w:name w:val="Intense Emphasis"/>
    <w:basedOn w:val="Fuentedeprrafopredeter"/>
    <w:uiPriority w:val="21"/>
    <w:qFormat/>
    <w:rsid w:val="00AA0495"/>
    <w:rPr>
      <w:i/>
      <w:iCs/>
      <w:color w:val="0F4761" w:themeColor="accent1" w:themeShade="BF"/>
    </w:rPr>
  </w:style>
  <w:style w:type="paragraph" w:styleId="Citadestacada">
    <w:name w:val="Intense Quote"/>
    <w:basedOn w:val="Normal"/>
    <w:next w:val="Normal"/>
    <w:link w:val="CitadestacadaCar"/>
    <w:uiPriority w:val="30"/>
    <w:qFormat/>
    <w:rsid w:val="00AA04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A0495"/>
    <w:rPr>
      <w:i/>
      <w:iCs/>
      <w:color w:val="0F4761" w:themeColor="accent1" w:themeShade="BF"/>
    </w:rPr>
  </w:style>
  <w:style w:type="character" w:styleId="Referenciaintensa">
    <w:name w:val="Intense Reference"/>
    <w:basedOn w:val="Fuentedeprrafopredeter"/>
    <w:uiPriority w:val="32"/>
    <w:qFormat/>
    <w:rsid w:val="00AA0495"/>
    <w:rPr>
      <w:b/>
      <w:bCs/>
      <w:smallCaps/>
      <w:color w:val="0F4761" w:themeColor="accent1" w:themeShade="BF"/>
      <w:spacing w:val="5"/>
    </w:rPr>
  </w:style>
  <w:style w:type="table" w:styleId="Tablaconcuadrcula">
    <w:name w:val="Table Grid"/>
    <w:basedOn w:val="Tablanormal"/>
    <w:uiPriority w:val="39"/>
    <w:rsid w:val="001C6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51D18"/>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51D18"/>
    <w:rPr>
      <w:rFonts w:ascii="Exo" w:hAnsi="Exo"/>
    </w:rPr>
  </w:style>
  <w:style w:type="paragraph" w:styleId="Piedepgina">
    <w:name w:val="footer"/>
    <w:basedOn w:val="Normal"/>
    <w:link w:val="PiedepginaCar"/>
    <w:uiPriority w:val="99"/>
    <w:unhideWhenUsed/>
    <w:rsid w:val="00451D18"/>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51D18"/>
    <w:rPr>
      <w:rFonts w:ascii="Exo" w:hAnsi="Exo"/>
    </w:rPr>
  </w:style>
  <w:style w:type="paragraph" w:styleId="Textodeglobo">
    <w:name w:val="Balloon Text"/>
    <w:basedOn w:val="Normal"/>
    <w:link w:val="TextodegloboCar"/>
    <w:uiPriority w:val="99"/>
    <w:semiHidden/>
    <w:unhideWhenUsed/>
    <w:rsid w:val="00B1556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5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13</Pages>
  <Words>4574</Words>
  <Characters>25161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18</cp:revision>
  <cp:lastPrinted>2025-03-26T15:42:00Z</cp:lastPrinted>
  <dcterms:created xsi:type="dcterms:W3CDTF">2025-03-24T15:32:00Z</dcterms:created>
  <dcterms:modified xsi:type="dcterms:W3CDTF">2025-03-26T15:42:00Z</dcterms:modified>
</cp:coreProperties>
</file>