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84C01" w14:textId="7880F32B" w:rsidR="00136EF8" w:rsidRPr="005F3CB4" w:rsidRDefault="00B56707" w:rsidP="005F3CB4">
      <w:pPr>
        <w:widowControl w:val="0"/>
        <w:spacing w:before="0" w:line="281" w:lineRule="auto"/>
        <w:rPr>
          <w:rFonts w:ascii="Arial" w:hAnsi="Arial" w:cs="Arial"/>
          <w:b/>
          <w:bCs/>
        </w:rPr>
      </w:pPr>
      <w:r w:rsidRPr="005F3CB4">
        <w:rPr>
          <w:rFonts w:ascii="Arial" w:hAnsi="Arial" w:cs="Arial"/>
          <w:b/>
          <w:bCs/>
        </w:rPr>
        <w:t>ACUERDO QUE, A PROPUESTA DE LA COMISIÓN PERMANENTE DE IGUALDAD DE GÉNERO Y NO DISCRIMINACIÓN, EMITE EL CONSEJO ESTATAL DEL INSTITUTO ELECTORAL Y DE PARTICIPACIÓN CIUDADANA DE TABASCO, POR EL QUE APRUEBA EL PROGRAMA OPERATIVO PARA LA IMPLEMENTACIÓN DE LA RED DE MUJERES JUZGADORAS: CANDIDATAS Y ELECTAS EN TABASCO CON MOTIVO DEL PROCESO ELECTORAL LOCAL EXTRAORDINARIO PARA PERSONAS JUZGADORAS DEL PODER JUDICIAL DEL ESTADO 2024 – 2025</w:t>
      </w:r>
    </w:p>
    <w:p w14:paraId="67C76661" w14:textId="54171546" w:rsidR="00DB4782" w:rsidRPr="005F3CB4" w:rsidRDefault="00136EF8" w:rsidP="00DA23AF">
      <w:pPr>
        <w:widowControl w:val="0"/>
        <w:spacing w:line="281" w:lineRule="auto"/>
        <w:rPr>
          <w:rFonts w:ascii="Arial" w:hAnsi="Arial" w:cs="Arial"/>
          <w:sz w:val="22"/>
        </w:rPr>
      </w:pPr>
      <w:r w:rsidRPr="005F3CB4">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5F3CB4" w:rsidRPr="005F3CB4" w14:paraId="0F281EA1" w14:textId="77777777" w:rsidTr="00103D44">
        <w:trPr>
          <w:trHeight w:val="624"/>
          <w:jc w:val="center"/>
        </w:trPr>
        <w:tc>
          <w:tcPr>
            <w:tcW w:w="2042" w:type="pct"/>
            <w:shd w:val="clear" w:color="auto" w:fill="auto"/>
            <w:vAlign w:val="center"/>
          </w:tcPr>
          <w:p w14:paraId="60F963F9" w14:textId="77777777" w:rsidR="003376E7" w:rsidRPr="005F3CB4" w:rsidRDefault="003376E7" w:rsidP="00103D44">
            <w:pPr>
              <w:widowControl w:val="0"/>
              <w:spacing w:before="120" w:after="120" w:line="281" w:lineRule="auto"/>
              <w:ind w:left="57"/>
              <w:jc w:val="right"/>
              <w:rPr>
                <w:rFonts w:ascii="Arial" w:hAnsi="Arial" w:cs="Arial"/>
                <w:b/>
                <w:sz w:val="20"/>
              </w:rPr>
            </w:pPr>
            <w:bookmarkStart w:id="0" w:name="_Hlk186652747"/>
            <w:r w:rsidRPr="005F3CB4">
              <w:rPr>
                <w:rFonts w:ascii="Arial" w:hAnsi="Arial" w:cs="Arial"/>
                <w:b/>
                <w:sz w:val="20"/>
              </w:rPr>
              <w:t>Comisión:</w:t>
            </w:r>
          </w:p>
        </w:tc>
        <w:tc>
          <w:tcPr>
            <w:tcW w:w="2958" w:type="pct"/>
            <w:shd w:val="clear" w:color="auto" w:fill="auto"/>
            <w:vAlign w:val="center"/>
          </w:tcPr>
          <w:p w14:paraId="5A7D2CAF"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Comisión de Igualdad de Género y No Discriminación del Instituto Electoral y de Participación Ciudadana de Tabasco.</w:t>
            </w:r>
          </w:p>
        </w:tc>
      </w:tr>
      <w:tr w:rsidR="005F3CB4" w:rsidRPr="005F3CB4" w14:paraId="37E1F1D5" w14:textId="77777777" w:rsidTr="00103D44">
        <w:trPr>
          <w:trHeight w:val="624"/>
          <w:jc w:val="center"/>
        </w:trPr>
        <w:tc>
          <w:tcPr>
            <w:tcW w:w="2042" w:type="pct"/>
            <w:shd w:val="clear" w:color="auto" w:fill="auto"/>
            <w:vAlign w:val="center"/>
          </w:tcPr>
          <w:p w14:paraId="112BACEE"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Consejo Estatal:</w:t>
            </w:r>
          </w:p>
        </w:tc>
        <w:tc>
          <w:tcPr>
            <w:tcW w:w="2958" w:type="pct"/>
            <w:shd w:val="clear" w:color="auto" w:fill="auto"/>
            <w:vAlign w:val="center"/>
          </w:tcPr>
          <w:p w14:paraId="5395E0E7"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Consejo Estatal del Instituto Electoral y de Participación Ciudadana de Tabasco.</w:t>
            </w:r>
          </w:p>
        </w:tc>
      </w:tr>
      <w:tr w:rsidR="005F3CB4" w:rsidRPr="005F3CB4" w14:paraId="46C90907" w14:textId="77777777" w:rsidTr="00103D44">
        <w:trPr>
          <w:trHeight w:val="624"/>
          <w:jc w:val="center"/>
        </w:trPr>
        <w:tc>
          <w:tcPr>
            <w:tcW w:w="2042" w:type="pct"/>
            <w:shd w:val="clear" w:color="auto" w:fill="auto"/>
            <w:vAlign w:val="center"/>
          </w:tcPr>
          <w:p w14:paraId="72075224"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Constitución Federal:</w:t>
            </w:r>
          </w:p>
        </w:tc>
        <w:tc>
          <w:tcPr>
            <w:tcW w:w="2958" w:type="pct"/>
            <w:shd w:val="clear" w:color="auto" w:fill="auto"/>
            <w:vAlign w:val="center"/>
          </w:tcPr>
          <w:p w14:paraId="1DE72026"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Constitución Política de los Estados Unidos Mexicanos.</w:t>
            </w:r>
          </w:p>
        </w:tc>
      </w:tr>
      <w:tr w:rsidR="005F3CB4" w:rsidRPr="005F3CB4" w14:paraId="237A4026" w14:textId="77777777" w:rsidTr="005F3CB4">
        <w:trPr>
          <w:trHeight w:val="737"/>
          <w:jc w:val="center"/>
        </w:trPr>
        <w:tc>
          <w:tcPr>
            <w:tcW w:w="2042" w:type="pct"/>
            <w:shd w:val="clear" w:color="auto" w:fill="auto"/>
            <w:vAlign w:val="center"/>
          </w:tcPr>
          <w:p w14:paraId="296C265D"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Constitución Local:</w:t>
            </w:r>
          </w:p>
        </w:tc>
        <w:tc>
          <w:tcPr>
            <w:tcW w:w="2958" w:type="pct"/>
            <w:shd w:val="clear" w:color="auto" w:fill="auto"/>
            <w:vAlign w:val="center"/>
          </w:tcPr>
          <w:p w14:paraId="350888F0"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Constitución Política del Estado Libre y Soberano de Tabasco.</w:t>
            </w:r>
          </w:p>
        </w:tc>
      </w:tr>
      <w:tr w:rsidR="005F3CB4" w:rsidRPr="005F3CB4" w14:paraId="12349401" w14:textId="77777777" w:rsidTr="005F3CB4">
        <w:trPr>
          <w:trHeight w:val="680"/>
          <w:jc w:val="center"/>
        </w:trPr>
        <w:tc>
          <w:tcPr>
            <w:tcW w:w="2042" w:type="pct"/>
            <w:shd w:val="clear" w:color="auto" w:fill="auto"/>
            <w:vAlign w:val="center"/>
          </w:tcPr>
          <w:p w14:paraId="23FBA6EE"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INE:</w:t>
            </w:r>
          </w:p>
        </w:tc>
        <w:tc>
          <w:tcPr>
            <w:tcW w:w="2958" w:type="pct"/>
            <w:shd w:val="clear" w:color="auto" w:fill="auto"/>
            <w:vAlign w:val="center"/>
          </w:tcPr>
          <w:p w14:paraId="083FC9FD"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Instituto Nacional Electoral.</w:t>
            </w:r>
          </w:p>
        </w:tc>
      </w:tr>
      <w:tr w:rsidR="005F3CB4" w:rsidRPr="005F3CB4" w14:paraId="526E989A" w14:textId="77777777" w:rsidTr="005F3CB4">
        <w:trPr>
          <w:trHeight w:val="737"/>
          <w:jc w:val="center"/>
        </w:trPr>
        <w:tc>
          <w:tcPr>
            <w:tcW w:w="2042" w:type="pct"/>
            <w:shd w:val="clear" w:color="auto" w:fill="auto"/>
            <w:vAlign w:val="center"/>
          </w:tcPr>
          <w:p w14:paraId="061E9A79"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Instituto:</w:t>
            </w:r>
          </w:p>
        </w:tc>
        <w:tc>
          <w:tcPr>
            <w:tcW w:w="2958" w:type="pct"/>
            <w:shd w:val="clear" w:color="auto" w:fill="auto"/>
          </w:tcPr>
          <w:p w14:paraId="5F18B898"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Instituto Electoral y de Participación Ciudadana de Tabasco.</w:t>
            </w:r>
          </w:p>
        </w:tc>
      </w:tr>
      <w:tr w:rsidR="005F3CB4" w:rsidRPr="005F3CB4" w14:paraId="28C63669" w14:textId="77777777" w:rsidTr="005F3CB4">
        <w:trPr>
          <w:trHeight w:val="737"/>
          <w:jc w:val="center"/>
        </w:trPr>
        <w:tc>
          <w:tcPr>
            <w:tcW w:w="2042" w:type="pct"/>
            <w:shd w:val="clear" w:color="auto" w:fill="auto"/>
            <w:vAlign w:val="center"/>
          </w:tcPr>
          <w:p w14:paraId="77E12FAC"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Ley Electoral:</w:t>
            </w:r>
          </w:p>
        </w:tc>
        <w:tc>
          <w:tcPr>
            <w:tcW w:w="2958" w:type="pct"/>
            <w:shd w:val="clear" w:color="auto" w:fill="auto"/>
            <w:vAlign w:val="center"/>
          </w:tcPr>
          <w:p w14:paraId="14EED0A0"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Ley Electoral y de Partidos Políticos del Estado de Tabasco.</w:t>
            </w:r>
          </w:p>
        </w:tc>
      </w:tr>
      <w:tr w:rsidR="005F3CB4" w:rsidRPr="005F3CB4" w14:paraId="7C2F2B3A" w14:textId="77777777" w:rsidTr="005F3CB4">
        <w:trPr>
          <w:trHeight w:val="737"/>
          <w:jc w:val="center"/>
        </w:trPr>
        <w:tc>
          <w:tcPr>
            <w:tcW w:w="2042" w:type="pct"/>
            <w:shd w:val="clear" w:color="auto" w:fill="auto"/>
            <w:vAlign w:val="center"/>
          </w:tcPr>
          <w:p w14:paraId="3054E86C"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Ley General:</w:t>
            </w:r>
          </w:p>
        </w:tc>
        <w:tc>
          <w:tcPr>
            <w:tcW w:w="2958" w:type="pct"/>
            <w:shd w:val="clear" w:color="auto" w:fill="auto"/>
            <w:vAlign w:val="center"/>
          </w:tcPr>
          <w:p w14:paraId="446545AF"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Ley General de Instituciones y Procedimientos Electorales.</w:t>
            </w:r>
          </w:p>
        </w:tc>
      </w:tr>
      <w:tr w:rsidR="005F3CB4" w:rsidRPr="005F3CB4" w14:paraId="3F0D23FE" w14:textId="77777777" w:rsidTr="005F3CB4">
        <w:trPr>
          <w:trHeight w:val="737"/>
          <w:jc w:val="center"/>
        </w:trPr>
        <w:tc>
          <w:tcPr>
            <w:tcW w:w="2042" w:type="pct"/>
            <w:shd w:val="clear" w:color="auto" w:fill="auto"/>
            <w:vAlign w:val="center"/>
          </w:tcPr>
          <w:p w14:paraId="389A5C69"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Organismo(s) electoral(es):</w:t>
            </w:r>
          </w:p>
        </w:tc>
        <w:tc>
          <w:tcPr>
            <w:tcW w:w="2958" w:type="pct"/>
            <w:shd w:val="clear" w:color="auto" w:fill="auto"/>
            <w:vAlign w:val="center"/>
          </w:tcPr>
          <w:p w14:paraId="14D80A3B"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 xml:space="preserve">Organismo(s) público(s) local(es) electoral(es). </w:t>
            </w:r>
          </w:p>
        </w:tc>
      </w:tr>
      <w:tr w:rsidR="005F3CB4" w:rsidRPr="005F3CB4" w14:paraId="4416DC2C" w14:textId="77777777" w:rsidTr="005F3CB4">
        <w:trPr>
          <w:trHeight w:val="964"/>
          <w:jc w:val="center"/>
        </w:trPr>
        <w:tc>
          <w:tcPr>
            <w:tcW w:w="2042" w:type="pct"/>
            <w:shd w:val="clear" w:color="auto" w:fill="auto"/>
            <w:vAlign w:val="center"/>
          </w:tcPr>
          <w:p w14:paraId="762AA7B4"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lastRenderedPageBreak/>
              <w:t>Proceso Electoral Extraordinario:</w:t>
            </w:r>
          </w:p>
        </w:tc>
        <w:tc>
          <w:tcPr>
            <w:tcW w:w="2958" w:type="pct"/>
            <w:shd w:val="clear" w:color="auto" w:fill="auto"/>
            <w:vAlign w:val="center"/>
          </w:tcPr>
          <w:p w14:paraId="5D709BD3"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Proceso Electoral Local Extraordinario para personas juzgadoras del Poder Judicial del Estado 2024 – 2025.</w:t>
            </w:r>
          </w:p>
        </w:tc>
      </w:tr>
      <w:tr w:rsidR="005F3CB4" w:rsidRPr="005F3CB4" w14:paraId="599A0906" w14:textId="77777777" w:rsidTr="005F3CB4">
        <w:trPr>
          <w:trHeight w:val="737"/>
          <w:jc w:val="center"/>
        </w:trPr>
        <w:tc>
          <w:tcPr>
            <w:tcW w:w="2042" w:type="pct"/>
            <w:shd w:val="clear" w:color="auto" w:fill="auto"/>
            <w:vAlign w:val="center"/>
          </w:tcPr>
          <w:p w14:paraId="3C095AC0"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Red de Mujeres Juzgadoras:</w:t>
            </w:r>
          </w:p>
        </w:tc>
        <w:tc>
          <w:tcPr>
            <w:tcW w:w="2958" w:type="pct"/>
            <w:shd w:val="clear" w:color="auto" w:fill="auto"/>
            <w:vAlign w:val="center"/>
          </w:tcPr>
          <w:p w14:paraId="4DEB5EA0"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Red</w:t>
            </w:r>
            <w:r w:rsidRPr="005F3CB4">
              <w:rPr>
                <w:rFonts w:ascii="Arial" w:hAnsi="Arial" w:cs="Arial"/>
                <w:sz w:val="20"/>
              </w:rPr>
              <w:tab/>
              <w:t>de</w:t>
            </w:r>
            <w:r w:rsidRPr="005F3CB4">
              <w:rPr>
                <w:rFonts w:ascii="Arial" w:hAnsi="Arial" w:cs="Arial"/>
                <w:sz w:val="20"/>
              </w:rPr>
              <w:tab/>
              <w:t>Mujeres</w:t>
            </w:r>
            <w:r w:rsidRPr="005F3CB4">
              <w:rPr>
                <w:rFonts w:ascii="Arial" w:hAnsi="Arial" w:cs="Arial"/>
                <w:sz w:val="20"/>
              </w:rPr>
              <w:tab/>
              <w:t>Juzgadoras:  Candidatas y Electas en Tabasco.</w:t>
            </w:r>
          </w:p>
        </w:tc>
      </w:tr>
      <w:tr w:rsidR="005F3CB4" w:rsidRPr="005F3CB4" w14:paraId="12F80E2F" w14:textId="77777777" w:rsidTr="005F3CB4">
        <w:trPr>
          <w:trHeight w:val="737"/>
          <w:jc w:val="center"/>
        </w:trPr>
        <w:tc>
          <w:tcPr>
            <w:tcW w:w="2042" w:type="pct"/>
            <w:shd w:val="clear" w:color="auto" w:fill="auto"/>
            <w:vAlign w:val="center"/>
          </w:tcPr>
          <w:p w14:paraId="05591069" w14:textId="77777777" w:rsidR="003376E7" w:rsidRPr="005F3CB4" w:rsidRDefault="003376E7" w:rsidP="00103D44">
            <w:pPr>
              <w:widowControl w:val="0"/>
              <w:spacing w:before="120" w:after="120" w:line="281" w:lineRule="auto"/>
              <w:ind w:left="57"/>
              <w:jc w:val="right"/>
              <w:rPr>
                <w:rFonts w:ascii="Arial" w:hAnsi="Arial" w:cs="Arial"/>
                <w:b/>
                <w:sz w:val="20"/>
              </w:rPr>
            </w:pPr>
            <w:r w:rsidRPr="005F3CB4">
              <w:rPr>
                <w:rFonts w:ascii="Arial" w:hAnsi="Arial" w:cs="Arial"/>
                <w:b/>
                <w:sz w:val="20"/>
              </w:rPr>
              <w:t>Secretaría Ejecutiva:</w:t>
            </w:r>
          </w:p>
        </w:tc>
        <w:tc>
          <w:tcPr>
            <w:tcW w:w="2958" w:type="pct"/>
            <w:shd w:val="clear" w:color="auto" w:fill="auto"/>
            <w:vAlign w:val="center"/>
          </w:tcPr>
          <w:p w14:paraId="44D74ED5"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Secretaría Ejecutiva del Instituto Electoral y de Participación Ciudadana de Tabasco.</w:t>
            </w:r>
          </w:p>
        </w:tc>
      </w:tr>
      <w:tr w:rsidR="005F3CB4" w:rsidRPr="005F3CB4" w14:paraId="5B930069" w14:textId="77777777" w:rsidTr="005F3CB4">
        <w:trPr>
          <w:trHeight w:val="737"/>
          <w:jc w:val="center"/>
        </w:trPr>
        <w:tc>
          <w:tcPr>
            <w:tcW w:w="2042" w:type="pct"/>
            <w:shd w:val="clear" w:color="auto" w:fill="auto"/>
            <w:vAlign w:val="center"/>
          </w:tcPr>
          <w:p w14:paraId="5144DB84" w14:textId="77777777" w:rsidR="003376E7" w:rsidRPr="005F3CB4" w:rsidRDefault="003376E7" w:rsidP="00103D44">
            <w:pPr>
              <w:widowControl w:val="0"/>
              <w:spacing w:before="120" w:after="120" w:line="281" w:lineRule="auto"/>
              <w:ind w:left="57"/>
              <w:jc w:val="right"/>
              <w:rPr>
                <w:rFonts w:ascii="Arial" w:hAnsi="Arial" w:cs="Arial"/>
                <w:b/>
                <w:sz w:val="20"/>
              </w:rPr>
            </w:pPr>
            <w:proofErr w:type="spellStart"/>
            <w:r w:rsidRPr="005F3CB4">
              <w:rPr>
                <w:rFonts w:ascii="Arial" w:hAnsi="Arial" w:cs="Arial"/>
                <w:b/>
                <w:sz w:val="20"/>
              </w:rPr>
              <w:t>VPMRG</w:t>
            </w:r>
            <w:proofErr w:type="spellEnd"/>
            <w:r w:rsidRPr="005F3CB4">
              <w:rPr>
                <w:rFonts w:ascii="Arial" w:hAnsi="Arial" w:cs="Arial"/>
                <w:b/>
                <w:sz w:val="20"/>
              </w:rPr>
              <w:t>:</w:t>
            </w:r>
          </w:p>
        </w:tc>
        <w:tc>
          <w:tcPr>
            <w:tcW w:w="2958" w:type="pct"/>
            <w:shd w:val="clear" w:color="auto" w:fill="auto"/>
            <w:vAlign w:val="center"/>
          </w:tcPr>
          <w:p w14:paraId="59A64ADE" w14:textId="77777777" w:rsidR="003376E7" w:rsidRPr="005F3CB4" w:rsidRDefault="003376E7" w:rsidP="00103D44">
            <w:pPr>
              <w:widowControl w:val="0"/>
              <w:spacing w:before="120" w:after="120" w:line="281" w:lineRule="auto"/>
              <w:ind w:left="57"/>
              <w:rPr>
                <w:rFonts w:ascii="Arial" w:hAnsi="Arial" w:cs="Arial"/>
                <w:sz w:val="20"/>
              </w:rPr>
            </w:pPr>
            <w:r w:rsidRPr="005F3CB4">
              <w:rPr>
                <w:rFonts w:ascii="Arial" w:hAnsi="Arial" w:cs="Arial"/>
                <w:sz w:val="20"/>
              </w:rPr>
              <w:t>Violencia Política contra las Mujeres en Razón de Género.</w:t>
            </w:r>
          </w:p>
        </w:tc>
      </w:tr>
    </w:tbl>
    <w:bookmarkEnd w:id="0"/>
    <w:p w14:paraId="289198E8" w14:textId="0333B5A2" w:rsidR="00136EF8" w:rsidRPr="005F3CB4" w:rsidRDefault="00136EF8" w:rsidP="00DA23AF">
      <w:pPr>
        <w:pStyle w:val="Ttulo1"/>
        <w:widowControl w:val="0"/>
        <w:rPr>
          <w:rFonts w:ascii="Arial" w:hAnsi="Arial" w:cs="Arial"/>
          <w:sz w:val="24"/>
        </w:rPr>
      </w:pPr>
      <w:r w:rsidRPr="005F3CB4">
        <w:rPr>
          <w:rFonts w:ascii="Arial" w:hAnsi="Arial" w:cs="Arial"/>
          <w:sz w:val="24"/>
        </w:rPr>
        <w:t>Antecedentes</w:t>
      </w:r>
    </w:p>
    <w:p w14:paraId="74632F16" w14:textId="77777777" w:rsidR="00136EF8" w:rsidRPr="005F3CB4" w:rsidRDefault="00136EF8" w:rsidP="00DA23AF">
      <w:pPr>
        <w:pStyle w:val="Ttulo2"/>
        <w:keepNext w:val="0"/>
        <w:widowControl w:val="0"/>
        <w:rPr>
          <w:rFonts w:ascii="Arial" w:hAnsi="Arial" w:cs="Arial"/>
          <w:sz w:val="22"/>
        </w:rPr>
      </w:pPr>
      <w:r w:rsidRPr="005F3CB4">
        <w:rPr>
          <w:rFonts w:ascii="Arial" w:hAnsi="Arial" w:cs="Arial"/>
          <w:sz w:val="22"/>
        </w:rPr>
        <w:t>Fines del Instituto</w:t>
      </w:r>
    </w:p>
    <w:p w14:paraId="1C124D37"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528F1F4"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Además, es responsable de la organización de las elecciones estatales, distritales y municipales, entre ellas la relativa a las personas titulares de las magistraturas del Tribunal de Disciplina Judicial y del Tribunal Superior de Justicia, así como de las Juezas y Jueces del Poder Judicial del Estado.</w:t>
      </w:r>
    </w:p>
    <w:p w14:paraId="0ED6CF3F"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w:t>
      </w:r>
      <w:r w:rsidRPr="005F3CB4">
        <w:rPr>
          <w:rFonts w:ascii="Arial" w:hAnsi="Arial" w:cs="Arial"/>
          <w:sz w:val="22"/>
        </w:rPr>
        <w:lastRenderedPageBreak/>
        <w:t>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61D960CD" w14:textId="77777777" w:rsidR="00136EF8" w:rsidRPr="005F3CB4" w:rsidRDefault="00136EF8" w:rsidP="00DA23AF">
      <w:pPr>
        <w:pStyle w:val="Ttulo2"/>
        <w:keepNext w:val="0"/>
        <w:widowControl w:val="0"/>
        <w:rPr>
          <w:rFonts w:ascii="Arial" w:hAnsi="Arial" w:cs="Arial"/>
          <w:sz w:val="22"/>
        </w:rPr>
      </w:pPr>
      <w:r w:rsidRPr="005F3CB4">
        <w:rPr>
          <w:rFonts w:ascii="Arial" w:hAnsi="Arial" w:cs="Arial"/>
          <w:sz w:val="22"/>
        </w:rPr>
        <w:t>Integración del órgano superior de dirección</w:t>
      </w:r>
    </w:p>
    <w:p w14:paraId="6B638C29"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6504EC1D"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8E3120B"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515CEB4A" w14:textId="77777777" w:rsidR="00055E30" w:rsidRPr="005F3CB4" w:rsidRDefault="00055E30" w:rsidP="00DA23AF">
      <w:pPr>
        <w:pStyle w:val="Ttulo2"/>
        <w:keepNext w:val="0"/>
        <w:widowControl w:val="0"/>
        <w:rPr>
          <w:rFonts w:ascii="Arial" w:hAnsi="Arial" w:cs="Arial"/>
          <w:sz w:val="22"/>
        </w:rPr>
      </w:pPr>
      <w:r w:rsidRPr="005F3CB4">
        <w:rPr>
          <w:rFonts w:ascii="Arial" w:hAnsi="Arial" w:cs="Arial"/>
          <w:sz w:val="22"/>
        </w:rPr>
        <w:t>Integración de la Comisión</w:t>
      </w:r>
    </w:p>
    <w:p w14:paraId="74BB4D8C" w14:textId="64393913" w:rsidR="00055E30" w:rsidRDefault="00055E30" w:rsidP="00DA23AF">
      <w:pPr>
        <w:widowControl w:val="0"/>
        <w:spacing w:line="281" w:lineRule="auto"/>
        <w:rPr>
          <w:rFonts w:ascii="Arial" w:hAnsi="Arial" w:cs="Arial"/>
          <w:sz w:val="22"/>
        </w:rPr>
      </w:pPr>
      <w:r w:rsidRPr="005F3CB4">
        <w:rPr>
          <w:rFonts w:ascii="Arial" w:hAnsi="Arial" w:cs="Arial"/>
          <w:sz w:val="22"/>
        </w:rPr>
        <w:t>El 4 de octubre de 2024, mediante acuerdo CE/2024/090, el Consejo Estatal modificó la conformación de las Comisiones Permanentes, entre ellas, la relativa a la de Igualdad de Género y No Discriminación, quedando integrada por las Consejeras Electorales, Licda. María Elvia Magaña Sandoval y Mtra. Ruth Lizette Toledo Peral, y, el Consejero Electoral, Mtro. Hernán González Sala, éste último, Presidente de la Comisión; y en su calidad de secretaria técnica, la Licda. Rebeca Caraveo Cabrera, titular de la Unidad de Igualdad de Género y No Discriminación.</w:t>
      </w:r>
    </w:p>
    <w:p w14:paraId="024F67AC" w14:textId="77777777" w:rsidR="00103D44" w:rsidRPr="005F3CB4" w:rsidRDefault="00103D44" w:rsidP="00DA23AF">
      <w:pPr>
        <w:widowControl w:val="0"/>
        <w:spacing w:line="281" w:lineRule="auto"/>
        <w:rPr>
          <w:rFonts w:ascii="Arial" w:hAnsi="Arial" w:cs="Arial"/>
          <w:sz w:val="22"/>
        </w:rPr>
      </w:pPr>
    </w:p>
    <w:p w14:paraId="451C4F9C" w14:textId="67FDDF17" w:rsidR="00695C99" w:rsidRPr="005F3CB4" w:rsidRDefault="00695C99" w:rsidP="00DA23AF">
      <w:pPr>
        <w:pStyle w:val="Ttulo2"/>
        <w:keepNext w:val="0"/>
        <w:widowControl w:val="0"/>
        <w:rPr>
          <w:rFonts w:ascii="Arial" w:hAnsi="Arial" w:cs="Arial"/>
          <w:sz w:val="22"/>
        </w:rPr>
      </w:pPr>
      <w:r w:rsidRPr="005F3CB4">
        <w:rPr>
          <w:rFonts w:ascii="Arial" w:hAnsi="Arial" w:cs="Arial"/>
          <w:sz w:val="22"/>
        </w:rPr>
        <w:lastRenderedPageBreak/>
        <w:t>Ratificación de las Presidencias de Comisiones</w:t>
      </w:r>
    </w:p>
    <w:p w14:paraId="42547FA2" w14:textId="6A26FC32" w:rsidR="00695C99" w:rsidRPr="005F3CB4" w:rsidRDefault="00695C99" w:rsidP="00DA23AF">
      <w:pPr>
        <w:widowControl w:val="0"/>
        <w:spacing w:line="281" w:lineRule="auto"/>
        <w:rPr>
          <w:rFonts w:ascii="Arial" w:hAnsi="Arial" w:cs="Arial"/>
          <w:sz w:val="22"/>
        </w:rPr>
      </w:pPr>
      <w:r w:rsidRPr="005F3CB4">
        <w:rPr>
          <w:rFonts w:ascii="Arial" w:hAnsi="Arial" w:cs="Arial"/>
          <w:sz w:val="22"/>
        </w:rPr>
        <w:t>El 17 de octubre de 2024, el Consejo Estatal, mediante acuerdo CE/2024/092, ratificó a las Consejeras y Consejeros Electorales que asumieron las Presidencias de las Comisiones Permanentes de Organización Electoral y Educación Cívica, de Denuncias y Quejas, de Seguimiento al Servicio Profesional Electoral Nacional y de Igualdad de Género y no Discriminación.</w:t>
      </w:r>
    </w:p>
    <w:p w14:paraId="03B75DE1" w14:textId="77777777" w:rsidR="00136EF8" w:rsidRPr="005F3CB4" w:rsidRDefault="00136EF8" w:rsidP="00DA23AF">
      <w:pPr>
        <w:pStyle w:val="Ttulo2"/>
        <w:keepNext w:val="0"/>
        <w:widowControl w:val="0"/>
        <w:rPr>
          <w:rFonts w:ascii="Arial" w:hAnsi="Arial" w:cs="Arial"/>
          <w:sz w:val="22"/>
        </w:rPr>
      </w:pPr>
      <w:r w:rsidRPr="005F3CB4">
        <w:rPr>
          <w:rFonts w:ascii="Arial" w:hAnsi="Arial" w:cs="Arial"/>
          <w:sz w:val="22"/>
        </w:rPr>
        <w:t xml:space="preserve">Reforma Constitucional </w:t>
      </w:r>
    </w:p>
    <w:p w14:paraId="2C99200F"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096FB672"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1DB6E279" w14:textId="77777777" w:rsidR="00136EF8" w:rsidRPr="005F3CB4" w:rsidRDefault="00136EF8" w:rsidP="00DA23AF">
      <w:pPr>
        <w:pStyle w:val="Ttulo2"/>
        <w:keepNext w:val="0"/>
        <w:widowControl w:val="0"/>
        <w:rPr>
          <w:rFonts w:ascii="Arial" w:hAnsi="Arial" w:cs="Arial"/>
          <w:sz w:val="22"/>
        </w:rPr>
      </w:pPr>
      <w:r w:rsidRPr="005F3CB4">
        <w:rPr>
          <w:rFonts w:ascii="Arial" w:hAnsi="Arial" w:cs="Arial"/>
          <w:sz w:val="22"/>
        </w:rPr>
        <w:t>Inicio del Proceso Electoral Extraordinario</w:t>
      </w:r>
    </w:p>
    <w:p w14:paraId="0C1AF222" w14:textId="38FDBB40" w:rsidR="00136EF8" w:rsidRDefault="00136EF8" w:rsidP="00DA23AF">
      <w:pPr>
        <w:widowControl w:val="0"/>
        <w:spacing w:line="281" w:lineRule="auto"/>
        <w:rPr>
          <w:rFonts w:ascii="Arial" w:hAnsi="Arial" w:cs="Arial"/>
          <w:sz w:val="22"/>
        </w:rPr>
      </w:pPr>
      <w:r w:rsidRPr="005F3CB4">
        <w:rPr>
          <w:rFonts w:ascii="Arial" w:hAnsi="Arial" w:cs="Arial"/>
          <w:sz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79055419" w14:textId="77777777" w:rsidR="00103D44" w:rsidRPr="005F3CB4" w:rsidRDefault="00103D44" w:rsidP="00DA23AF">
      <w:pPr>
        <w:widowControl w:val="0"/>
        <w:spacing w:line="281" w:lineRule="auto"/>
        <w:rPr>
          <w:rFonts w:ascii="Arial" w:hAnsi="Arial" w:cs="Arial"/>
          <w:sz w:val="22"/>
        </w:rPr>
      </w:pPr>
    </w:p>
    <w:p w14:paraId="00C7C258" w14:textId="77777777" w:rsidR="00136EF8" w:rsidRPr="005F3CB4" w:rsidRDefault="00136EF8" w:rsidP="00DA23AF">
      <w:pPr>
        <w:pStyle w:val="Ttulo2"/>
        <w:keepNext w:val="0"/>
        <w:widowControl w:val="0"/>
        <w:rPr>
          <w:rFonts w:ascii="Arial" w:hAnsi="Arial" w:cs="Arial"/>
          <w:sz w:val="22"/>
        </w:rPr>
      </w:pPr>
      <w:r w:rsidRPr="005F3CB4">
        <w:rPr>
          <w:rFonts w:ascii="Arial" w:hAnsi="Arial" w:cs="Arial"/>
          <w:sz w:val="22"/>
        </w:rPr>
        <w:lastRenderedPageBreak/>
        <w:t>Reforma a la Ley Electoral</w:t>
      </w:r>
    </w:p>
    <w:p w14:paraId="0A776218"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6EFE0B14" w14:textId="77777777" w:rsidR="00136EF8" w:rsidRPr="005F3CB4" w:rsidRDefault="00136EF8" w:rsidP="00DA23AF">
      <w:pPr>
        <w:pStyle w:val="Ttulo2"/>
        <w:keepNext w:val="0"/>
        <w:widowControl w:val="0"/>
        <w:rPr>
          <w:rFonts w:ascii="Arial" w:hAnsi="Arial" w:cs="Arial"/>
          <w:sz w:val="22"/>
        </w:rPr>
      </w:pPr>
      <w:r w:rsidRPr="005F3CB4">
        <w:rPr>
          <w:rFonts w:ascii="Arial" w:hAnsi="Arial" w:cs="Arial"/>
          <w:sz w:val="22"/>
        </w:rPr>
        <w:t>Jornada electoral</w:t>
      </w:r>
    </w:p>
    <w:p w14:paraId="22FBFFE5" w14:textId="77777777" w:rsidR="00136EF8" w:rsidRPr="005F3CB4" w:rsidRDefault="00136EF8" w:rsidP="00DA23AF">
      <w:pPr>
        <w:widowControl w:val="0"/>
        <w:spacing w:line="281" w:lineRule="auto"/>
        <w:rPr>
          <w:rFonts w:ascii="Arial" w:hAnsi="Arial" w:cs="Arial"/>
          <w:sz w:val="22"/>
        </w:rPr>
      </w:pPr>
      <w:r w:rsidRPr="005F3CB4">
        <w:rPr>
          <w:rFonts w:ascii="Arial" w:hAnsi="Arial" w:cs="Arial"/>
          <w:sz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5B0E410D" w14:textId="77777777" w:rsidR="00043A66" w:rsidRPr="005F3CB4" w:rsidRDefault="00043A66" w:rsidP="00DA23AF">
      <w:pPr>
        <w:pStyle w:val="Ttulo2"/>
        <w:keepNext w:val="0"/>
        <w:widowControl w:val="0"/>
        <w:rPr>
          <w:rFonts w:ascii="Arial" w:hAnsi="Arial" w:cs="Arial"/>
          <w:sz w:val="22"/>
        </w:rPr>
      </w:pPr>
      <w:r w:rsidRPr="005F3CB4">
        <w:rPr>
          <w:rFonts w:ascii="Arial" w:hAnsi="Arial" w:cs="Arial"/>
          <w:sz w:val="22"/>
        </w:rPr>
        <w:t>Presentación de la propuesta</w:t>
      </w:r>
    </w:p>
    <w:p w14:paraId="4CE2837D" w14:textId="7D87068F" w:rsidR="00043A66" w:rsidRPr="005F3CB4" w:rsidRDefault="00043A66" w:rsidP="00DA23AF">
      <w:pPr>
        <w:widowControl w:val="0"/>
        <w:spacing w:line="281" w:lineRule="auto"/>
        <w:rPr>
          <w:rFonts w:ascii="Arial" w:hAnsi="Arial" w:cs="Arial"/>
          <w:sz w:val="22"/>
        </w:rPr>
      </w:pPr>
      <w:r w:rsidRPr="005F3CB4">
        <w:rPr>
          <w:rFonts w:ascii="Arial" w:hAnsi="Arial" w:cs="Arial"/>
          <w:sz w:val="22"/>
        </w:rPr>
        <w:t xml:space="preserve">El 24 de marzo de 2025, la </w:t>
      </w:r>
      <w:r w:rsidR="00461EAD" w:rsidRPr="005F3CB4">
        <w:rPr>
          <w:rFonts w:ascii="Arial" w:hAnsi="Arial" w:cs="Arial"/>
          <w:sz w:val="22"/>
        </w:rPr>
        <w:t>Secretaria Té</w:t>
      </w:r>
      <w:r w:rsidRPr="005F3CB4">
        <w:rPr>
          <w:rFonts w:ascii="Arial" w:hAnsi="Arial" w:cs="Arial"/>
          <w:sz w:val="22"/>
        </w:rPr>
        <w:t>cnica de la Comisión</w:t>
      </w:r>
      <w:r w:rsidR="004B044B" w:rsidRPr="005F3CB4">
        <w:rPr>
          <w:rFonts w:ascii="Arial" w:hAnsi="Arial" w:cs="Arial"/>
          <w:sz w:val="22"/>
        </w:rPr>
        <w:t xml:space="preserve"> </w:t>
      </w:r>
      <w:r w:rsidRPr="005F3CB4">
        <w:rPr>
          <w:rFonts w:ascii="Arial" w:hAnsi="Arial" w:cs="Arial"/>
          <w:sz w:val="22"/>
        </w:rPr>
        <w:t>remitió a la Presidencia del Consejo, la propuesta relativa al Programa Operativo para la Implementación de la Red de Mujeres Juzgadoras: Candidatas y Electas en Tabasco con motivo del Proceso Electoral Extraordinario formulado por dicha Comisión; lo anterior, para efectos de someterlo a la deliberación de este Consejo Estatal.</w:t>
      </w:r>
    </w:p>
    <w:p w14:paraId="2BFA7447" w14:textId="77777777" w:rsidR="004D6ABC" w:rsidRPr="005F3CB4" w:rsidRDefault="004D6ABC" w:rsidP="00DA23AF">
      <w:pPr>
        <w:pStyle w:val="Ttulo1"/>
        <w:widowControl w:val="0"/>
        <w:rPr>
          <w:rFonts w:ascii="Arial" w:hAnsi="Arial" w:cs="Arial"/>
          <w:sz w:val="24"/>
        </w:rPr>
      </w:pPr>
      <w:r w:rsidRPr="005F3CB4">
        <w:rPr>
          <w:rFonts w:ascii="Arial" w:hAnsi="Arial" w:cs="Arial"/>
          <w:sz w:val="24"/>
        </w:rPr>
        <w:t>Considerando</w:t>
      </w:r>
    </w:p>
    <w:p w14:paraId="424B9B90" w14:textId="77777777" w:rsidR="004D6ABC" w:rsidRPr="005F3CB4" w:rsidRDefault="004D6ABC" w:rsidP="00103D44">
      <w:pPr>
        <w:pStyle w:val="Ttulo2"/>
        <w:keepNext w:val="0"/>
        <w:widowControl w:val="0"/>
        <w:spacing w:before="240"/>
        <w:ind w:left="578" w:hanging="578"/>
        <w:rPr>
          <w:rFonts w:ascii="Arial" w:hAnsi="Arial" w:cs="Arial"/>
          <w:sz w:val="22"/>
        </w:rPr>
      </w:pPr>
      <w:r w:rsidRPr="005F3CB4">
        <w:rPr>
          <w:rFonts w:ascii="Arial" w:hAnsi="Arial" w:cs="Arial"/>
          <w:sz w:val="22"/>
        </w:rPr>
        <w:t>Competencia del Consejo Estatal</w:t>
      </w:r>
    </w:p>
    <w:p w14:paraId="016E1BD8" w14:textId="52A77779" w:rsidR="009F12A9" w:rsidRPr="005F3CB4" w:rsidRDefault="004D6ABC" w:rsidP="00DA23AF">
      <w:pPr>
        <w:widowControl w:val="0"/>
        <w:spacing w:line="281" w:lineRule="auto"/>
        <w:rPr>
          <w:rFonts w:ascii="Arial" w:hAnsi="Arial" w:cs="Arial"/>
          <w:sz w:val="22"/>
        </w:rPr>
      </w:pPr>
      <w:r w:rsidRPr="005F3CB4">
        <w:rPr>
          <w:rFonts w:ascii="Arial" w:hAnsi="Arial" w:cs="Arial"/>
          <w:sz w:val="22"/>
        </w:rPr>
        <w:t xml:space="preserve">Que, de conformidad con los artículos 115 numeral 1, </w:t>
      </w:r>
      <w:r w:rsidR="009F12A9" w:rsidRPr="005F3CB4">
        <w:rPr>
          <w:rFonts w:ascii="Arial" w:hAnsi="Arial" w:cs="Arial"/>
          <w:sz w:val="22"/>
        </w:rPr>
        <w:t>fracciones XI y XL de la Ley Electoral, corresponde al Consejo Estatal, desarrollar y ejecutar los programas en el estado de educación cívica, paridad de género y respeto de los derechos humanos de las mujeres en el ámbito político electoral; así como, organizar el proceso electivo de las personas juzgadoras, su jornada electoral y los cómputos de los resultados electorales, en los términos que determine la Ley General y dicha Ley.</w:t>
      </w:r>
    </w:p>
    <w:p w14:paraId="2AF465F1" w14:textId="77777777" w:rsidR="008F2623" w:rsidRPr="005F3CB4" w:rsidRDefault="008F2623" w:rsidP="008F2623">
      <w:pPr>
        <w:widowControl w:val="0"/>
        <w:rPr>
          <w:rFonts w:ascii="Arial" w:hAnsi="Arial" w:cs="Arial"/>
          <w:sz w:val="22"/>
        </w:rPr>
      </w:pPr>
      <w:r w:rsidRPr="005F3CB4">
        <w:rPr>
          <w:rFonts w:ascii="Arial" w:hAnsi="Arial" w:cs="Arial"/>
          <w:sz w:val="22"/>
        </w:rPr>
        <w:lastRenderedPageBreak/>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687E487C" w14:textId="579587F1" w:rsidR="005F7DA6" w:rsidRPr="005F3CB4" w:rsidRDefault="005F7DA6" w:rsidP="00DA23AF">
      <w:pPr>
        <w:pStyle w:val="Ttulo2"/>
        <w:keepNext w:val="0"/>
        <w:widowControl w:val="0"/>
        <w:rPr>
          <w:rFonts w:ascii="Arial" w:hAnsi="Arial" w:cs="Arial"/>
          <w:sz w:val="22"/>
        </w:rPr>
      </w:pPr>
      <w:r w:rsidRPr="005F3CB4">
        <w:rPr>
          <w:rFonts w:ascii="Arial" w:hAnsi="Arial" w:cs="Arial"/>
          <w:sz w:val="22"/>
        </w:rPr>
        <w:t xml:space="preserve">Promoción, respecto, protección y garantía de los derechos humanos </w:t>
      </w:r>
    </w:p>
    <w:p w14:paraId="6DAC9129" w14:textId="77777777" w:rsidR="005F7DA6" w:rsidRPr="005F3CB4" w:rsidRDefault="005F7DA6" w:rsidP="00DA23AF">
      <w:pPr>
        <w:widowControl w:val="0"/>
        <w:spacing w:line="281" w:lineRule="auto"/>
        <w:rPr>
          <w:rFonts w:ascii="Arial" w:hAnsi="Arial" w:cs="Arial"/>
          <w:sz w:val="22"/>
        </w:rPr>
      </w:pPr>
      <w:r w:rsidRPr="005F3CB4">
        <w:rPr>
          <w:rFonts w:ascii="Arial" w:hAnsi="Arial" w:cs="Arial"/>
          <w:sz w:val="22"/>
        </w:rPr>
        <w:t>Que, de conformidad con los artículos 1 y 2 de la Declaración Universal de los Derechos Humanos, los seres humanos nacen libres e iguales en dignidad y derechos, dotados de razón y conciencia, por lo que deben de comportarse fraternalmente los unos a los otros. Asimismo, se reconoce los derechos y libertades con los que se les proclama en dicha declaración, sin distinción de raza, color, sexo, idioma, religión, opinión política, origen nacional o social, posición económica, nacimiento o cualquier otra condición.</w:t>
      </w:r>
    </w:p>
    <w:p w14:paraId="79982BA3" w14:textId="1B5D1A90" w:rsidR="005F7DA6" w:rsidRPr="005F3CB4" w:rsidRDefault="005F7DA6" w:rsidP="00DA23AF">
      <w:pPr>
        <w:widowControl w:val="0"/>
        <w:spacing w:line="281" w:lineRule="auto"/>
        <w:rPr>
          <w:rFonts w:ascii="Arial" w:hAnsi="Arial" w:cs="Arial"/>
          <w:sz w:val="22"/>
        </w:rPr>
      </w:pPr>
      <w:r w:rsidRPr="005F3CB4">
        <w:rPr>
          <w:rFonts w:ascii="Arial" w:hAnsi="Arial" w:cs="Arial"/>
          <w:sz w:val="22"/>
        </w:rPr>
        <w:t>Por su parte, el artículo 1 de la Constitución Federal impone a todas las autoridades, en el ámbito de sus competencias, la obligación de promover, respetar, proteger y garantizar los derechos humanos de conformidad con los principios de universalidad, inalienabilidad, interdependencia, indivisibilidad y progresividad.</w:t>
      </w:r>
    </w:p>
    <w:p w14:paraId="6BE28D9E" w14:textId="77777777" w:rsidR="005F7DA6" w:rsidRPr="005F3CB4" w:rsidRDefault="005F7DA6" w:rsidP="00DA23AF">
      <w:pPr>
        <w:widowControl w:val="0"/>
        <w:spacing w:line="281" w:lineRule="auto"/>
        <w:rPr>
          <w:rFonts w:ascii="Arial" w:hAnsi="Arial" w:cs="Arial"/>
          <w:sz w:val="22"/>
        </w:rPr>
      </w:pPr>
      <w:r w:rsidRPr="005F3CB4">
        <w:rPr>
          <w:rFonts w:ascii="Arial" w:hAnsi="Arial" w:cs="Arial"/>
          <w:sz w:val="22"/>
        </w:rPr>
        <w:t>En ese tenor, el párrafo quinto del articulo indicado refiere que se encuentra prohibida toda discriminación motivada por el origen étnico o nacional, el género, la edad, las discapacidades, la condición social, las condiciones de salud, la religión, las opiniones, la preferencia u orientación sexual, el estado civil o cualquier otra que atente contra la dignidad humana y tenga por objeto anular o menoscabar los derechos y libertades de las personas.</w:t>
      </w:r>
    </w:p>
    <w:p w14:paraId="14949599" w14:textId="3966F440" w:rsidR="005F7DA6" w:rsidRPr="005F3CB4" w:rsidRDefault="005F7DA6" w:rsidP="00DA23AF">
      <w:pPr>
        <w:widowControl w:val="0"/>
        <w:spacing w:line="281" w:lineRule="auto"/>
        <w:rPr>
          <w:rFonts w:ascii="Arial" w:hAnsi="Arial" w:cs="Arial"/>
          <w:sz w:val="22"/>
        </w:rPr>
      </w:pPr>
      <w:r w:rsidRPr="005F3CB4">
        <w:rPr>
          <w:rFonts w:ascii="Arial" w:hAnsi="Arial" w:cs="Arial"/>
          <w:sz w:val="22"/>
        </w:rPr>
        <w:t>En el caso de las autoridades electorales, el artículo 3 numeral 3 de la Ley Electoral refiere que están obligadas para el cumplimiento de sus funciones electorales, a regir su actividad bajo los principios de certeza, legalidad, independencia, inclusión, imparcialidad, máxima publicidad, transparencia, rendición de cuentas, objetividad, paridad, interculturalidad; además de realizarlas con perspectiva de género y enfoque de derechos humanos.</w:t>
      </w:r>
    </w:p>
    <w:p w14:paraId="6742AE48" w14:textId="325383E1" w:rsidR="00993AB3" w:rsidRPr="005F3CB4" w:rsidRDefault="00993AB3" w:rsidP="00103D44">
      <w:pPr>
        <w:pStyle w:val="Ttulo2"/>
        <w:keepNext w:val="0"/>
        <w:widowControl w:val="0"/>
        <w:spacing w:before="240"/>
        <w:ind w:left="578" w:hanging="578"/>
        <w:rPr>
          <w:rFonts w:ascii="Arial" w:hAnsi="Arial" w:cs="Arial"/>
          <w:sz w:val="22"/>
        </w:rPr>
      </w:pPr>
      <w:r w:rsidRPr="005F3CB4">
        <w:rPr>
          <w:rFonts w:ascii="Arial" w:hAnsi="Arial" w:cs="Arial"/>
          <w:sz w:val="22"/>
        </w:rPr>
        <w:t>Principio de igualdad y no discriminación en la Constitución Local</w:t>
      </w:r>
    </w:p>
    <w:p w14:paraId="7F260A67" w14:textId="00AE73B1" w:rsidR="00993AB3" w:rsidRDefault="00993AB3" w:rsidP="00DA23AF">
      <w:pPr>
        <w:widowControl w:val="0"/>
        <w:spacing w:line="281" w:lineRule="auto"/>
        <w:rPr>
          <w:rFonts w:ascii="Arial" w:hAnsi="Arial" w:cs="Arial"/>
          <w:sz w:val="22"/>
        </w:rPr>
      </w:pPr>
      <w:r w:rsidRPr="005F3CB4">
        <w:rPr>
          <w:rFonts w:ascii="Arial" w:hAnsi="Arial" w:cs="Arial"/>
          <w:sz w:val="22"/>
        </w:rPr>
        <w:t xml:space="preserve">Que, acorde a lo anterior, el artículo 2 fracción VIII de la Constitución Local indica que todas las personas son iguales ante la ley. En consecuencia, tienen derecho a igual protección o </w:t>
      </w:r>
      <w:r w:rsidRPr="005F3CB4">
        <w:rPr>
          <w:rFonts w:ascii="Arial" w:hAnsi="Arial" w:cs="Arial"/>
          <w:sz w:val="22"/>
        </w:rPr>
        <w:lastRenderedPageBreak/>
        <w:t>beneficio ante la ley, sin discriminación, quedando prohibido en el Estado toda forma de discriminación motivada por el origen étnico o nacional, el género, la edad, la lengua o idioma, religión, costumbre, opiniones, preferencias, condición social, salud, estado civil o cualquier otra que atente contra la dignidad humana y tenga por objeto anular o menoscabar los derechos y las libertades de las personas</w:t>
      </w:r>
      <w:r w:rsidR="00355285" w:rsidRPr="005F3CB4">
        <w:rPr>
          <w:rFonts w:ascii="Arial" w:hAnsi="Arial" w:cs="Arial"/>
          <w:sz w:val="22"/>
        </w:rPr>
        <w:t>.</w:t>
      </w:r>
    </w:p>
    <w:p w14:paraId="7A31536F" w14:textId="77777777" w:rsidR="00355285" w:rsidRPr="005F3CB4" w:rsidRDefault="00355285" w:rsidP="005F3CB4">
      <w:pPr>
        <w:pStyle w:val="Ttulo2"/>
        <w:keepNext w:val="0"/>
        <w:widowControl w:val="0"/>
        <w:spacing w:before="0"/>
        <w:ind w:left="578" w:hanging="578"/>
        <w:rPr>
          <w:rFonts w:ascii="Arial" w:hAnsi="Arial" w:cs="Arial"/>
          <w:sz w:val="22"/>
        </w:rPr>
      </w:pPr>
      <w:r w:rsidRPr="005F3CB4">
        <w:rPr>
          <w:rFonts w:ascii="Arial" w:hAnsi="Arial" w:cs="Arial"/>
          <w:sz w:val="22"/>
        </w:rPr>
        <w:t>Ejercicio de los derechos político-electorales</w:t>
      </w:r>
    </w:p>
    <w:p w14:paraId="515AB7FE" w14:textId="4F205EE8" w:rsidR="00355285" w:rsidRPr="005F3CB4" w:rsidRDefault="00355285" w:rsidP="00DA23AF">
      <w:pPr>
        <w:widowControl w:val="0"/>
        <w:spacing w:line="281" w:lineRule="auto"/>
        <w:rPr>
          <w:rFonts w:ascii="Arial" w:hAnsi="Arial" w:cs="Arial"/>
          <w:sz w:val="22"/>
        </w:rPr>
      </w:pPr>
      <w:r w:rsidRPr="005F3CB4">
        <w:rPr>
          <w:rFonts w:ascii="Arial" w:hAnsi="Arial" w:cs="Arial"/>
          <w:sz w:val="22"/>
        </w:rPr>
        <w:t>Que, el artículo 5 numeral 6 de la Ley Electoral señala que los derechos político-electorales se ejercerán libres de violencia política,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p>
    <w:p w14:paraId="53E88FE5" w14:textId="77777777" w:rsidR="003376E7" w:rsidRPr="005F3CB4" w:rsidRDefault="003376E7" w:rsidP="00103D44">
      <w:pPr>
        <w:pStyle w:val="Ttulo2"/>
        <w:keepNext w:val="0"/>
        <w:widowControl w:val="0"/>
        <w:spacing w:before="360"/>
        <w:ind w:left="578" w:hanging="578"/>
        <w:rPr>
          <w:rFonts w:ascii="Arial" w:hAnsi="Arial" w:cs="Arial"/>
          <w:sz w:val="22"/>
        </w:rPr>
      </w:pPr>
      <w:r w:rsidRPr="005F3CB4">
        <w:rPr>
          <w:rFonts w:ascii="Arial" w:hAnsi="Arial" w:cs="Arial"/>
          <w:sz w:val="22"/>
        </w:rPr>
        <w:t>Violencia Política contra las Mujeres en Razón de Género</w:t>
      </w:r>
    </w:p>
    <w:p w14:paraId="1BE531AA" w14:textId="55416D00" w:rsidR="003376E7" w:rsidRPr="005F3CB4" w:rsidRDefault="003376E7" w:rsidP="00DA23AF">
      <w:pPr>
        <w:widowControl w:val="0"/>
        <w:spacing w:line="281" w:lineRule="auto"/>
        <w:rPr>
          <w:rFonts w:ascii="Arial" w:hAnsi="Arial" w:cs="Arial"/>
          <w:sz w:val="22"/>
        </w:rPr>
      </w:pPr>
      <w:r w:rsidRPr="005F3CB4">
        <w:rPr>
          <w:rFonts w:ascii="Arial" w:hAnsi="Arial" w:cs="Arial"/>
          <w:sz w:val="22"/>
        </w:rPr>
        <w:t>Que, en términos del artículo 2 numeral 1, fracción XVIII de la Ley Electoral. la VPMRG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4FED6882" w14:textId="77777777" w:rsidR="003376E7" w:rsidRPr="005F3CB4" w:rsidRDefault="003376E7" w:rsidP="00DA23AF">
      <w:pPr>
        <w:widowControl w:val="0"/>
        <w:spacing w:line="281" w:lineRule="auto"/>
        <w:rPr>
          <w:rFonts w:ascii="Arial" w:hAnsi="Arial" w:cs="Arial"/>
          <w:sz w:val="22"/>
        </w:rPr>
      </w:pPr>
      <w:r w:rsidRPr="005F3CB4">
        <w:rPr>
          <w:rFonts w:ascii="Arial" w:hAnsi="Arial" w:cs="Arial"/>
          <w:sz w:val="22"/>
        </w:rPr>
        <w:t>Además, se entiende que todas las acciones u omisiones se basan en elementos de género, cando se dirijan a una mujer por hecho de serlo, le afecten desproporcionadamente o tengan un impacto diferenciado en ella.</w:t>
      </w:r>
    </w:p>
    <w:p w14:paraId="631375E7" w14:textId="239ACD44" w:rsidR="003376E7" w:rsidRDefault="003376E7" w:rsidP="00DA23AF">
      <w:pPr>
        <w:widowControl w:val="0"/>
        <w:spacing w:line="281" w:lineRule="auto"/>
        <w:rPr>
          <w:rFonts w:ascii="Arial" w:hAnsi="Arial" w:cs="Arial"/>
          <w:sz w:val="22"/>
        </w:rPr>
      </w:pPr>
      <w:r w:rsidRPr="005F3CB4">
        <w:rPr>
          <w:rFonts w:ascii="Arial" w:hAnsi="Arial" w:cs="Arial"/>
          <w:sz w:val="22"/>
        </w:rPr>
        <w:t xml:space="preserve">Puede manifestarse en cualquiera de los tipos de violencia reconocidos en la </w:t>
      </w:r>
      <w:r w:rsidR="00E82C65" w:rsidRPr="005F3CB4">
        <w:rPr>
          <w:rFonts w:ascii="Arial" w:hAnsi="Arial" w:cs="Arial"/>
          <w:sz w:val="22"/>
        </w:rPr>
        <w:t>Ley General de Acceso de las Mujeres a una Vida Libre de Violencia</w:t>
      </w:r>
      <w:r w:rsidRPr="005F3CB4">
        <w:rPr>
          <w:rFonts w:ascii="Arial" w:hAnsi="Arial" w:cs="Arial"/>
          <w:sz w:val="22"/>
        </w:rPr>
        <w:t xml:space="preserve"> o en la </w:t>
      </w:r>
      <w:r w:rsidR="00E82C65" w:rsidRPr="005F3CB4">
        <w:rPr>
          <w:rFonts w:ascii="Arial" w:hAnsi="Arial" w:cs="Arial"/>
          <w:sz w:val="22"/>
        </w:rPr>
        <w:t>Ley Estatal de Acceso de las Mujeres a una Vida Libre de Violencia</w:t>
      </w:r>
      <w:r w:rsidRPr="005F3CB4">
        <w:rPr>
          <w:rFonts w:ascii="Arial" w:hAnsi="Arial" w:cs="Arial"/>
          <w:sz w:val="22"/>
        </w:rPr>
        <w:t>, y puede ser perpetrada indistintamente por agentes estatales, por superiores jerárquicos, colegas de trabajo, personas dirigentes de partidos políticos, militantes, simpatizantes, precandidatas o precandidatos, candidatas o candidatos postulados por los partidos políticos o representantes de los mismos; medios de comunicación y sus integrantes, por un particular o por un grupo de personas particulares.</w:t>
      </w:r>
    </w:p>
    <w:p w14:paraId="04C16FC4" w14:textId="77777777" w:rsidR="00103D44" w:rsidRPr="005F3CB4" w:rsidRDefault="00103D44" w:rsidP="00DA23AF">
      <w:pPr>
        <w:widowControl w:val="0"/>
        <w:spacing w:line="281" w:lineRule="auto"/>
        <w:rPr>
          <w:rFonts w:ascii="Arial" w:hAnsi="Arial" w:cs="Arial"/>
          <w:sz w:val="22"/>
        </w:rPr>
      </w:pPr>
    </w:p>
    <w:p w14:paraId="070C5B2B" w14:textId="23625AA4" w:rsidR="003376E7" w:rsidRPr="005F3CB4" w:rsidRDefault="003376E7" w:rsidP="00103D44">
      <w:pPr>
        <w:pStyle w:val="Ttulo2"/>
        <w:keepNext w:val="0"/>
        <w:widowControl w:val="0"/>
        <w:spacing w:before="360"/>
        <w:ind w:left="578" w:hanging="578"/>
        <w:rPr>
          <w:rFonts w:ascii="Arial" w:hAnsi="Arial" w:cs="Arial"/>
          <w:sz w:val="22"/>
        </w:rPr>
      </w:pPr>
      <w:r w:rsidRPr="005F3CB4">
        <w:rPr>
          <w:rFonts w:ascii="Arial" w:hAnsi="Arial" w:cs="Arial"/>
          <w:sz w:val="22"/>
        </w:rPr>
        <w:lastRenderedPageBreak/>
        <w:t>Proceso electoral de personas juzgadoras</w:t>
      </w:r>
    </w:p>
    <w:p w14:paraId="001242DD" w14:textId="77777777" w:rsidR="003376E7" w:rsidRPr="005F3CB4" w:rsidRDefault="003376E7" w:rsidP="00DA23AF">
      <w:pPr>
        <w:widowControl w:val="0"/>
        <w:spacing w:line="281" w:lineRule="auto"/>
        <w:rPr>
          <w:rFonts w:ascii="Arial" w:hAnsi="Arial" w:cs="Arial"/>
          <w:sz w:val="22"/>
        </w:rPr>
      </w:pPr>
      <w:r w:rsidRPr="005F3CB4">
        <w:rPr>
          <w:rFonts w:ascii="Arial" w:hAnsi="Arial" w:cs="Arial"/>
          <w:sz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6952835A" w14:textId="468ACD27" w:rsidR="003376E7" w:rsidRPr="005F3CB4" w:rsidRDefault="009543FF" w:rsidP="00DA23AF">
      <w:pPr>
        <w:pStyle w:val="Ttulo2"/>
        <w:keepNext w:val="0"/>
        <w:widowControl w:val="0"/>
        <w:rPr>
          <w:rFonts w:ascii="Arial" w:hAnsi="Arial" w:cs="Arial"/>
          <w:sz w:val="22"/>
        </w:rPr>
      </w:pPr>
      <w:r w:rsidRPr="005F3CB4">
        <w:rPr>
          <w:rFonts w:ascii="Arial" w:hAnsi="Arial" w:cs="Arial"/>
          <w:sz w:val="22"/>
        </w:rPr>
        <w:t>Atribuciones de la Comisión</w:t>
      </w:r>
    </w:p>
    <w:p w14:paraId="35A45919" w14:textId="208112B9" w:rsidR="009543FF" w:rsidRPr="005F3CB4" w:rsidRDefault="009543FF" w:rsidP="00786BDF">
      <w:pPr>
        <w:widowControl w:val="0"/>
        <w:spacing w:line="281" w:lineRule="auto"/>
        <w:rPr>
          <w:rFonts w:ascii="Arial" w:hAnsi="Arial" w:cs="Arial"/>
          <w:sz w:val="22"/>
        </w:rPr>
      </w:pPr>
      <w:r w:rsidRPr="005F3CB4">
        <w:rPr>
          <w:rFonts w:ascii="Arial" w:hAnsi="Arial" w:cs="Arial"/>
          <w:sz w:val="22"/>
        </w:rPr>
        <w:t xml:space="preserve">Que, </w:t>
      </w:r>
      <w:r w:rsidR="00786BDF" w:rsidRPr="005F3CB4">
        <w:rPr>
          <w:rFonts w:ascii="Arial" w:hAnsi="Arial" w:cs="Arial"/>
          <w:sz w:val="22"/>
        </w:rPr>
        <w:t>de la interpretación sistemática y funcional de los artículos 113 de la Ley Electoral y 19, numeral 1, fracción I, II, III y IV del Reglamento de Comisiones, la Comisión, es el órgano auxiliar del Consejo Estatal, que tiene entre otras funciones, formular recomendaciones y sugerir directrices a la Unidad Técnica de Igualdad de Género y No Discriminación, para el cumplimiento del plan de trabajo de la Comisión, así como proponer al referido Consejo, políticas y programas generales que garanticen el respeto de los derechos políticos electorales de las mujeres y grupos vulnerables, así como dar cumplimiento y seguimiento a los protocolos e instrumentos jurídicos para atender la violencia política contra las mujeres en razón de género y la importancia de la paridad de género.</w:t>
      </w:r>
    </w:p>
    <w:p w14:paraId="42D1090D" w14:textId="0FBC773E" w:rsidR="004E1EEF" w:rsidRPr="005F3CB4" w:rsidRDefault="004E1EEF" w:rsidP="00DA23AF">
      <w:pPr>
        <w:pStyle w:val="Ttulo2"/>
        <w:keepNext w:val="0"/>
        <w:widowControl w:val="0"/>
        <w:rPr>
          <w:rFonts w:ascii="Arial" w:hAnsi="Arial" w:cs="Arial"/>
          <w:sz w:val="22"/>
        </w:rPr>
      </w:pPr>
      <w:r w:rsidRPr="005F3CB4">
        <w:rPr>
          <w:rFonts w:ascii="Arial" w:hAnsi="Arial" w:cs="Arial"/>
          <w:sz w:val="22"/>
        </w:rPr>
        <w:t xml:space="preserve">Programa Operativo de la Red de Mujeres Juzgadoras: Candidatas y Electas en Tabasco para el Proceso Electoral Extraordinario </w:t>
      </w:r>
    </w:p>
    <w:p w14:paraId="6F945AC9" w14:textId="093F209F" w:rsidR="004E1EEF" w:rsidRPr="005F3CB4" w:rsidRDefault="004E1EEF" w:rsidP="00DA23AF">
      <w:pPr>
        <w:widowControl w:val="0"/>
        <w:spacing w:line="281" w:lineRule="auto"/>
        <w:rPr>
          <w:rFonts w:ascii="Arial" w:hAnsi="Arial" w:cs="Arial"/>
          <w:sz w:val="22"/>
        </w:rPr>
      </w:pPr>
      <w:r w:rsidRPr="005F3CB4">
        <w:rPr>
          <w:rFonts w:ascii="Arial" w:hAnsi="Arial" w:cs="Arial"/>
          <w:sz w:val="22"/>
        </w:rPr>
        <w:t xml:space="preserve">Que, este órgano electoral para el proceso electoral inmediato anterior implementó </w:t>
      </w:r>
      <w:r w:rsidR="00A666B9" w:rsidRPr="005F3CB4">
        <w:rPr>
          <w:rFonts w:ascii="Arial" w:hAnsi="Arial" w:cs="Arial"/>
          <w:sz w:val="22"/>
        </w:rPr>
        <w:t xml:space="preserve">el Programa de </w:t>
      </w:r>
      <w:r w:rsidRPr="005F3CB4">
        <w:rPr>
          <w:rFonts w:ascii="Arial" w:hAnsi="Arial" w:cs="Arial"/>
          <w:sz w:val="22"/>
        </w:rPr>
        <w:t xml:space="preserve">Red de Mujeres </w:t>
      </w:r>
      <w:r w:rsidR="00512132" w:rsidRPr="005F3CB4">
        <w:rPr>
          <w:rFonts w:ascii="Arial" w:hAnsi="Arial" w:cs="Arial"/>
          <w:sz w:val="22"/>
        </w:rPr>
        <w:t>Candidatas</w:t>
      </w:r>
      <w:r w:rsidR="00A666B9" w:rsidRPr="005F3CB4">
        <w:rPr>
          <w:rFonts w:ascii="Arial" w:hAnsi="Arial" w:cs="Arial"/>
          <w:sz w:val="22"/>
        </w:rPr>
        <w:t xml:space="preserve">, el cual </w:t>
      </w:r>
      <w:r w:rsidRPr="005F3CB4">
        <w:rPr>
          <w:rFonts w:ascii="Arial" w:hAnsi="Arial" w:cs="Arial"/>
          <w:sz w:val="22"/>
        </w:rPr>
        <w:t>tuvo como propósito dar seguimiento a la participación política de las mujeres inscritas a la Red, orientar y acompañar en casos de denuncias por VPMRG y llevar un registro de las mujeres inscritas a la Red, así como de las denuncias que se presenten por la comisión de este tipo de conductas.</w:t>
      </w:r>
    </w:p>
    <w:p w14:paraId="16A21C7E" w14:textId="094FF7C2" w:rsidR="004E1EEF" w:rsidRPr="005F3CB4" w:rsidRDefault="00A666B9" w:rsidP="00DA23AF">
      <w:pPr>
        <w:widowControl w:val="0"/>
        <w:spacing w:line="281" w:lineRule="auto"/>
        <w:rPr>
          <w:rFonts w:ascii="Arial" w:hAnsi="Arial" w:cs="Arial"/>
          <w:sz w:val="22"/>
        </w:rPr>
      </w:pPr>
      <w:r w:rsidRPr="005F3CB4">
        <w:rPr>
          <w:rFonts w:ascii="Arial" w:hAnsi="Arial" w:cs="Arial"/>
          <w:sz w:val="22"/>
        </w:rPr>
        <w:t xml:space="preserve">A partir de lo anterior, en seguimiento a las obligaciones contraídas </w:t>
      </w:r>
      <w:r w:rsidR="002577A3" w:rsidRPr="005F3CB4">
        <w:rPr>
          <w:rFonts w:ascii="Arial" w:hAnsi="Arial" w:cs="Arial"/>
          <w:sz w:val="22"/>
        </w:rPr>
        <w:t xml:space="preserve">en el Convenio de Colaboración celebrado el 31 de enero de 2025, entre el Instituto y la </w:t>
      </w:r>
      <w:r w:rsidR="006E4305" w:rsidRPr="005F3CB4">
        <w:rPr>
          <w:rFonts w:ascii="Arial" w:hAnsi="Arial" w:cs="Arial"/>
          <w:sz w:val="22"/>
        </w:rPr>
        <w:t>Asociación Mexicana de Consejeras y Ex Consejeras Electorales de la República Mexicana, A.C.</w:t>
      </w:r>
      <w:r w:rsidR="002577A3" w:rsidRPr="005F3CB4">
        <w:rPr>
          <w:rFonts w:ascii="Arial" w:hAnsi="Arial" w:cs="Arial"/>
          <w:sz w:val="22"/>
        </w:rPr>
        <w:t xml:space="preserve">, </w:t>
      </w:r>
      <w:r w:rsidRPr="005F3CB4">
        <w:rPr>
          <w:rFonts w:ascii="Arial" w:hAnsi="Arial" w:cs="Arial"/>
          <w:sz w:val="22"/>
        </w:rPr>
        <w:t xml:space="preserve">y, especialmente, partiendo de la obligación que tiene este órgano electoral de garantizar el ejercicio de los derechos político-electorales libre de discriminación y violencia, </w:t>
      </w:r>
      <w:r w:rsidR="00512132" w:rsidRPr="005F3CB4">
        <w:rPr>
          <w:rFonts w:ascii="Arial" w:hAnsi="Arial" w:cs="Arial"/>
          <w:sz w:val="22"/>
        </w:rPr>
        <w:t xml:space="preserve">se </w:t>
      </w:r>
      <w:r w:rsidRPr="005F3CB4">
        <w:rPr>
          <w:rFonts w:ascii="Arial" w:hAnsi="Arial" w:cs="Arial"/>
          <w:sz w:val="22"/>
        </w:rPr>
        <w:t>considera nuevamente la implementación de la Red de Mujeres</w:t>
      </w:r>
      <w:r w:rsidR="00512132" w:rsidRPr="005F3CB4">
        <w:rPr>
          <w:rFonts w:ascii="Arial" w:hAnsi="Arial" w:cs="Arial"/>
          <w:sz w:val="22"/>
        </w:rPr>
        <w:t>, pero ahora para aquellas candidatas y mujeres electas que resulten de</w:t>
      </w:r>
      <w:r w:rsidRPr="005F3CB4">
        <w:rPr>
          <w:rFonts w:ascii="Arial" w:hAnsi="Arial" w:cs="Arial"/>
          <w:sz w:val="22"/>
        </w:rPr>
        <w:t>l Proceso Electoral Extraordinario.</w:t>
      </w:r>
    </w:p>
    <w:p w14:paraId="5BE7B701" w14:textId="5E05EF5B" w:rsidR="004E1EEF" w:rsidRPr="005F3CB4" w:rsidRDefault="00A666B9" w:rsidP="00DA23AF">
      <w:pPr>
        <w:widowControl w:val="0"/>
        <w:spacing w:line="281" w:lineRule="auto"/>
        <w:rPr>
          <w:rFonts w:ascii="Arial" w:hAnsi="Arial" w:cs="Arial"/>
          <w:sz w:val="22"/>
        </w:rPr>
      </w:pPr>
      <w:r w:rsidRPr="005F3CB4">
        <w:rPr>
          <w:rFonts w:ascii="Arial" w:hAnsi="Arial" w:cs="Arial"/>
          <w:sz w:val="22"/>
        </w:rPr>
        <w:lastRenderedPageBreak/>
        <w:t xml:space="preserve">El Programa </w:t>
      </w:r>
      <w:r w:rsidR="00616826" w:rsidRPr="005F3CB4">
        <w:rPr>
          <w:rFonts w:ascii="Arial" w:hAnsi="Arial" w:cs="Arial"/>
          <w:sz w:val="22"/>
        </w:rPr>
        <w:t xml:space="preserve">atiende al propósito de implementar </w:t>
      </w:r>
      <w:r w:rsidR="004E1EEF" w:rsidRPr="005F3CB4">
        <w:rPr>
          <w:rFonts w:ascii="Arial" w:hAnsi="Arial" w:cs="Arial"/>
          <w:sz w:val="22"/>
        </w:rPr>
        <w:t xml:space="preserve">una red </w:t>
      </w:r>
      <w:r w:rsidR="00616826" w:rsidRPr="005F3CB4">
        <w:rPr>
          <w:rFonts w:ascii="Arial" w:hAnsi="Arial" w:cs="Arial"/>
          <w:sz w:val="22"/>
        </w:rPr>
        <w:t xml:space="preserve">con las </w:t>
      </w:r>
      <w:r w:rsidR="004E1EEF" w:rsidRPr="005F3CB4">
        <w:rPr>
          <w:rFonts w:ascii="Arial" w:hAnsi="Arial" w:cs="Arial"/>
          <w:sz w:val="22"/>
        </w:rPr>
        <w:t xml:space="preserve">mujeres que </w:t>
      </w:r>
      <w:r w:rsidR="00616826" w:rsidRPr="005F3CB4">
        <w:rPr>
          <w:rFonts w:ascii="Arial" w:hAnsi="Arial" w:cs="Arial"/>
          <w:sz w:val="22"/>
        </w:rPr>
        <w:t xml:space="preserve">se postularon en este Proceso Electoral Extraordinario a </w:t>
      </w:r>
      <w:r w:rsidR="004E1EEF" w:rsidRPr="005F3CB4">
        <w:rPr>
          <w:rFonts w:ascii="Arial" w:hAnsi="Arial" w:cs="Arial"/>
          <w:sz w:val="22"/>
        </w:rPr>
        <w:t>un cargo de elección popular de</w:t>
      </w:r>
      <w:r w:rsidR="00616826" w:rsidRPr="005F3CB4">
        <w:rPr>
          <w:rFonts w:ascii="Arial" w:hAnsi="Arial" w:cs="Arial"/>
          <w:sz w:val="22"/>
        </w:rPr>
        <w:t xml:space="preserve">ntro del </w:t>
      </w:r>
      <w:r w:rsidR="004E1EEF" w:rsidRPr="005F3CB4">
        <w:rPr>
          <w:rFonts w:ascii="Arial" w:hAnsi="Arial" w:cs="Arial"/>
          <w:sz w:val="22"/>
        </w:rPr>
        <w:t>Poder Judicial Local</w:t>
      </w:r>
      <w:r w:rsidR="00616826" w:rsidRPr="005F3CB4">
        <w:rPr>
          <w:rFonts w:ascii="Arial" w:hAnsi="Arial" w:cs="Arial"/>
          <w:sz w:val="22"/>
        </w:rPr>
        <w:t xml:space="preserve">; </w:t>
      </w:r>
      <w:r w:rsidR="004E1EEF" w:rsidRPr="005F3CB4">
        <w:rPr>
          <w:rFonts w:ascii="Arial" w:hAnsi="Arial" w:cs="Arial"/>
          <w:sz w:val="22"/>
        </w:rPr>
        <w:t>y</w:t>
      </w:r>
      <w:r w:rsidR="00616826" w:rsidRPr="005F3CB4">
        <w:rPr>
          <w:rFonts w:ascii="Arial" w:hAnsi="Arial" w:cs="Arial"/>
          <w:sz w:val="22"/>
        </w:rPr>
        <w:t>,</w:t>
      </w:r>
      <w:r w:rsidR="004E1EEF" w:rsidRPr="005F3CB4">
        <w:rPr>
          <w:rFonts w:ascii="Arial" w:hAnsi="Arial" w:cs="Arial"/>
          <w:sz w:val="22"/>
        </w:rPr>
        <w:t xml:space="preserve"> una vez electas, dar seguimiento e identificar casos de posible VPMRG </w:t>
      </w:r>
      <w:r w:rsidR="00616826" w:rsidRPr="005F3CB4">
        <w:rPr>
          <w:rFonts w:ascii="Arial" w:hAnsi="Arial" w:cs="Arial"/>
          <w:sz w:val="22"/>
        </w:rPr>
        <w:t xml:space="preserve">para su </w:t>
      </w:r>
      <w:r w:rsidR="004E1EEF" w:rsidRPr="005F3CB4">
        <w:rPr>
          <w:rFonts w:ascii="Arial" w:hAnsi="Arial" w:cs="Arial"/>
          <w:sz w:val="22"/>
        </w:rPr>
        <w:t xml:space="preserve">acompañamiento </w:t>
      </w:r>
      <w:r w:rsidR="00616826" w:rsidRPr="005F3CB4">
        <w:rPr>
          <w:rFonts w:ascii="Arial" w:hAnsi="Arial" w:cs="Arial"/>
          <w:sz w:val="22"/>
        </w:rPr>
        <w:t xml:space="preserve">en </w:t>
      </w:r>
      <w:r w:rsidR="004E1EEF" w:rsidRPr="005F3CB4">
        <w:rPr>
          <w:rFonts w:ascii="Arial" w:hAnsi="Arial" w:cs="Arial"/>
          <w:sz w:val="22"/>
        </w:rPr>
        <w:t>la presentación de la denuncia correspondiente.</w:t>
      </w:r>
    </w:p>
    <w:p w14:paraId="40DC9A0E" w14:textId="23E0D3E4" w:rsidR="004E1EEF" w:rsidRPr="005F3CB4" w:rsidRDefault="004E1EEF" w:rsidP="00DA23AF">
      <w:pPr>
        <w:widowControl w:val="0"/>
        <w:spacing w:line="281" w:lineRule="auto"/>
        <w:rPr>
          <w:rFonts w:ascii="Arial" w:hAnsi="Arial" w:cs="Arial"/>
          <w:sz w:val="22"/>
        </w:rPr>
      </w:pPr>
      <w:r w:rsidRPr="005F3CB4">
        <w:rPr>
          <w:rFonts w:ascii="Arial" w:hAnsi="Arial" w:cs="Arial"/>
          <w:sz w:val="22"/>
        </w:rPr>
        <w:t xml:space="preserve">Las líneas de acción y actividades descritas en el Programa Operativo de la Red de Mujeres Juzgadoras son enunciativas y no limitativas, considerando que el </w:t>
      </w:r>
      <w:r w:rsidR="00616826" w:rsidRPr="005F3CB4">
        <w:rPr>
          <w:rFonts w:ascii="Arial" w:hAnsi="Arial" w:cs="Arial"/>
          <w:sz w:val="22"/>
        </w:rPr>
        <w:t xml:space="preserve">organismo electoral </w:t>
      </w:r>
      <w:r w:rsidRPr="005F3CB4">
        <w:rPr>
          <w:rFonts w:ascii="Arial" w:hAnsi="Arial" w:cs="Arial"/>
          <w:sz w:val="22"/>
        </w:rPr>
        <w:t>podrá realizar cualquier otra acción en beneficio de los derechos político-electorales de las mujeres en la búsqueda por garantizarles una vida libre de violencia de género.</w:t>
      </w:r>
    </w:p>
    <w:p w14:paraId="5820AD64" w14:textId="6BB54FFE" w:rsidR="004E1EEF" w:rsidRPr="005F3CB4" w:rsidRDefault="004E1EEF" w:rsidP="00DA23AF">
      <w:pPr>
        <w:widowControl w:val="0"/>
        <w:spacing w:line="281" w:lineRule="auto"/>
        <w:rPr>
          <w:rFonts w:ascii="Arial" w:hAnsi="Arial" w:cs="Arial"/>
          <w:sz w:val="22"/>
        </w:rPr>
      </w:pPr>
      <w:r w:rsidRPr="005F3CB4">
        <w:rPr>
          <w:rFonts w:ascii="Arial" w:hAnsi="Arial" w:cs="Arial"/>
          <w:sz w:val="22"/>
        </w:rPr>
        <w:t xml:space="preserve">En el Programa se prevé la elaboración de reportes por </w:t>
      </w:r>
      <w:r w:rsidR="00616826" w:rsidRPr="005F3CB4">
        <w:rPr>
          <w:rFonts w:ascii="Arial" w:hAnsi="Arial" w:cs="Arial"/>
          <w:sz w:val="22"/>
        </w:rPr>
        <w:t>parte del organismo electoral</w:t>
      </w:r>
      <w:r w:rsidRPr="005F3CB4">
        <w:rPr>
          <w:rFonts w:ascii="Arial" w:hAnsi="Arial" w:cs="Arial"/>
          <w:sz w:val="22"/>
        </w:rPr>
        <w:t xml:space="preserve">, con base en los cuales se integrarán concentrados en que se analizará la situación de casos, medidas y acciones en </w:t>
      </w:r>
      <w:r w:rsidR="00616826" w:rsidRPr="005F3CB4">
        <w:rPr>
          <w:rFonts w:ascii="Arial" w:hAnsi="Arial" w:cs="Arial"/>
          <w:sz w:val="22"/>
        </w:rPr>
        <w:t xml:space="preserve">la </w:t>
      </w:r>
      <w:r w:rsidRPr="005F3CB4">
        <w:rPr>
          <w:rFonts w:ascii="Arial" w:hAnsi="Arial" w:cs="Arial"/>
          <w:sz w:val="22"/>
        </w:rPr>
        <w:t xml:space="preserve">entidad; así como la elaboración y </w:t>
      </w:r>
      <w:r w:rsidR="00616826" w:rsidRPr="005F3CB4">
        <w:rPr>
          <w:rFonts w:ascii="Arial" w:hAnsi="Arial" w:cs="Arial"/>
          <w:sz w:val="22"/>
        </w:rPr>
        <w:t xml:space="preserve">la </w:t>
      </w:r>
      <w:r w:rsidRPr="005F3CB4">
        <w:rPr>
          <w:rFonts w:ascii="Arial" w:hAnsi="Arial" w:cs="Arial"/>
          <w:sz w:val="22"/>
        </w:rPr>
        <w:t>presentación de un informe final ante el INE.</w:t>
      </w:r>
    </w:p>
    <w:p w14:paraId="4DFEA04E" w14:textId="25482E7C" w:rsidR="009543FF" w:rsidRPr="005F3CB4" w:rsidRDefault="004E1EEF" w:rsidP="00DA23AF">
      <w:pPr>
        <w:widowControl w:val="0"/>
        <w:spacing w:line="281" w:lineRule="auto"/>
        <w:rPr>
          <w:rFonts w:ascii="Arial" w:hAnsi="Arial" w:cs="Arial"/>
          <w:sz w:val="22"/>
        </w:rPr>
      </w:pPr>
      <w:r w:rsidRPr="005F3CB4">
        <w:rPr>
          <w:rFonts w:ascii="Arial" w:hAnsi="Arial" w:cs="Arial"/>
          <w:sz w:val="22"/>
        </w:rPr>
        <w:t xml:space="preserve">Es así </w:t>
      </w:r>
      <w:r w:rsidR="00616826" w:rsidRPr="005F3CB4">
        <w:rPr>
          <w:rFonts w:ascii="Arial" w:hAnsi="Arial" w:cs="Arial"/>
          <w:sz w:val="22"/>
        </w:rPr>
        <w:t xml:space="preserve">como, este órgano electoral, con el objetivo </w:t>
      </w:r>
      <w:r w:rsidRPr="005F3CB4">
        <w:rPr>
          <w:rFonts w:ascii="Arial" w:hAnsi="Arial" w:cs="Arial"/>
          <w:sz w:val="22"/>
        </w:rPr>
        <w:t xml:space="preserve">de contribuir como autoridad administrativa en materia electoral, en aras de maximizar, promover, proteger los derechos y libertades de las mujeres </w:t>
      </w:r>
      <w:r w:rsidR="00616826" w:rsidRPr="005F3CB4">
        <w:rPr>
          <w:rFonts w:ascii="Arial" w:hAnsi="Arial" w:cs="Arial"/>
          <w:sz w:val="22"/>
        </w:rPr>
        <w:t>considera viable la emisión d</w:t>
      </w:r>
      <w:r w:rsidRPr="005F3CB4">
        <w:rPr>
          <w:rFonts w:ascii="Arial" w:hAnsi="Arial" w:cs="Arial"/>
          <w:sz w:val="22"/>
        </w:rPr>
        <w:t xml:space="preserve">el Programa Operativo de la Red de Mujeres Juzgadoras que se adjunta y que forma parte integral de este </w:t>
      </w:r>
      <w:r w:rsidR="00616826" w:rsidRPr="005F3CB4">
        <w:rPr>
          <w:rFonts w:ascii="Arial" w:hAnsi="Arial" w:cs="Arial"/>
          <w:sz w:val="22"/>
        </w:rPr>
        <w:t>a</w:t>
      </w:r>
      <w:r w:rsidRPr="005F3CB4">
        <w:rPr>
          <w:rFonts w:ascii="Arial" w:hAnsi="Arial" w:cs="Arial"/>
          <w:sz w:val="22"/>
        </w:rPr>
        <w:t>cuerdo.</w:t>
      </w:r>
    </w:p>
    <w:p w14:paraId="6359E30A" w14:textId="77777777" w:rsidR="004D6ABC" w:rsidRPr="005F3CB4" w:rsidRDefault="004D6ABC" w:rsidP="00DA23AF">
      <w:pPr>
        <w:widowControl w:val="0"/>
        <w:spacing w:line="281" w:lineRule="auto"/>
        <w:rPr>
          <w:rFonts w:ascii="Arial" w:hAnsi="Arial" w:cs="Arial"/>
          <w:sz w:val="22"/>
        </w:rPr>
      </w:pPr>
      <w:r w:rsidRPr="005F3CB4">
        <w:rPr>
          <w:rFonts w:ascii="Arial" w:hAnsi="Arial" w:cs="Arial"/>
          <w:sz w:val="22"/>
        </w:rPr>
        <w:t>Sobre la base de las consideraciones señaladas, este Consejo Estatal emite el siguiente:</w:t>
      </w:r>
    </w:p>
    <w:p w14:paraId="0A67D2CC" w14:textId="77777777" w:rsidR="004D6ABC" w:rsidRPr="005F3CB4" w:rsidRDefault="004D6ABC" w:rsidP="00DA23AF">
      <w:pPr>
        <w:pStyle w:val="Ttulo1"/>
        <w:widowControl w:val="0"/>
        <w:rPr>
          <w:rFonts w:ascii="Arial" w:hAnsi="Arial" w:cs="Arial"/>
          <w:sz w:val="24"/>
        </w:rPr>
      </w:pPr>
      <w:r w:rsidRPr="005F3CB4">
        <w:rPr>
          <w:rFonts w:ascii="Arial" w:hAnsi="Arial" w:cs="Arial"/>
          <w:sz w:val="24"/>
        </w:rPr>
        <w:t>Acuerdo</w:t>
      </w:r>
    </w:p>
    <w:p w14:paraId="304B9247" w14:textId="44B61572" w:rsidR="00136EF8" w:rsidRPr="005F3CB4" w:rsidRDefault="004D6ABC" w:rsidP="00DA23AF">
      <w:pPr>
        <w:widowControl w:val="0"/>
        <w:spacing w:line="281" w:lineRule="auto"/>
        <w:rPr>
          <w:rFonts w:ascii="Arial" w:hAnsi="Arial" w:cs="Arial"/>
          <w:sz w:val="22"/>
        </w:rPr>
      </w:pPr>
      <w:r w:rsidRPr="005F3CB4">
        <w:rPr>
          <w:rFonts w:ascii="Arial" w:hAnsi="Arial" w:cs="Arial"/>
          <w:b/>
          <w:bCs/>
          <w:sz w:val="22"/>
        </w:rPr>
        <w:t>Primero.</w:t>
      </w:r>
      <w:r w:rsidR="00B845C7" w:rsidRPr="005F3CB4">
        <w:rPr>
          <w:rFonts w:ascii="Arial" w:hAnsi="Arial" w:cs="Arial"/>
          <w:b/>
          <w:bCs/>
          <w:sz w:val="22"/>
        </w:rPr>
        <w:t xml:space="preserve"> </w:t>
      </w:r>
      <w:r w:rsidR="00B845C7" w:rsidRPr="005F3CB4">
        <w:rPr>
          <w:rFonts w:ascii="Arial" w:hAnsi="Arial" w:cs="Arial"/>
          <w:sz w:val="22"/>
        </w:rPr>
        <w:t>Se aprueba el Programa Operativo para la Implementación de la Red de Mujeres Juzgadoras: Candidatas y Electas en Tabasco con motivo del Proceso Electoral Local Extraordinario para personas juzgadoras del Poder Judicial del Estado 2024 – 2025</w:t>
      </w:r>
      <w:r w:rsidR="000B49E7" w:rsidRPr="005F3CB4">
        <w:rPr>
          <w:rFonts w:ascii="Arial" w:hAnsi="Arial" w:cs="Arial"/>
          <w:sz w:val="22"/>
        </w:rPr>
        <w:t xml:space="preserve"> propuesto por la Comisión Permanente de Igualdad de Género y No Discriminación</w:t>
      </w:r>
      <w:r w:rsidR="00522EFC" w:rsidRPr="005F3CB4">
        <w:rPr>
          <w:rFonts w:ascii="Arial" w:hAnsi="Arial" w:cs="Arial"/>
          <w:sz w:val="22"/>
        </w:rPr>
        <w:t>,</w:t>
      </w:r>
      <w:r w:rsidR="00B845C7" w:rsidRPr="005F3CB4">
        <w:rPr>
          <w:rFonts w:ascii="Arial" w:hAnsi="Arial" w:cs="Arial"/>
          <w:sz w:val="22"/>
        </w:rPr>
        <w:t xml:space="preserve"> anexo al presente acuerdo.</w:t>
      </w:r>
    </w:p>
    <w:p w14:paraId="5736706A" w14:textId="579C8821" w:rsidR="004D6ABC" w:rsidRDefault="004D6ABC" w:rsidP="00DA23AF">
      <w:pPr>
        <w:widowControl w:val="0"/>
        <w:spacing w:line="281" w:lineRule="auto"/>
        <w:rPr>
          <w:rFonts w:ascii="Arial" w:hAnsi="Arial" w:cs="Arial"/>
          <w:sz w:val="22"/>
        </w:rPr>
      </w:pPr>
      <w:r w:rsidRPr="005F3CB4">
        <w:rPr>
          <w:rFonts w:ascii="Arial" w:hAnsi="Arial" w:cs="Arial"/>
          <w:b/>
          <w:bCs/>
          <w:sz w:val="22"/>
        </w:rPr>
        <w:t>Segundo.</w:t>
      </w:r>
      <w:r w:rsidRPr="005F3CB4">
        <w:rPr>
          <w:rFonts w:ascii="Arial" w:hAnsi="Arial" w:cs="Arial"/>
          <w:sz w:val="22"/>
        </w:rPr>
        <w:t xml:space="preserve"> Se instruye a la Secretaría Ejecutiva de este Instituto haga del conocimiento de los órganos y unidades administrativas el contenido del presente acuerdo.</w:t>
      </w:r>
      <w:r w:rsidR="00ED6BB0" w:rsidRPr="005F3CB4">
        <w:rPr>
          <w:rFonts w:ascii="Arial" w:hAnsi="Arial" w:cs="Arial"/>
          <w:sz w:val="22"/>
        </w:rPr>
        <w:t xml:space="preserve"> Asimismo, en términos del artículo 387 numeral 9 de la Ley Electoral, lo notifique a las personas candidatas.</w:t>
      </w:r>
    </w:p>
    <w:p w14:paraId="2B1F2BA9" w14:textId="77777777" w:rsidR="00103D44" w:rsidRPr="005F3CB4" w:rsidRDefault="00103D44" w:rsidP="00DA23AF">
      <w:pPr>
        <w:widowControl w:val="0"/>
        <w:spacing w:line="281" w:lineRule="auto"/>
        <w:rPr>
          <w:rFonts w:ascii="Arial" w:hAnsi="Arial" w:cs="Arial"/>
          <w:sz w:val="22"/>
        </w:rPr>
      </w:pPr>
    </w:p>
    <w:p w14:paraId="5E836E4B" w14:textId="77777777" w:rsidR="004D6ABC" w:rsidRPr="005F3CB4" w:rsidRDefault="004D6ABC" w:rsidP="00103D44">
      <w:pPr>
        <w:widowControl w:val="0"/>
        <w:spacing w:before="360" w:after="360" w:line="281" w:lineRule="auto"/>
        <w:rPr>
          <w:rFonts w:ascii="Arial" w:hAnsi="Arial" w:cs="Arial"/>
          <w:sz w:val="22"/>
        </w:rPr>
      </w:pPr>
      <w:r w:rsidRPr="005F3CB4">
        <w:rPr>
          <w:rFonts w:ascii="Arial" w:hAnsi="Arial" w:cs="Arial"/>
          <w:b/>
          <w:bCs/>
          <w:sz w:val="22"/>
        </w:rPr>
        <w:lastRenderedPageBreak/>
        <w:t>Tercero.</w:t>
      </w:r>
      <w:r w:rsidRPr="005F3CB4">
        <w:rPr>
          <w:rFonts w:ascii="Arial" w:hAnsi="Arial" w:cs="Arial"/>
          <w:sz w:val="22"/>
        </w:rPr>
        <w:t xml:space="preserve"> 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32B20A3" w14:textId="77777777" w:rsidR="004D6ABC" w:rsidRPr="005F3CB4" w:rsidRDefault="004D6ABC" w:rsidP="00103D44">
      <w:pPr>
        <w:widowControl w:val="0"/>
        <w:spacing w:before="360" w:after="360" w:line="281" w:lineRule="auto"/>
        <w:rPr>
          <w:rFonts w:ascii="Arial" w:hAnsi="Arial" w:cs="Arial"/>
          <w:sz w:val="22"/>
        </w:rPr>
      </w:pPr>
      <w:r w:rsidRPr="005F3CB4">
        <w:rPr>
          <w:rFonts w:ascii="Arial" w:hAnsi="Arial" w:cs="Arial"/>
          <w:b/>
          <w:bCs/>
          <w:sz w:val="22"/>
        </w:rPr>
        <w:t>Cuarto.</w:t>
      </w:r>
      <w:r w:rsidRPr="005F3CB4">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89014E9" w14:textId="3E8744AA" w:rsidR="004D6ABC" w:rsidRPr="005F3CB4" w:rsidRDefault="004D6ABC" w:rsidP="00103D44">
      <w:pPr>
        <w:widowControl w:val="0"/>
        <w:spacing w:before="360" w:after="360" w:line="281" w:lineRule="auto"/>
        <w:rPr>
          <w:rFonts w:ascii="Arial" w:hAnsi="Arial" w:cs="Arial"/>
          <w:sz w:val="22"/>
        </w:rPr>
      </w:pPr>
      <w:r w:rsidRPr="005F3CB4">
        <w:rPr>
          <w:rFonts w:ascii="Arial" w:hAnsi="Arial" w:cs="Arial"/>
          <w:sz w:val="22"/>
        </w:rPr>
        <w:t xml:space="preserve">El presente acuerdo fue aprobado en sesión </w:t>
      </w:r>
      <w:r w:rsidR="007012F1">
        <w:rPr>
          <w:rFonts w:ascii="Arial" w:hAnsi="Arial" w:cs="Arial"/>
          <w:sz w:val="22"/>
        </w:rPr>
        <w:t xml:space="preserve">extraordinaria </w:t>
      </w:r>
      <w:r w:rsidRPr="005F3CB4">
        <w:rPr>
          <w:rFonts w:ascii="Arial" w:hAnsi="Arial" w:cs="Arial"/>
          <w:sz w:val="22"/>
        </w:rPr>
        <w:t xml:space="preserve">efectuada el </w:t>
      </w:r>
      <w:r w:rsidR="00B56707">
        <w:rPr>
          <w:rFonts w:ascii="Arial" w:hAnsi="Arial" w:cs="Arial"/>
          <w:sz w:val="22"/>
        </w:rPr>
        <w:t>día</w:t>
      </w:r>
      <w:r w:rsidR="00103D44">
        <w:rPr>
          <w:rFonts w:ascii="Arial" w:hAnsi="Arial" w:cs="Arial"/>
          <w:sz w:val="22"/>
        </w:rPr>
        <w:t xml:space="preserve"> veintic</w:t>
      </w:r>
      <w:r w:rsidR="00B56707">
        <w:rPr>
          <w:rFonts w:ascii="Arial" w:hAnsi="Arial" w:cs="Arial"/>
          <w:sz w:val="22"/>
        </w:rPr>
        <w:t>inco</w:t>
      </w:r>
      <w:r w:rsidRPr="005F3CB4">
        <w:rPr>
          <w:rFonts w:ascii="Arial" w:hAnsi="Arial" w:cs="Arial"/>
          <w:sz w:val="22"/>
        </w:rPr>
        <w:t xml:space="preserve"> de </w:t>
      </w:r>
      <w:r w:rsidR="00103D44">
        <w:rPr>
          <w:rFonts w:ascii="Arial" w:hAnsi="Arial" w:cs="Arial"/>
          <w:sz w:val="22"/>
        </w:rPr>
        <w:t>marzo</w:t>
      </w:r>
      <w:r w:rsidRPr="005F3CB4">
        <w:rPr>
          <w:rFonts w:ascii="Arial" w:hAnsi="Arial" w:cs="Arial"/>
          <w:sz w:val="22"/>
        </w:rPr>
        <w:t xml:space="preserve"> del año dos mil veinticinco, por votación </w:t>
      </w:r>
      <w:r w:rsidR="00103D44">
        <w:rPr>
          <w:rFonts w:ascii="Arial" w:hAnsi="Arial" w:cs="Arial"/>
          <w:sz w:val="22"/>
        </w:rPr>
        <w:t>unánime</w:t>
      </w:r>
      <w:r w:rsidRPr="005F3CB4">
        <w:rPr>
          <w:rFonts w:ascii="Arial" w:hAnsi="Arial" w:cs="Arial"/>
          <w:sz w:val="22"/>
        </w:rPr>
        <w:t xml:space="preserve"> de las y los Consejeros Electorales del Consejo Estatal del Instituto Electoral y de Participac</w:t>
      </w:r>
      <w:r w:rsidR="00F557A4">
        <w:rPr>
          <w:rFonts w:ascii="Arial" w:hAnsi="Arial" w:cs="Arial"/>
          <w:sz w:val="22"/>
        </w:rPr>
        <w:t xml:space="preserve">ión Ciudadana de Tabasco: </w:t>
      </w:r>
      <w:r w:rsidRPr="005F3CB4">
        <w:rPr>
          <w:rFonts w:ascii="Arial" w:hAnsi="Arial" w:cs="Arial"/>
          <w:sz w:val="22"/>
        </w:rPr>
        <w:t xml:space="preserve">Lic. Hernán González Sala, Lic. Vladimir Hernández Venegas, Licda. Ángela Guadalupe Araujo Segura, Licda. Monserrat Martínez </w:t>
      </w:r>
      <w:proofErr w:type="spellStart"/>
      <w:r w:rsidRPr="005F3CB4">
        <w:rPr>
          <w:rFonts w:ascii="Arial" w:hAnsi="Arial" w:cs="Arial"/>
          <w:sz w:val="22"/>
        </w:rPr>
        <w:t>Beaurregard</w:t>
      </w:r>
      <w:proofErr w:type="spellEnd"/>
      <w:r w:rsidRPr="005F3CB4">
        <w:rPr>
          <w:rFonts w:ascii="Arial" w:hAnsi="Arial" w:cs="Arial"/>
          <w:sz w:val="22"/>
        </w:rPr>
        <w:t>, Mtra. Ruth Lizette Toledo Peral y la Consejera Presidenta, Mtra. Elizabeth Nava Gutiérr</w:t>
      </w:r>
      <w:bookmarkStart w:id="1" w:name="_GoBack"/>
      <w:bookmarkEnd w:id="1"/>
      <w:r w:rsidRPr="005F3CB4">
        <w:rPr>
          <w:rFonts w:ascii="Arial" w:hAnsi="Arial" w:cs="Arial"/>
          <w:sz w:val="22"/>
        </w:rPr>
        <w:t>ez.</w:t>
      </w:r>
    </w:p>
    <w:p w14:paraId="2CCAA310" w14:textId="596135EC" w:rsidR="00B845C7" w:rsidRDefault="00B845C7" w:rsidP="00DA23AF">
      <w:pPr>
        <w:widowControl w:val="0"/>
        <w:spacing w:line="281" w:lineRule="auto"/>
        <w:rPr>
          <w:rFonts w:ascii="Arial" w:hAnsi="Arial" w:cs="Arial"/>
          <w:sz w:val="22"/>
        </w:rPr>
      </w:pPr>
    </w:p>
    <w:p w14:paraId="015E7BA6" w14:textId="7EA0DBD2" w:rsidR="00103D44" w:rsidRDefault="00103D44" w:rsidP="00DA23AF">
      <w:pPr>
        <w:widowControl w:val="0"/>
        <w:spacing w:line="281" w:lineRule="auto"/>
        <w:rPr>
          <w:rFonts w:ascii="Arial" w:hAnsi="Arial" w:cs="Arial"/>
          <w:sz w:val="22"/>
        </w:rPr>
      </w:pPr>
    </w:p>
    <w:p w14:paraId="7C1E0BAF" w14:textId="77777777" w:rsidR="00103D44" w:rsidRPr="005F3CB4" w:rsidRDefault="00103D44" w:rsidP="00DA23AF">
      <w:pPr>
        <w:widowControl w:val="0"/>
        <w:spacing w:line="281" w:lineRule="auto"/>
        <w:rPr>
          <w:rFonts w:ascii="Arial" w:hAnsi="Arial" w:cs="Arial"/>
          <w:sz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324"/>
      </w:tblGrid>
      <w:tr w:rsidR="00103D44" w:rsidRPr="005F3CB4" w14:paraId="379998A6" w14:textId="77777777" w:rsidTr="00103D44">
        <w:tc>
          <w:tcPr>
            <w:tcW w:w="2554" w:type="pct"/>
          </w:tcPr>
          <w:p w14:paraId="663051D2" w14:textId="77777777" w:rsidR="00103D44" w:rsidRPr="005F3CB4" w:rsidRDefault="00103D44" w:rsidP="00B34F79">
            <w:pPr>
              <w:widowControl w:val="0"/>
              <w:spacing w:before="360" w:after="0" w:line="281" w:lineRule="auto"/>
              <w:jc w:val="center"/>
              <w:rPr>
                <w:rFonts w:ascii="Arial" w:hAnsi="Arial" w:cs="Arial"/>
                <w:b/>
                <w:bCs/>
                <w:sz w:val="22"/>
              </w:rPr>
            </w:pPr>
            <w:r w:rsidRPr="005F3CB4">
              <w:rPr>
                <w:rFonts w:ascii="Arial" w:hAnsi="Arial" w:cs="Arial"/>
                <w:b/>
                <w:bCs/>
                <w:sz w:val="22"/>
              </w:rPr>
              <w:t>MTRA. ELIZABETH NAVA GUTIÉRREZ</w:t>
            </w:r>
          </w:p>
          <w:p w14:paraId="66BFD4DB" w14:textId="77777777" w:rsidR="00103D44" w:rsidRPr="005F3CB4" w:rsidRDefault="00103D44" w:rsidP="00DA23AF">
            <w:pPr>
              <w:widowControl w:val="0"/>
              <w:spacing w:before="0" w:after="0" w:line="281" w:lineRule="auto"/>
              <w:jc w:val="center"/>
              <w:rPr>
                <w:rFonts w:ascii="Arial" w:hAnsi="Arial" w:cs="Arial"/>
                <w:b/>
                <w:bCs/>
                <w:sz w:val="22"/>
              </w:rPr>
            </w:pPr>
            <w:r w:rsidRPr="005F3CB4">
              <w:rPr>
                <w:rFonts w:ascii="Arial" w:hAnsi="Arial" w:cs="Arial"/>
                <w:b/>
                <w:bCs/>
                <w:sz w:val="22"/>
              </w:rPr>
              <w:t>CONSEJERA PRESIDENTA</w:t>
            </w:r>
          </w:p>
        </w:tc>
        <w:tc>
          <w:tcPr>
            <w:tcW w:w="2446" w:type="pct"/>
          </w:tcPr>
          <w:p w14:paraId="3CDFEF14" w14:textId="77777777" w:rsidR="00103D44" w:rsidRPr="005F3CB4" w:rsidRDefault="00103D44" w:rsidP="00B34F79">
            <w:pPr>
              <w:widowControl w:val="0"/>
              <w:spacing w:before="360" w:after="0" w:line="281" w:lineRule="auto"/>
              <w:jc w:val="center"/>
              <w:rPr>
                <w:rFonts w:ascii="Arial" w:hAnsi="Arial" w:cs="Arial"/>
                <w:b/>
                <w:bCs/>
                <w:sz w:val="22"/>
              </w:rPr>
            </w:pPr>
            <w:r w:rsidRPr="005F3CB4">
              <w:rPr>
                <w:rFonts w:ascii="Arial" w:hAnsi="Arial" w:cs="Arial"/>
                <w:b/>
                <w:bCs/>
                <w:sz w:val="22"/>
              </w:rPr>
              <w:t>LIC. JORGE ALBERTO ZAVALA FRÍAS</w:t>
            </w:r>
          </w:p>
          <w:p w14:paraId="75E39A0B" w14:textId="77777777" w:rsidR="00103D44" w:rsidRPr="005F3CB4" w:rsidRDefault="00103D44" w:rsidP="00DA23AF">
            <w:pPr>
              <w:widowControl w:val="0"/>
              <w:spacing w:before="0" w:after="0" w:line="281" w:lineRule="auto"/>
              <w:jc w:val="center"/>
              <w:rPr>
                <w:rFonts w:ascii="Arial" w:hAnsi="Arial" w:cs="Arial"/>
                <w:b/>
                <w:bCs/>
                <w:sz w:val="22"/>
              </w:rPr>
            </w:pPr>
            <w:r w:rsidRPr="005F3CB4">
              <w:rPr>
                <w:rFonts w:ascii="Arial" w:hAnsi="Arial" w:cs="Arial"/>
                <w:b/>
                <w:bCs/>
                <w:sz w:val="22"/>
              </w:rPr>
              <w:t>SECRETARIO DEL CONSEJO</w:t>
            </w:r>
          </w:p>
        </w:tc>
      </w:tr>
    </w:tbl>
    <w:p w14:paraId="061B0FB6" w14:textId="77777777" w:rsidR="004D6ABC" w:rsidRPr="005F3CB4" w:rsidRDefault="004D6ABC" w:rsidP="00DA23AF">
      <w:pPr>
        <w:widowControl w:val="0"/>
        <w:spacing w:line="281" w:lineRule="auto"/>
        <w:rPr>
          <w:rFonts w:ascii="Arial" w:hAnsi="Arial" w:cs="Arial"/>
          <w:sz w:val="22"/>
        </w:rPr>
      </w:pPr>
    </w:p>
    <w:sectPr w:rsidR="004D6ABC" w:rsidRPr="005F3CB4" w:rsidSect="00A93C6D">
      <w:headerReference w:type="default" r:id="rId8"/>
      <w:footerReference w:type="default" r:id="rId9"/>
      <w:pgSz w:w="12240" w:h="15840"/>
      <w:pgMar w:top="326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ACEB" w14:textId="77777777" w:rsidR="00496482" w:rsidRDefault="00496482" w:rsidP="00DB1A1A">
      <w:pPr>
        <w:spacing w:before="0" w:after="0" w:line="240" w:lineRule="auto"/>
      </w:pPr>
      <w:r>
        <w:separator/>
      </w:r>
    </w:p>
  </w:endnote>
  <w:endnote w:type="continuationSeparator" w:id="0">
    <w:p w14:paraId="5D33FEF1" w14:textId="77777777" w:rsidR="00496482" w:rsidRDefault="00496482" w:rsidP="00DB1A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A00000EF" w:usb1="4000204B" w:usb2="00000000" w:usb3="00000000" w:csb0="00000193"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01525023"/>
      <w:docPartObj>
        <w:docPartGallery w:val="Page Numbers (Top of Page)"/>
        <w:docPartUnique/>
      </w:docPartObj>
    </w:sdtPr>
    <w:sdtEndPr/>
    <w:sdtContent>
      <w:p w14:paraId="158290C8" w14:textId="2BEBE115" w:rsidR="004B41C2" w:rsidRPr="005F3CB4" w:rsidRDefault="004B41C2" w:rsidP="004B41C2">
        <w:pPr>
          <w:pStyle w:val="Piedepgina"/>
          <w:spacing w:before="120"/>
          <w:jc w:val="right"/>
          <w:rPr>
            <w:rFonts w:ascii="Arial" w:hAnsi="Arial" w:cs="Arial"/>
            <w:color w:val="993366"/>
            <w:sz w:val="20"/>
            <w:szCs w:val="20"/>
          </w:rPr>
        </w:pPr>
        <w:r w:rsidRPr="005F3CB4">
          <w:rPr>
            <w:rFonts w:ascii="Arial" w:hAnsi="Arial" w:cs="Arial"/>
            <w:b/>
            <w:bCs/>
            <w:color w:val="993366"/>
          </w:rPr>
          <w:t xml:space="preserve">Página </w:t>
        </w:r>
        <w:r w:rsidRPr="005F3CB4">
          <w:rPr>
            <w:rFonts w:ascii="Arial" w:hAnsi="Arial" w:cs="Arial"/>
            <w:b/>
            <w:bCs/>
            <w:color w:val="993366"/>
          </w:rPr>
          <w:fldChar w:fldCharType="begin"/>
        </w:r>
        <w:r w:rsidRPr="005F3CB4">
          <w:rPr>
            <w:rFonts w:ascii="Arial" w:hAnsi="Arial" w:cs="Arial"/>
            <w:b/>
            <w:bCs/>
            <w:color w:val="993366"/>
          </w:rPr>
          <w:instrText>PAGE</w:instrText>
        </w:r>
        <w:r w:rsidRPr="005F3CB4">
          <w:rPr>
            <w:rFonts w:ascii="Arial" w:hAnsi="Arial" w:cs="Arial"/>
            <w:b/>
            <w:bCs/>
            <w:color w:val="993366"/>
          </w:rPr>
          <w:fldChar w:fldCharType="separate"/>
        </w:r>
        <w:r w:rsidR="00F557A4">
          <w:rPr>
            <w:rFonts w:ascii="Arial" w:hAnsi="Arial" w:cs="Arial"/>
            <w:b/>
            <w:bCs/>
            <w:noProof/>
            <w:color w:val="993366"/>
          </w:rPr>
          <w:t>10</w:t>
        </w:r>
        <w:r w:rsidRPr="005F3CB4">
          <w:rPr>
            <w:rFonts w:ascii="Arial" w:hAnsi="Arial" w:cs="Arial"/>
            <w:b/>
            <w:bCs/>
            <w:color w:val="993366"/>
          </w:rPr>
          <w:fldChar w:fldCharType="end"/>
        </w:r>
        <w:r w:rsidRPr="005F3CB4">
          <w:rPr>
            <w:rFonts w:ascii="Arial" w:hAnsi="Arial" w:cs="Arial"/>
            <w:b/>
            <w:bCs/>
            <w:color w:val="993366"/>
          </w:rPr>
          <w:t xml:space="preserve"> | </w:t>
        </w:r>
        <w:r w:rsidRPr="005F3CB4">
          <w:rPr>
            <w:rFonts w:ascii="Arial" w:hAnsi="Arial" w:cs="Arial"/>
            <w:b/>
            <w:bCs/>
            <w:color w:val="993366"/>
          </w:rPr>
          <w:fldChar w:fldCharType="begin"/>
        </w:r>
        <w:r w:rsidRPr="005F3CB4">
          <w:rPr>
            <w:rFonts w:ascii="Arial" w:hAnsi="Arial" w:cs="Arial"/>
            <w:b/>
            <w:bCs/>
            <w:color w:val="993366"/>
          </w:rPr>
          <w:instrText>NUMPAGES</w:instrText>
        </w:r>
        <w:r w:rsidRPr="005F3CB4">
          <w:rPr>
            <w:rFonts w:ascii="Arial" w:hAnsi="Arial" w:cs="Arial"/>
            <w:b/>
            <w:bCs/>
            <w:color w:val="993366"/>
          </w:rPr>
          <w:fldChar w:fldCharType="separate"/>
        </w:r>
        <w:r w:rsidR="00F557A4">
          <w:rPr>
            <w:rFonts w:ascii="Arial" w:hAnsi="Arial" w:cs="Arial"/>
            <w:b/>
            <w:bCs/>
            <w:noProof/>
            <w:color w:val="993366"/>
          </w:rPr>
          <w:t>10</w:t>
        </w:r>
        <w:r w:rsidRPr="005F3CB4">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E9AF" w14:textId="77777777" w:rsidR="00496482" w:rsidRDefault="00496482" w:rsidP="00DB1A1A">
      <w:pPr>
        <w:spacing w:before="0" w:after="0" w:line="240" w:lineRule="auto"/>
      </w:pPr>
      <w:r>
        <w:separator/>
      </w:r>
    </w:p>
  </w:footnote>
  <w:footnote w:type="continuationSeparator" w:id="0">
    <w:p w14:paraId="400BC62D" w14:textId="77777777" w:rsidR="00496482" w:rsidRDefault="00496482" w:rsidP="00DB1A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DB1A1A" w:rsidRPr="005F3CB4" w14:paraId="2691019C" w14:textId="77777777" w:rsidTr="004232B3">
      <w:tc>
        <w:tcPr>
          <w:tcW w:w="1813" w:type="dxa"/>
        </w:tcPr>
        <w:p w14:paraId="081561C0" w14:textId="77777777" w:rsidR="00DB1A1A" w:rsidRPr="005F3CB4" w:rsidRDefault="00DB1A1A" w:rsidP="00DB1A1A">
          <w:pPr>
            <w:pStyle w:val="Encabezado"/>
            <w:rPr>
              <w:rFonts w:ascii="Arial" w:hAnsi="Arial" w:cs="Arial"/>
            </w:rPr>
          </w:pPr>
          <w:r w:rsidRPr="005F3CB4">
            <w:rPr>
              <w:rFonts w:ascii="Arial" w:hAnsi="Arial" w:cs="Arial"/>
              <w:b/>
              <w:noProof/>
              <w:sz w:val="32"/>
              <w:lang w:eastAsia="es-MX"/>
            </w:rPr>
            <w:drawing>
              <wp:inline distT="0" distB="0" distL="0" distR="0" wp14:anchorId="23F78E72" wp14:editId="6B207DE8">
                <wp:extent cx="1014331" cy="1199403"/>
                <wp:effectExtent l="0" t="0" r="0" b="1270"/>
                <wp:docPr id="286390145" name="Imagen 28639014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3753B2DB" w14:textId="77777777" w:rsidR="00DB1A1A" w:rsidRPr="005F3CB4" w:rsidRDefault="00DB1A1A" w:rsidP="00DB1A1A">
          <w:pPr>
            <w:pStyle w:val="Encabezado"/>
            <w:spacing w:before="720"/>
            <w:jc w:val="center"/>
            <w:rPr>
              <w:rFonts w:ascii="Arial" w:hAnsi="Arial" w:cs="Arial"/>
              <w:b/>
              <w:bCs/>
              <w:spacing w:val="-10"/>
              <w:sz w:val="26"/>
              <w:szCs w:val="26"/>
            </w:rPr>
          </w:pPr>
          <w:r w:rsidRPr="005F3CB4">
            <w:rPr>
              <w:rFonts w:ascii="Arial" w:hAnsi="Arial" w:cs="Arial"/>
              <w:b/>
              <w:bCs/>
              <w:spacing w:val="-10"/>
              <w:sz w:val="26"/>
              <w:szCs w:val="26"/>
            </w:rPr>
            <w:t>INSTITUTO ELECTORAL Y DE PARTICIPACIÓN CIUDADANA DE TABASCO</w:t>
          </w:r>
        </w:p>
        <w:p w14:paraId="21014690" w14:textId="77777777" w:rsidR="00DB1A1A" w:rsidRPr="005F3CB4" w:rsidRDefault="00DB1A1A" w:rsidP="00DB1A1A">
          <w:pPr>
            <w:pStyle w:val="Encabezado"/>
            <w:spacing w:before="60"/>
            <w:jc w:val="center"/>
            <w:rPr>
              <w:rFonts w:ascii="Arial" w:hAnsi="Arial" w:cs="Arial"/>
            </w:rPr>
          </w:pPr>
          <w:r w:rsidRPr="005F3CB4">
            <w:rPr>
              <w:rFonts w:ascii="Arial" w:hAnsi="Arial" w:cs="Arial"/>
              <w:b/>
              <w:bCs/>
              <w:sz w:val="28"/>
              <w:szCs w:val="28"/>
            </w:rPr>
            <w:t>CONSEJO ESTATAL</w:t>
          </w:r>
        </w:p>
      </w:tc>
      <w:tc>
        <w:tcPr>
          <w:tcW w:w="1560" w:type="dxa"/>
        </w:tcPr>
        <w:p w14:paraId="48FCD555" w14:textId="77777777" w:rsidR="00DB1A1A" w:rsidRPr="005F3CB4" w:rsidRDefault="00DB1A1A" w:rsidP="00DB1A1A">
          <w:pPr>
            <w:pStyle w:val="Encabezado"/>
            <w:spacing w:before="480"/>
            <w:jc w:val="right"/>
            <w:rPr>
              <w:rFonts w:ascii="Arial" w:hAnsi="Arial" w:cs="Arial"/>
            </w:rPr>
          </w:pPr>
          <w:r w:rsidRPr="005F3CB4">
            <w:rPr>
              <w:rFonts w:ascii="Arial" w:hAnsi="Arial" w:cs="Arial"/>
              <w:noProof/>
              <w:lang w:eastAsia="es-MX"/>
            </w:rPr>
            <w:drawing>
              <wp:inline distT="0" distB="0" distL="0" distR="0" wp14:anchorId="588B2CF5" wp14:editId="6E48A09F">
                <wp:extent cx="921600" cy="756000"/>
                <wp:effectExtent l="0" t="0" r="0" b="6350"/>
                <wp:docPr id="37334577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4813A67" w14:textId="3D0B2046" w:rsidR="00DB1A1A" w:rsidRPr="005F3CB4" w:rsidRDefault="005F3CB4" w:rsidP="005F3CB4">
    <w:pPr>
      <w:pStyle w:val="Encabezado"/>
      <w:jc w:val="right"/>
      <w:rPr>
        <w:rFonts w:ascii="Arial" w:hAnsi="Arial" w:cs="Arial"/>
        <w:b/>
      </w:rPr>
    </w:pPr>
    <w:r>
      <w:rPr>
        <w:rFonts w:ascii="Arial" w:hAnsi="Arial" w:cs="Arial"/>
        <w:b/>
      </w:rPr>
      <w:t>CE/2025/033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E7BDC"/>
    <w:multiLevelType w:val="hybridMultilevel"/>
    <w:tmpl w:val="27428BB0"/>
    <w:lvl w:ilvl="0" w:tplc="D97E34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9B58EA"/>
    <w:multiLevelType w:val="multilevel"/>
    <w:tmpl w:val="3F90058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744555E9"/>
    <w:multiLevelType w:val="hybridMultilevel"/>
    <w:tmpl w:val="11F06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E928C5"/>
    <w:multiLevelType w:val="hybridMultilevel"/>
    <w:tmpl w:val="E6B8C93A"/>
    <w:lvl w:ilvl="0" w:tplc="1AB86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F8"/>
    <w:rsid w:val="00043A66"/>
    <w:rsid w:val="00055E30"/>
    <w:rsid w:val="000B49E7"/>
    <w:rsid w:val="00103D44"/>
    <w:rsid w:val="00121F86"/>
    <w:rsid w:val="00136EF8"/>
    <w:rsid w:val="00177EEE"/>
    <w:rsid w:val="001A2A8C"/>
    <w:rsid w:val="002577A3"/>
    <w:rsid w:val="002819DD"/>
    <w:rsid w:val="003376E7"/>
    <w:rsid w:val="00343849"/>
    <w:rsid w:val="00355285"/>
    <w:rsid w:val="00395A64"/>
    <w:rsid w:val="00457CEE"/>
    <w:rsid w:val="00461EAD"/>
    <w:rsid w:val="00481537"/>
    <w:rsid w:val="00490BC4"/>
    <w:rsid w:val="004932A5"/>
    <w:rsid w:val="00496482"/>
    <w:rsid w:val="004B044B"/>
    <w:rsid w:val="004B2D19"/>
    <w:rsid w:val="004B41C2"/>
    <w:rsid w:val="004D6ABC"/>
    <w:rsid w:val="004E1EEF"/>
    <w:rsid w:val="00512132"/>
    <w:rsid w:val="00522EFC"/>
    <w:rsid w:val="00561002"/>
    <w:rsid w:val="00575483"/>
    <w:rsid w:val="005B3C98"/>
    <w:rsid w:val="005E3BB7"/>
    <w:rsid w:val="005F3CB4"/>
    <w:rsid w:val="005F7DA6"/>
    <w:rsid w:val="00616826"/>
    <w:rsid w:val="00695C99"/>
    <w:rsid w:val="006E4305"/>
    <w:rsid w:val="007012F1"/>
    <w:rsid w:val="00720FFF"/>
    <w:rsid w:val="007432BF"/>
    <w:rsid w:val="00786BDF"/>
    <w:rsid w:val="007F7F7A"/>
    <w:rsid w:val="00887FA5"/>
    <w:rsid w:val="008D2D3B"/>
    <w:rsid w:val="008F2623"/>
    <w:rsid w:val="00952003"/>
    <w:rsid w:val="009543FF"/>
    <w:rsid w:val="00993AB3"/>
    <w:rsid w:val="009A5F7F"/>
    <w:rsid w:val="009F12A9"/>
    <w:rsid w:val="00A17C25"/>
    <w:rsid w:val="00A36F09"/>
    <w:rsid w:val="00A43FFA"/>
    <w:rsid w:val="00A624DD"/>
    <w:rsid w:val="00A666B9"/>
    <w:rsid w:val="00A66F05"/>
    <w:rsid w:val="00A85D57"/>
    <w:rsid w:val="00A93C6D"/>
    <w:rsid w:val="00AF1205"/>
    <w:rsid w:val="00B34F79"/>
    <w:rsid w:val="00B56707"/>
    <w:rsid w:val="00B845C7"/>
    <w:rsid w:val="00BB34CF"/>
    <w:rsid w:val="00C050D4"/>
    <w:rsid w:val="00DA23AF"/>
    <w:rsid w:val="00DB1A1A"/>
    <w:rsid w:val="00DB4782"/>
    <w:rsid w:val="00DE3CEC"/>
    <w:rsid w:val="00E82C65"/>
    <w:rsid w:val="00E845B8"/>
    <w:rsid w:val="00E96021"/>
    <w:rsid w:val="00ED6BB0"/>
    <w:rsid w:val="00F557A4"/>
    <w:rsid w:val="00FE5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5AC8"/>
  <w15:chartTrackingRefBased/>
  <w15:docId w15:val="{D723A58E-81A5-4914-87CD-1E944155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F8"/>
    <w:pPr>
      <w:spacing w:before="240" w:after="240" w:line="276" w:lineRule="auto"/>
      <w:jc w:val="both"/>
    </w:pPr>
    <w:rPr>
      <w:rFonts w:ascii="Exo" w:hAnsi="Exo"/>
    </w:rPr>
  </w:style>
  <w:style w:type="paragraph" w:styleId="Ttulo1">
    <w:name w:val="heading 1"/>
    <w:basedOn w:val="Normal"/>
    <w:next w:val="Normal"/>
    <w:link w:val="Ttulo1Car"/>
    <w:uiPriority w:val="9"/>
    <w:qFormat/>
    <w:rsid w:val="00C050D4"/>
    <w:pPr>
      <w:numPr>
        <w:numId w:val="4"/>
      </w:numPr>
      <w:spacing w:before="600" w:after="360" w:line="281" w:lineRule="auto"/>
      <w:jc w:val="center"/>
      <w:outlineLvl w:val="0"/>
    </w:pPr>
    <w:rPr>
      <w:b/>
      <w:bCs/>
      <w:sz w:val="28"/>
      <w:szCs w:val="28"/>
    </w:rPr>
  </w:style>
  <w:style w:type="paragraph" w:styleId="Ttulo2">
    <w:name w:val="heading 2"/>
    <w:basedOn w:val="Normal"/>
    <w:next w:val="Normal"/>
    <w:link w:val="Ttulo2Car"/>
    <w:uiPriority w:val="9"/>
    <w:unhideWhenUsed/>
    <w:qFormat/>
    <w:rsid w:val="00720FFF"/>
    <w:pPr>
      <w:keepNext/>
      <w:keepLines/>
      <w:numPr>
        <w:ilvl w:val="1"/>
        <w:numId w:val="4"/>
      </w:numPr>
      <w:spacing w:before="480" w:line="281" w:lineRule="auto"/>
      <w:outlineLvl w:val="1"/>
    </w:pPr>
    <w:rPr>
      <w:rFonts w:eastAsiaTheme="majorEastAsia" w:cstheme="majorBidi"/>
      <w:b/>
      <w:bCs/>
    </w:rPr>
  </w:style>
  <w:style w:type="paragraph" w:styleId="Ttulo3">
    <w:name w:val="heading 3"/>
    <w:basedOn w:val="Normal"/>
    <w:next w:val="Normal"/>
    <w:link w:val="Ttulo3Car"/>
    <w:uiPriority w:val="9"/>
    <w:semiHidden/>
    <w:unhideWhenUsed/>
    <w:qFormat/>
    <w:rsid w:val="00136EF8"/>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6EF8"/>
    <w:pPr>
      <w:keepNext/>
      <w:keepLines/>
      <w:numPr>
        <w:ilvl w:val="3"/>
        <w:numId w:val="4"/>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6EF8"/>
    <w:pPr>
      <w:keepNext/>
      <w:keepLines/>
      <w:numPr>
        <w:ilvl w:val="4"/>
        <w:numId w:val="4"/>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6EF8"/>
    <w:pPr>
      <w:keepNext/>
      <w:keepLines/>
      <w:numPr>
        <w:ilvl w:val="5"/>
        <w:numId w:val="4"/>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6EF8"/>
    <w:pPr>
      <w:keepNext/>
      <w:keepLines/>
      <w:numPr>
        <w:ilvl w:val="6"/>
        <w:numId w:val="4"/>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6EF8"/>
    <w:pPr>
      <w:keepNext/>
      <w:keepLines/>
      <w:numPr>
        <w:ilvl w:val="7"/>
        <w:numId w:val="4"/>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6EF8"/>
    <w:pPr>
      <w:keepNext/>
      <w:keepLines/>
      <w:numPr>
        <w:ilvl w:val="8"/>
        <w:numId w:val="4"/>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50D4"/>
    <w:rPr>
      <w:rFonts w:ascii="Exo" w:hAnsi="Exo"/>
      <w:b/>
      <w:bCs/>
      <w:sz w:val="28"/>
      <w:szCs w:val="28"/>
    </w:rPr>
  </w:style>
  <w:style w:type="character" w:customStyle="1" w:styleId="Ttulo2Car">
    <w:name w:val="Título 2 Car"/>
    <w:basedOn w:val="Fuentedeprrafopredeter"/>
    <w:link w:val="Ttulo2"/>
    <w:uiPriority w:val="9"/>
    <w:rsid w:val="00720FFF"/>
    <w:rPr>
      <w:rFonts w:ascii="Exo" w:eastAsiaTheme="majorEastAsia" w:hAnsi="Exo" w:cstheme="majorBidi"/>
      <w:b/>
      <w:bCs/>
    </w:rPr>
  </w:style>
  <w:style w:type="character" w:customStyle="1" w:styleId="Ttulo3Car">
    <w:name w:val="Título 3 Car"/>
    <w:basedOn w:val="Fuentedeprrafopredeter"/>
    <w:link w:val="Ttulo3"/>
    <w:uiPriority w:val="9"/>
    <w:semiHidden/>
    <w:rsid w:val="00136E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6E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6E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6E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6E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6E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6EF8"/>
    <w:rPr>
      <w:rFonts w:eastAsiaTheme="majorEastAsia" w:cstheme="majorBidi"/>
      <w:color w:val="272727" w:themeColor="text1" w:themeTint="D8"/>
    </w:rPr>
  </w:style>
  <w:style w:type="paragraph" w:styleId="Ttulo">
    <w:name w:val="Title"/>
    <w:basedOn w:val="Normal"/>
    <w:next w:val="Normal"/>
    <w:link w:val="TtuloCar"/>
    <w:uiPriority w:val="10"/>
    <w:qFormat/>
    <w:rsid w:val="00136E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6E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6E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6E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6EF8"/>
    <w:pPr>
      <w:spacing w:before="160"/>
      <w:jc w:val="center"/>
    </w:pPr>
    <w:rPr>
      <w:i/>
      <w:iCs/>
      <w:color w:val="404040" w:themeColor="text1" w:themeTint="BF"/>
    </w:rPr>
  </w:style>
  <w:style w:type="character" w:customStyle="1" w:styleId="CitaCar">
    <w:name w:val="Cita Car"/>
    <w:basedOn w:val="Fuentedeprrafopredeter"/>
    <w:link w:val="Cita"/>
    <w:uiPriority w:val="29"/>
    <w:rsid w:val="00136EF8"/>
    <w:rPr>
      <w:i/>
      <w:iCs/>
      <w:color w:val="404040" w:themeColor="text1" w:themeTint="BF"/>
    </w:rPr>
  </w:style>
  <w:style w:type="paragraph" w:styleId="Prrafodelista">
    <w:name w:val="List Paragraph"/>
    <w:basedOn w:val="Normal"/>
    <w:uiPriority w:val="34"/>
    <w:qFormat/>
    <w:rsid w:val="00136EF8"/>
    <w:pPr>
      <w:ind w:left="720"/>
      <w:contextualSpacing/>
    </w:pPr>
  </w:style>
  <w:style w:type="character" w:styleId="nfasisintenso">
    <w:name w:val="Intense Emphasis"/>
    <w:basedOn w:val="Fuentedeprrafopredeter"/>
    <w:uiPriority w:val="21"/>
    <w:qFormat/>
    <w:rsid w:val="00136EF8"/>
    <w:rPr>
      <w:i/>
      <w:iCs/>
      <w:color w:val="0F4761" w:themeColor="accent1" w:themeShade="BF"/>
    </w:rPr>
  </w:style>
  <w:style w:type="paragraph" w:styleId="Citadestacada">
    <w:name w:val="Intense Quote"/>
    <w:basedOn w:val="Normal"/>
    <w:next w:val="Normal"/>
    <w:link w:val="CitadestacadaCar"/>
    <w:uiPriority w:val="30"/>
    <w:qFormat/>
    <w:rsid w:val="00136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6EF8"/>
    <w:rPr>
      <w:i/>
      <w:iCs/>
      <w:color w:val="0F4761" w:themeColor="accent1" w:themeShade="BF"/>
    </w:rPr>
  </w:style>
  <w:style w:type="character" w:styleId="Referenciaintensa">
    <w:name w:val="Intense Reference"/>
    <w:basedOn w:val="Fuentedeprrafopredeter"/>
    <w:uiPriority w:val="32"/>
    <w:qFormat/>
    <w:rsid w:val="00136EF8"/>
    <w:rPr>
      <w:b/>
      <w:bCs/>
      <w:smallCaps/>
      <w:color w:val="0F4761" w:themeColor="accent1" w:themeShade="BF"/>
      <w:spacing w:val="5"/>
    </w:rPr>
  </w:style>
  <w:style w:type="table" w:styleId="Tablaconcuadrcula">
    <w:name w:val="Table Grid"/>
    <w:basedOn w:val="Tablanormal"/>
    <w:uiPriority w:val="39"/>
    <w:rsid w:val="004D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1A1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B1A1A"/>
    <w:rPr>
      <w:rFonts w:ascii="Exo" w:hAnsi="Exo"/>
    </w:rPr>
  </w:style>
  <w:style w:type="paragraph" w:styleId="Piedepgina">
    <w:name w:val="footer"/>
    <w:basedOn w:val="Normal"/>
    <w:link w:val="PiedepginaCar"/>
    <w:uiPriority w:val="99"/>
    <w:unhideWhenUsed/>
    <w:rsid w:val="00DB1A1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B1A1A"/>
    <w:rPr>
      <w:rFonts w:ascii="Exo" w:hAnsi="Exo"/>
    </w:rPr>
  </w:style>
  <w:style w:type="paragraph" w:styleId="Textodeglobo">
    <w:name w:val="Balloon Text"/>
    <w:basedOn w:val="Normal"/>
    <w:link w:val="TextodegloboCar"/>
    <w:uiPriority w:val="99"/>
    <w:semiHidden/>
    <w:unhideWhenUsed/>
    <w:rsid w:val="00B5670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707"/>
    <w:rPr>
      <w:rFonts w:ascii="Segoe UI" w:hAnsi="Segoe UI" w:cs="Segoe UI"/>
      <w:sz w:val="18"/>
      <w:szCs w:val="18"/>
    </w:rPr>
  </w:style>
  <w:style w:type="paragraph" w:styleId="Saludo">
    <w:name w:val="Salutation"/>
    <w:basedOn w:val="Normal"/>
    <w:next w:val="Normal"/>
    <w:link w:val="SaludoCar"/>
    <w:uiPriority w:val="99"/>
    <w:unhideWhenUsed/>
    <w:rsid w:val="00B56707"/>
  </w:style>
  <w:style w:type="character" w:customStyle="1" w:styleId="SaludoCar">
    <w:name w:val="Saludo Car"/>
    <w:basedOn w:val="Fuentedeprrafopredeter"/>
    <w:link w:val="Saludo"/>
    <w:uiPriority w:val="99"/>
    <w:rsid w:val="00B56707"/>
    <w:rPr>
      <w:rFonts w:ascii="Exo" w:hAnsi="Exo"/>
    </w:rPr>
  </w:style>
  <w:style w:type="paragraph" w:styleId="Textoindependiente">
    <w:name w:val="Body Text"/>
    <w:basedOn w:val="Normal"/>
    <w:link w:val="TextoindependienteCar"/>
    <w:uiPriority w:val="99"/>
    <w:unhideWhenUsed/>
    <w:rsid w:val="00B56707"/>
    <w:pPr>
      <w:spacing w:after="120"/>
    </w:pPr>
  </w:style>
  <w:style w:type="character" w:customStyle="1" w:styleId="TextoindependienteCar">
    <w:name w:val="Texto independiente Car"/>
    <w:basedOn w:val="Fuentedeprrafopredeter"/>
    <w:link w:val="Textoindependiente"/>
    <w:uiPriority w:val="99"/>
    <w:rsid w:val="00B56707"/>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B416-83CF-41C2-85CC-5CA84F89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3109</Words>
  <Characters>17102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54</cp:revision>
  <cp:lastPrinted>2025-03-25T23:27:00Z</cp:lastPrinted>
  <dcterms:created xsi:type="dcterms:W3CDTF">2025-03-24T01:10:00Z</dcterms:created>
  <dcterms:modified xsi:type="dcterms:W3CDTF">2025-03-26T15:40:00Z</dcterms:modified>
</cp:coreProperties>
</file>