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4F38C" w14:textId="4CFF74C6" w:rsidR="00390FEA" w:rsidRPr="0015006B" w:rsidRDefault="0015006B" w:rsidP="00DC1A3E">
      <w:pPr>
        <w:widowControl w:val="0"/>
        <w:rPr>
          <w:rFonts w:ascii="Arial" w:hAnsi="Arial" w:cs="Arial"/>
          <w:b/>
          <w:bCs/>
        </w:rPr>
      </w:pPr>
      <w:r w:rsidRPr="0015006B">
        <w:rPr>
          <w:rFonts w:ascii="Arial" w:hAnsi="Arial" w:cs="Arial"/>
          <w:b/>
          <w:bCs/>
        </w:rPr>
        <w:t>ACUERDO QUE, A PROPUESTA DE LA COMISIÓN DE ORGANIZACIÓN ELECTORAL Y EDUCACIÓN CÍVICA, EMITE EL CONSEJO ESTATAL DEL INSTITUTO ELECTORAL Y DE PARTICIPACIÓN CIUDADANA DE TABASCO MEDIANTE EL CUAL, APRUEBA EL PROTOCOLO PARA LA DETECCIÓN, RECOLECCIÓN, ENTREGA E INTERCAMBIO DE PAQUETES, DOCUMENTACIÓN Y MATERIALES ELECTORALES FEDERALES Y LOCALES ENTRE EL INE Y EL PROPIO INSTITUTO, RECIBIDOS EN LAS ETAPAS DE JORNADA ELECTORAL, CÓMPUTOS Y SUMATORIA DEL PROCESO ELECTORAL LOCAL EXTRAORDINARIO PARA PERSONAS JUZGADORAS DEL PODER JUDICIAL FEDERAL Y DEL ESTADO DE TABASCO 2024-2025</w:t>
      </w:r>
    </w:p>
    <w:p w14:paraId="1E331812" w14:textId="77777777" w:rsidR="00390FEA" w:rsidRPr="0015006B" w:rsidRDefault="00390FEA" w:rsidP="00DC1A3E">
      <w:pPr>
        <w:widowControl w:val="0"/>
        <w:rPr>
          <w:rFonts w:ascii="Arial" w:hAnsi="Arial" w:cs="Arial"/>
          <w:sz w:val="22"/>
        </w:rPr>
      </w:pPr>
      <w:r w:rsidRPr="0015006B">
        <w:rPr>
          <w:rFonts w:ascii="Arial" w:hAnsi="Arial" w:cs="Arial"/>
          <w:sz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15006B" w:rsidRPr="0015006B" w14:paraId="21EFF3D7" w14:textId="77777777" w:rsidTr="009D5AD4">
        <w:trPr>
          <w:trHeight w:val="624"/>
          <w:jc w:val="center"/>
        </w:trPr>
        <w:tc>
          <w:tcPr>
            <w:tcW w:w="2042" w:type="pct"/>
            <w:shd w:val="clear" w:color="auto" w:fill="auto"/>
            <w:vAlign w:val="center"/>
          </w:tcPr>
          <w:p w14:paraId="18923117" w14:textId="77777777" w:rsidR="00816042" w:rsidRPr="0015006B" w:rsidRDefault="00816042" w:rsidP="00465972">
            <w:pPr>
              <w:widowControl w:val="0"/>
              <w:spacing w:before="60" w:after="60"/>
              <w:jc w:val="right"/>
              <w:rPr>
                <w:rFonts w:ascii="Arial" w:hAnsi="Arial" w:cs="Arial"/>
                <w:b/>
                <w:bCs/>
                <w:sz w:val="20"/>
                <w:szCs w:val="22"/>
              </w:rPr>
            </w:pPr>
            <w:bookmarkStart w:id="0" w:name="_Hlk186652747"/>
            <w:r w:rsidRPr="0015006B">
              <w:rPr>
                <w:rFonts w:ascii="Arial" w:hAnsi="Arial" w:cs="Arial"/>
                <w:b/>
                <w:bCs/>
                <w:sz w:val="20"/>
                <w:szCs w:val="22"/>
              </w:rPr>
              <w:t>Comisión:</w:t>
            </w:r>
          </w:p>
        </w:tc>
        <w:tc>
          <w:tcPr>
            <w:tcW w:w="2958" w:type="pct"/>
            <w:shd w:val="clear" w:color="auto" w:fill="auto"/>
            <w:vAlign w:val="center"/>
          </w:tcPr>
          <w:p w14:paraId="3B721081"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Comisión de Organización Electoral y Educación Cívica.</w:t>
            </w:r>
          </w:p>
        </w:tc>
      </w:tr>
      <w:tr w:rsidR="0015006B" w:rsidRPr="0015006B" w14:paraId="7EFC67B6" w14:textId="77777777" w:rsidTr="009D5AD4">
        <w:trPr>
          <w:trHeight w:val="624"/>
          <w:jc w:val="center"/>
        </w:trPr>
        <w:tc>
          <w:tcPr>
            <w:tcW w:w="2042" w:type="pct"/>
            <w:shd w:val="clear" w:color="auto" w:fill="auto"/>
            <w:vAlign w:val="center"/>
          </w:tcPr>
          <w:p w14:paraId="0D6A43D1"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Consejo Estatal:</w:t>
            </w:r>
          </w:p>
        </w:tc>
        <w:tc>
          <w:tcPr>
            <w:tcW w:w="2958" w:type="pct"/>
            <w:shd w:val="clear" w:color="auto" w:fill="auto"/>
            <w:vAlign w:val="center"/>
          </w:tcPr>
          <w:p w14:paraId="40B8720E"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Consejo Estatal del Instituto Electoral y de Participación Ciudadana de Tabasco.</w:t>
            </w:r>
          </w:p>
        </w:tc>
      </w:tr>
      <w:tr w:rsidR="0015006B" w:rsidRPr="0015006B" w14:paraId="07FE112C" w14:textId="77777777" w:rsidTr="009D5AD4">
        <w:trPr>
          <w:trHeight w:val="624"/>
          <w:jc w:val="center"/>
        </w:trPr>
        <w:tc>
          <w:tcPr>
            <w:tcW w:w="2042" w:type="pct"/>
            <w:shd w:val="clear" w:color="auto" w:fill="auto"/>
            <w:vAlign w:val="center"/>
          </w:tcPr>
          <w:p w14:paraId="3423AF26"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Consejos Distritales:</w:t>
            </w:r>
          </w:p>
        </w:tc>
        <w:tc>
          <w:tcPr>
            <w:tcW w:w="2958" w:type="pct"/>
            <w:shd w:val="clear" w:color="auto" w:fill="auto"/>
            <w:vAlign w:val="center"/>
          </w:tcPr>
          <w:p w14:paraId="58030C5C"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Consejos Electorales Distritales del Instituto Electoral y de Participación Ciudadana de Tabasco.</w:t>
            </w:r>
          </w:p>
        </w:tc>
      </w:tr>
      <w:tr w:rsidR="0015006B" w:rsidRPr="0015006B" w14:paraId="0A077060" w14:textId="77777777" w:rsidTr="009D5AD4">
        <w:trPr>
          <w:trHeight w:val="624"/>
          <w:jc w:val="center"/>
        </w:trPr>
        <w:tc>
          <w:tcPr>
            <w:tcW w:w="2042" w:type="pct"/>
            <w:shd w:val="clear" w:color="auto" w:fill="auto"/>
            <w:vAlign w:val="center"/>
          </w:tcPr>
          <w:p w14:paraId="38E5801B"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Constitución Federal:</w:t>
            </w:r>
          </w:p>
        </w:tc>
        <w:tc>
          <w:tcPr>
            <w:tcW w:w="2958" w:type="pct"/>
            <w:shd w:val="clear" w:color="auto" w:fill="auto"/>
            <w:vAlign w:val="center"/>
          </w:tcPr>
          <w:p w14:paraId="57704B59"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Constitución Política de los Estados Unidos Mexicanos.</w:t>
            </w:r>
          </w:p>
        </w:tc>
      </w:tr>
      <w:tr w:rsidR="0015006B" w:rsidRPr="0015006B" w14:paraId="3D35CAB4" w14:textId="77777777" w:rsidTr="009D5AD4">
        <w:trPr>
          <w:trHeight w:val="624"/>
          <w:jc w:val="center"/>
        </w:trPr>
        <w:tc>
          <w:tcPr>
            <w:tcW w:w="2042" w:type="pct"/>
            <w:shd w:val="clear" w:color="auto" w:fill="auto"/>
            <w:vAlign w:val="center"/>
          </w:tcPr>
          <w:p w14:paraId="5A6EBA96"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Constitución Local:</w:t>
            </w:r>
          </w:p>
        </w:tc>
        <w:tc>
          <w:tcPr>
            <w:tcW w:w="2958" w:type="pct"/>
            <w:shd w:val="clear" w:color="auto" w:fill="auto"/>
            <w:vAlign w:val="center"/>
          </w:tcPr>
          <w:p w14:paraId="64F8F0AB"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Constitución Política del Estado Libre y Soberano de Tabasco.</w:t>
            </w:r>
          </w:p>
        </w:tc>
      </w:tr>
      <w:tr w:rsidR="0015006B" w:rsidRPr="0015006B" w14:paraId="3408A604" w14:textId="77777777" w:rsidTr="009D5AD4">
        <w:trPr>
          <w:trHeight w:val="624"/>
          <w:jc w:val="center"/>
        </w:trPr>
        <w:tc>
          <w:tcPr>
            <w:tcW w:w="2042" w:type="pct"/>
            <w:shd w:val="clear" w:color="auto" w:fill="auto"/>
            <w:vAlign w:val="center"/>
          </w:tcPr>
          <w:p w14:paraId="53AE3B86"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INE:</w:t>
            </w:r>
          </w:p>
        </w:tc>
        <w:tc>
          <w:tcPr>
            <w:tcW w:w="2958" w:type="pct"/>
            <w:shd w:val="clear" w:color="auto" w:fill="auto"/>
            <w:vAlign w:val="center"/>
          </w:tcPr>
          <w:p w14:paraId="5E2E5F3E"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Instituto Nacional Electoral.</w:t>
            </w:r>
          </w:p>
        </w:tc>
      </w:tr>
      <w:tr w:rsidR="0015006B" w:rsidRPr="0015006B" w14:paraId="2F6284C5" w14:textId="77777777" w:rsidTr="009D5AD4">
        <w:trPr>
          <w:trHeight w:val="624"/>
          <w:jc w:val="center"/>
        </w:trPr>
        <w:tc>
          <w:tcPr>
            <w:tcW w:w="2042" w:type="pct"/>
            <w:shd w:val="clear" w:color="auto" w:fill="auto"/>
            <w:vAlign w:val="center"/>
          </w:tcPr>
          <w:p w14:paraId="4AD5AEC9"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Instituto:</w:t>
            </w:r>
          </w:p>
        </w:tc>
        <w:tc>
          <w:tcPr>
            <w:tcW w:w="2958" w:type="pct"/>
            <w:shd w:val="clear" w:color="auto" w:fill="auto"/>
          </w:tcPr>
          <w:p w14:paraId="029F2BDE"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Instituto Electoral y de Participación Ciudadana de Tabasco.</w:t>
            </w:r>
          </w:p>
        </w:tc>
      </w:tr>
      <w:tr w:rsidR="0015006B" w:rsidRPr="0015006B" w14:paraId="33F4E5EC" w14:textId="77777777" w:rsidTr="009D5AD4">
        <w:trPr>
          <w:trHeight w:val="624"/>
          <w:jc w:val="center"/>
        </w:trPr>
        <w:tc>
          <w:tcPr>
            <w:tcW w:w="2042" w:type="pct"/>
            <w:shd w:val="clear" w:color="auto" w:fill="auto"/>
            <w:vAlign w:val="center"/>
          </w:tcPr>
          <w:p w14:paraId="718C37FB"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Ley Electoral:</w:t>
            </w:r>
          </w:p>
        </w:tc>
        <w:tc>
          <w:tcPr>
            <w:tcW w:w="2958" w:type="pct"/>
            <w:shd w:val="clear" w:color="auto" w:fill="auto"/>
            <w:vAlign w:val="center"/>
          </w:tcPr>
          <w:p w14:paraId="2B4C94CA"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Ley Electoral y de Partidos Políticos del Estado de Tabasco.</w:t>
            </w:r>
          </w:p>
        </w:tc>
      </w:tr>
      <w:tr w:rsidR="0015006B" w:rsidRPr="0015006B" w14:paraId="16307B04" w14:textId="77777777" w:rsidTr="009D5AD4">
        <w:trPr>
          <w:trHeight w:val="624"/>
          <w:jc w:val="center"/>
        </w:trPr>
        <w:tc>
          <w:tcPr>
            <w:tcW w:w="2042" w:type="pct"/>
            <w:shd w:val="clear" w:color="auto" w:fill="auto"/>
            <w:vAlign w:val="center"/>
          </w:tcPr>
          <w:p w14:paraId="55254EB9"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Ley General:</w:t>
            </w:r>
          </w:p>
        </w:tc>
        <w:tc>
          <w:tcPr>
            <w:tcW w:w="2958" w:type="pct"/>
            <w:shd w:val="clear" w:color="auto" w:fill="auto"/>
            <w:vAlign w:val="center"/>
          </w:tcPr>
          <w:p w14:paraId="1349EDB2"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Ley General de Instituciones y Procedimientos Electorales.</w:t>
            </w:r>
          </w:p>
        </w:tc>
      </w:tr>
      <w:tr w:rsidR="0015006B" w:rsidRPr="0015006B" w14:paraId="7EE38E5E" w14:textId="77777777" w:rsidTr="009D5AD4">
        <w:trPr>
          <w:trHeight w:val="624"/>
          <w:jc w:val="center"/>
        </w:trPr>
        <w:tc>
          <w:tcPr>
            <w:tcW w:w="2042" w:type="pct"/>
            <w:shd w:val="clear" w:color="auto" w:fill="auto"/>
            <w:vAlign w:val="center"/>
          </w:tcPr>
          <w:p w14:paraId="5CEC0884"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Lineamientos:</w:t>
            </w:r>
          </w:p>
        </w:tc>
        <w:tc>
          <w:tcPr>
            <w:tcW w:w="2958" w:type="pct"/>
            <w:shd w:val="clear" w:color="auto" w:fill="auto"/>
            <w:vAlign w:val="center"/>
          </w:tcPr>
          <w:p w14:paraId="660F9567"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 xml:space="preserve">Lineamientos para la detección, recolección, entrega e intercambio de paquetes, documentación y materiales electorales recibidos en órgano electoral distinto al competente, en la etapa de resultados y </w:t>
            </w:r>
            <w:r w:rsidRPr="0015006B">
              <w:rPr>
                <w:rFonts w:ascii="Arial" w:hAnsi="Arial" w:cs="Arial"/>
                <w:sz w:val="20"/>
                <w:szCs w:val="22"/>
              </w:rPr>
              <w:lastRenderedPageBreak/>
              <w:t>declaración de validez del Proceso Electoral Extraordinario para la elección de diversos cargos del Poder Judicial de la Federación 2024-2025, y elecciones locales concurrentes que se realicen aprobados por el Consejo General del INE, mediante acuerdo INE/CG56/2025.</w:t>
            </w:r>
          </w:p>
        </w:tc>
      </w:tr>
      <w:tr w:rsidR="0015006B" w:rsidRPr="0015006B" w14:paraId="5DB6E0B2" w14:textId="77777777" w:rsidTr="009D5AD4">
        <w:trPr>
          <w:trHeight w:val="624"/>
          <w:jc w:val="center"/>
        </w:trPr>
        <w:tc>
          <w:tcPr>
            <w:tcW w:w="2042" w:type="pct"/>
            <w:shd w:val="clear" w:color="auto" w:fill="auto"/>
            <w:vAlign w:val="center"/>
          </w:tcPr>
          <w:p w14:paraId="7AD9B94F"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lastRenderedPageBreak/>
              <w:t>Organismo electoral:</w:t>
            </w:r>
          </w:p>
        </w:tc>
        <w:tc>
          <w:tcPr>
            <w:tcW w:w="2958" w:type="pct"/>
            <w:shd w:val="clear" w:color="auto" w:fill="auto"/>
            <w:vAlign w:val="center"/>
          </w:tcPr>
          <w:p w14:paraId="0DA713FF"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 xml:space="preserve">Organismo(s) público(s) local(es) electoral(es). </w:t>
            </w:r>
          </w:p>
        </w:tc>
      </w:tr>
      <w:tr w:rsidR="0015006B" w:rsidRPr="0015006B" w14:paraId="63062357" w14:textId="77777777" w:rsidTr="009D5AD4">
        <w:trPr>
          <w:trHeight w:val="624"/>
          <w:jc w:val="center"/>
        </w:trPr>
        <w:tc>
          <w:tcPr>
            <w:tcW w:w="2042" w:type="pct"/>
            <w:shd w:val="clear" w:color="auto" w:fill="auto"/>
            <w:vAlign w:val="center"/>
          </w:tcPr>
          <w:p w14:paraId="4BD6FC4F"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Proceso Electoral Extraordinario:</w:t>
            </w:r>
          </w:p>
        </w:tc>
        <w:tc>
          <w:tcPr>
            <w:tcW w:w="2958" w:type="pct"/>
            <w:shd w:val="clear" w:color="auto" w:fill="auto"/>
            <w:vAlign w:val="center"/>
          </w:tcPr>
          <w:p w14:paraId="119A2EE8"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Proceso Electoral Local Extraordinario para personas juzgadoras del Poder Judicial del Estado 2024 – 2025.</w:t>
            </w:r>
          </w:p>
        </w:tc>
      </w:tr>
      <w:tr w:rsidR="0015006B" w:rsidRPr="0015006B" w14:paraId="6CB96B20" w14:textId="77777777" w:rsidTr="009D5AD4">
        <w:trPr>
          <w:trHeight w:val="624"/>
          <w:jc w:val="center"/>
        </w:trPr>
        <w:tc>
          <w:tcPr>
            <w:tcW w:w="2042" w:type="pct"/>
            <w:shd w:val="clear" w:color="auto" w:fill="auto"/>
            <w:vAlign w:val="center"/>
          </w:tcPr>
          <w:p w14:paraId="24B98789"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Reglamento de Comisiones:</w:t>
            </w:r>
          </w:p>
        </w:tc>
        <w:tc>
          <w:tcPr>
            <w:tcW w:w="2958" w:type="pct"/>
            <w:shd w:val="clear" w:color="auto" w:fill="auto"/>
            <w:vAlign w:val="center"/>
          </w:tcPr>
          <w:p w14:paraId="7C914964"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Reglamento de Comisiones del Consejo Estatal del Instituto Electoral y de Participación Ciudadana de Tabasco.</w:t>
            </w:r>
          </w:p>
        </w:tc>
      </w:tr>
      <w:tr w:rsidR="0015006B" w:rsidRPr="0015006B" w14:paraId="2BF83680" w14:textId="77777777" w:rsidTr="009D5AD4">
        <w:trPr>
          <w:trHeight w:val="624"/>
          <w:jc w:val="center"/>
        </w:trPr>
        <w:tc>
          <w:tcPr>
            <w:tcW w:w="2042" w:type="pct"/>
            <w:shd w:val="clear" w:color="auto" w:fill="auto"/>
            <w:vAlign w:val="center"/>
          </w:tcPr>
          <w:p w14:paraId="204F96C0" w14:textId="77777777" w:rsidR="00816042" w:rsidRPr="0015006B" w:rsidRDefault="00816042" w:rsidP="00465972">
            <w:pPr>
              <w:widowControl w:val="0"/>
              <w:spacing w:before="60" w:after="60"/>
              <w:jc w:val="right"/>
              <w:rPr>
                <w:rFonts w:ascii="Arial" w:hAnsi="Arial" w:cs="Arial"/>
                <w:b/>
                <w:bCs/>
                <w:sz w:val="20"/>
                <w:szCs w:val="22"/>
              </w:rPr>
            </w:pPr>
            <w:r w:rsidRPr="0015006B">
              <w:rPr>
                <w:rFonts w:ascii="Arial" w:hAnsi="Arial" w:cs="Arial"/>
                <w:b/>
                <w:bCs/>
                <w:sz w:val="20"/>
                <w:szCs w:val="22"/>
              </w:rPr>
              <w:t>Secretaría Ejecutiva:</w:t>
            </w:r>
          </w:p>
        </w:tc>
        <w:tc>
          <w:tcPr>
            <w:tcW w:w="2958" w:type="pct"/>
            <w:shd w:val="clear" w:color="auto" w:fill="auto"/>
            <w:vAlign w:val="center"/>
          </w:tcPr>
          <w:p w14:paraId="2856FB6C" w14:textId="77777777" w:rsidR="00816042" w:rsidRPr="0015006B" w:rsidRDefault="00816042" w:rsidP="00465972">
            <w:pPr>
              <w:widowControl w:val="0"/>
              <w:spacing w:before="60" w:after="60"/>
              <w:rPr>
                <w:rFonts w:ascii="Arial" w:hAnsi="Arial" w:cs="Arial"/>
                <w:sz w:val="20"/>
                <w:szCs w:val="22"/>
              </w:rPr>
            </w:pPr>
            <w:r w:rsidRPr="0015006B">
              <w:rPr>
                <w:rFonts w:ascii="Arial" w:hAnsi="Arial" w:cs="Arial"/>
                <w:sz w:val="20"/>
                <w:szCs w:val="22"/>
              </w:rPr>
              <w:t>Secretaría Ejecutiva del Instituto Electoral y de Participación Ciudadana de Tabasco.</w:t>
            </w:r>
          </w:p>
        </w:tc>
      </w:tr>
    </w:tbl>
    <w:bookmarkEnd w:id="0"/>
    <w:p w14:paraId="0D284ABB" w14:textId="77777777" w:rsidR="00A02E2C" w:rsidRPr="0015006B" w:rsidRDefault="00A02E2C" w:rsidP="001B7BE2">
      <w:pPr>
        <w:pStyle w:val="Ttulo1"/>
        <w:rPr>
          <w:rFonts w:ascii="Arial" w:hAnsi="Arial" w:cs="Arial"/>
          <w:color w:val="auto"/>
          <w:sz w:val="24"/>
        </w:rPr>
      </w:pPr>
      <w:r w:rsidRPr="0015006B">
        <w:rPr>
          <w:rFonts w:ascii="Arial" w:hAnsi="Arial" w:cs="Arial"/>
          <w:color w:val="auto"/>
          <w:sz w:val="24"/>
        </w:rPr>
        <w:t>Antecedentes</w:t>
      </w:r>
    </w:p>
    <w:p w14:paraId="6A07FCA4"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Fines del Instituto</w:t>
      </w:r>
    </w:p>
    <w:p w14:paraId="4F74064E" w14:textId="77777777" w:rsidR="00A02E2C" w:rsidRPr="0015006B" w:rsidRDefault="00A02E2C" w:rsidP="00DC1A3E">
      <w:pPr>
        <w:widowControl w:val="0"/>
        <w:rPr>
          <w:rFonts w:ascii="Arial" w:hAnsi="Arial" w:cs="Arial"/>
          <w:sz w:val="22"/>
        </w:rPr>
      </w:pPr>
      <w:r w:rsidRPr="0015006B">
        <w:rPr>
          <w:rFonts w:ascii="Arial" w:hAnsi="Arial" w:cs="Arial"/>
          <w:sz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122B94D" w14:textId="334CD155" w:rsidR="00A02E2C" w:rsidRPr="0015006B" w:rsidRDefault="00A02E2C" w:rsidP="00DC1A3E">
      <w:pPr>
        <w:widowControl w:val="0"/>
        <w:rPr>
          <w:rFonts w:ascii="Arial" w:hAnsi="Arial" w:cs="Arial"/>
          <w:sz w:val="22"/>
        </w:rPr>
      </w:pPr>
      <w:r w:rsidRPr="0015006B">
        <w:rPr>
          <w:rFonts w:ascii="Arial" w:hAnsi="Arial" w:cs="Arial"/>
          <w:sz w:val="22"/>
        </w:rPr>
        <w:t>Además, es responsable de la organización de las elecciones estatales, distritales y municipales, entre ellas la relativa a las personas titulares de las magistraturas del Tribunal de Disciplina Judicial y del Tribunal Superior de Justicia, así como de las Juezas y Jueces del Poder Judicial del Estado.</w:t>
      </w:r>
    </w:p>
    <w:p w14:paraId="1C2B8615" w14:textId="77777777" w:rsidR="00A02E2C" w:rsidRPr="0015006B" w:rsidRDefault="00A02E2C" w:rsidP="00DC1A3E">
      <w:pPr>
        <w:widowControl w:val="0"/>
        <w:rPr>
          <w:rFonts w:ascii="Arial" w:hAnsi="Arial" w:cs="Arial"/>
          <w:sz w:val="22"/>
        </w:rPr>
      </w:pPr>
      <w:r w:rsidRPr="0015006B">
        <w:rPr>
          <w:rFonts w:ascii="Arial" w:hAnsi="Arial" w:cs="Arial"/>
          <w:sz w:val="22"/>
        </w:rPr>
        <w:t xml:space="preserve">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w:t>
      </w:r>
      <w:r w:rsidRPr="0015006B">
        <w:rPr>
          <w:rFonts w:ascii="Arial" w:hAnsi="Arial" w:cs="Arial"/>
          <w:sz w:val="22"/>
        </w:rPr>
        <w:lastRenderedPageBreak/>
        <w:t>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1E44DFD8"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Integración del órgano superior de dirección</w:t>
      </w:r>
    </w:p>
    <w:p w14:paraId="534C28BA" w14:textId="77777777" w:rsidR="00A02E2C" w:rsidRPr="0015006B" w:rsidRDefault="00A02E2C" w:rsidP="00DC1A3E">
      <w:pPr>
        <w:widowControl w:val="0"/>
        <w:rPr>
          <w:rFonts w:ascii="Arial" w:hAnsi="Arial" w:cs="Arial"/>
          <w:sz w:val="22"/>
        </w:rPr>
      </w:pPr>
      <w:r w:rsidRPr="0015006B">
        <w:rPr>
          <w:rFonts w:ascii="Arial" w:hAnsi="Arial" w:cs="Arial"/>
          <w:sz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BC33772" w14:textId="77777777" w:rsidR="00A02E2C" w:rsidRPr="0015006B" w:rsidRDefault="00A02E2C" w:rsidP="00DC1A3E">
      <w:pPr>
        <w:widowControl w:val="0"/>
        <w:rPr>
          <w:rFonts w:ascii="Arial" w:hAnsi="Arial" w:cs="Arial"/>
          <w:sz w:val="22"/>
        </w:rPr>
      </w:pPr>
      <w:r w:rsidRPr="0015006B">
        <w:rPr>
          <w:rFonts w:ascii="Arial" w:hAnsi="Arial" w:cs="Arial"/>
          <w:sz w:val="22"/>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B32DC03" w14:textId="77777777" w:rsidR="00A02E2C" w:rsidRPr="0015006B" w:rsidRDefault="00A02E2C" w:rsidP="00DC1A3E">
      <w:pPr>
        <w:widowControl w:val="0"/>
        <w:rPr>
          <w:rFonts w:ascii="Arial" w:hAnsi="Arial" w:cs="Arial"/>
          <w:sz w:val="22"/>
        </w:rPr>
      </w:pPr>
      <w:r w:rsidRPr="0015006B">
        <w:rPr>
          <w:rFonts w:ascii="Arial" w:hAnsi="Arial" w:cs="Arial"/>
          <w:sz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692F69DB"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Comisiones del Instituto</w:t>
      </w:r>
    </w:p>
    <w:p w14:paraId="5AFCDFAF" w14:textId="4DFE78FA" w:rsidR="00A02E2C" w:rsidRDefault="00A02E2C" w:rsidP="00DC1A3E">
      <w:pPr>
        <w:widowControl w:val="0"/>
        <w:rPr>
          <w:rFonts w:ascii="Arial" w:hAnsi="Arial" w:cs="Arial"/>
          <w:sz w:val="22"/>
        </w:rPr>
      </w:pPr>
      <w:r w:rsidRPr="0015006B">
        <w:rPr>
          <w:rFonts w:ascii="Arial" w:hAnsi="Arial" w:cs="Arial"/>
          <w:sz w:val="22"/>
        </w:rPr>
        <w:t>El artículo 113 numeral 1 de la Ley Electoral dispone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siempre serán presididas por una Consejera o un Consejero Electoral, salvo la de Vinculación con el INE, que será presidida por la Consejera o el Consejero Presidente.</w:t>
      </w:r>
    </w:p>
    <w:p w14:paraId="3673F313" w14:textId="77777777" w:rsidR="003B787F" w:rsidRPr="0015006B" w:rsidRDefault="003B787F" w:rsidP="00DC1A3E">
      <w:pPr>
        <w:widowControl w:val="0"/>
        <w:rPr>
          <w:rFonts w:ascii="Arial" w:hAnsi="Arial" w:cs="Arial"/>
          <w:sz w:val="22"/>
        </w:rPr>
      </w:pPr>
    </w:p>
    <w:p w14:paraId="321E1058"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lastRenderedPageBreak/>
        <w:t xml:space="preserve">Reforma Constitucional </w:t>
      </w:r>
    </w:p>
    <w:p w14:paraId="4665DCA8" w14:textId="77777777" w:rsidR="00A02E2C" w:rsidRPr="0015006B" w:rsidRDefault="00A02E2C" w:rsidP="00DC1A3E">
      <w:pPr>
        <w:widowControl w:val="0"/>
        <w:rPr>
          <w:rFonts w:ascii="Arial" w:hAnsi="Arial" w:cs="Arial"/>
          <w:sz w:val="22"/>
        </w:rPr>
      </w:pPr>
      <w:r w:rsidRPr="0015006B">
        <w:rPr>
          <w:rFonts w:ascii="Arial" w:hAnsi="Arial" w:cs="Arial"/>
          <w:sz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4CCEE6F5" w14:textId="77777777" w:rsidR="00A02E2C" w:rsidRPr="0015006B" w:rsidRDefault="00A02E2C" w:rsidP="00DC1A3E">
      <w:pPr>
        <w:widowControl w:val="0"/>
        <w:rPr>
          <w:rFonts w:ascii="Arial" w:hAnsi="Arial" w:cs="Arial"/>
          <w:sz w:val="22"/>
        </w:rPr>
      </w:pPr>
      <w:r w:rsidRPr="0015006B">
        <w:rPr>
          <w:rFonts w:ascii="Arial" w:hAnsi="Arial" w:cs="Arial"/>
          <w:sz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E0CCEEB"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Inicio del Proceso Electoral Extraordinario</w:t>
      </w:r>
    </w:p>
    <w:p w14:paraId="4C6B028F" w14:textId="77777777" w:rsidR="00A02E2C" w:rsidRPr="0015006B" w:rsidRDefault="00A02E2C" w:rsidP="00DC1A3E">
      <w:pPr>
        <w:widowControl w:val="0"/>
        <w:rPr>
          <w:rFonts w:ascii="Arial" w:hAnsi="Arial" w:cs="Arial"/>
          <w:sz w:val="22"/>
        </w:rPr>
      </w:pPr>
      <w:r w:rsidRPr="0015006B">
        <w:rPr>
          <w:rFonts w:ascii="Arial" w:hAnsi="Arial" w:cs="Arial"/>
          <w:sz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3F5280E7"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Reforma a la Ley Electoral</w:t>
      </w:r>
    </w:p>
    <w:p w14:paraId="5B27EC4B" w14:textId="77777777" w:rsidR="00A02E2C" w:rsidRPr="0015006B" w:rsidRDefault="00A02E2C" w:rsidP="00DC1A3E">
      <w:pPr>
        <w:widowControl w:val="0"/>
        <w:rPr>
          <w:rFonts w:ascii="Arial" w:hAnsi="Arial" w:cs="Arial"/>
          <w:sz w:val="22"/>
        </w:rPr>
      </w:pPr>
      <w:r w:rsidRPr="0015006B">
        <w:rPr>
          <w:rFonts w:ascii="Arial" w:hAnsi="Arial" w:cs="Arial"/>
          <w:sz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2E5FE334" w14:textId="0725C82D"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 xml:space="preserve">Integración de la Comisión </w:t>
      </w:r>
    </w:p>
    <w:p w14:paraId="34E9D55C" w14:textId="77777777" w:rsidR="00A02E2C" w:rsidRPr="0015006B" w:rsidRDefault="00A02E2C" w:rsidP="00DC1A3E">
      <w:pPr>
        <w:widowControl w:val="0"/>
        <w:rPr>
          <w:rFonts w:ascii="Arial" w:hAnsi="Arial" w:cs="Arial"/>
          <w:sz w:val="22"/>
        </w:rPr>
      </w:pPr>
      <w:r w:rsidRPr="0015006B">
        <w:rPr>
          <w:rFonts w:ascii="Arial" w:hAnsi="Arial" w:cs="Arial"/>
          <w:sz w:val="22"/>
        </w:rPr>
        <w:t xml:space="preserve">El 4 de octubre de 2024, mediante acuerdo CE/2024/090, el Consejo Estatal modificó la </w:t>
      </w:r>
      <w:r w:rsidRPr="0015006B">
        <w:rPr>
          <w:rFonts w:ascii="Arial" w:hAnsi="Arial" w:cs="Arial"/>
          <w:sz w:val="22"/>
        </w:rPr>
        <w:lastRenderedPageBreak/>
        <w:t>conformación de las Comisiones Permanentes, entre ellas, la relativa a la de Organización Electoral y Educación Cívica, quedando integrada por el Consejero Electoral Mtro. Hernán González Sala y las Consejeras Electorales, Licda. Ángela Guadalupe Araujo Segura y Licda. María Elvia Magaña Sandoval, ésta última, Presidenta de la Comisión.</w:t>
      </w:r>
    </w:p>
    <w:p w14:paraId="0EECD422" w14:textId="593AC1FB" w:rsidR="00A02E2C" w:rsidRPr="0015006B" w:rsidRDefault="00A97F9D" w:rsidP="00DC1A3E">
      <w:pPr>
        <w:pStyle w:val="Ttulo2"/>
        <w:keepNext w:val="0"/>
        <w:widowControl w:val="0"/>
        <w:rPr>
          <w:rFonts w:ascii="Arial" w:hAnsi="Arial" w:cs="Arial"/>
          <w:color w:val="auto"/>
          <w:sz w:val="22"/>
        </w:rPr>
      </w:pPr>
      <w:r w:rsidRPr="0015006B">
        <w:rPr>
          <w:rFonts w:ascii="Arial" w:hAnsi="Arial" w:cs="Arial"/>
          <w:color w:val="auto"/>
          <w:sz w:val="22"/>
        </w:rPr>
        <w:t xml:space="preserve">Lineamientos aprobados </w:t>
      </w:r>
      <w:r w:rsidR="00A02E2C" w:rsidRPr="0015006B">
        <w:rPr>
          <w:rFonts w:ascii="Arial" w:hAnsi="Arial" w:cs="Arial"/>
          <w:color w:val="auto"/>
          <w:sz w:val="22"/>
        </w:rPr>
        <w:t>por el INE</w:t>
      </w:r>
    </w:p>
    <w:p w14:paraId="00885363" w14:textId="28DBC3D7" w:rsidR="00A97F9D" w:rsidRPr="0015006B" w:rsidRDefault="00A02E2C" w:rsidP="00DC1A3E">
      <w:pPr>
        <w:widowControl w:val="0"/>
        <w:rPr>
          <w:rFonts w:ascii="Arial" w:hAnsi="Arial" w:cs="Arial"/>
          <w:sz w:val="22"/>
        </w:rPr>
      </w:pPr>
      <w:r w:rsidRPr="0015006B">
        <w:rPr>
          <w:rFonts w:ascii="Arial" w:hAnsi="Arial" w:cs="Arial"/>
          <w:sz w:val="22"/>
        </w:rPr>
        <w:t xml:space="preserve">El </w:t>
      </w:r>
      <w:r w:rsidR="00A97F9D" w:rsidRPr="0015006B">
        <w:rPr>
          <w:rFonts w:ascii="Arial" w:hAnsi="Arial" w:cs="Arial"/>
          <w:sz w:val="22"/>
        </w:rPr>
        <w:t xml:space="preserve">5 </w:t>
      </w:r>
      <w:r w:rsidRPr="0015006B">
        <w:rPr>
          <w:rFonts w:ascii="Arial" w:hAnsi="Arial" w:cs="Arial"/>
          <w:sz w:val="22"/>
        </w:rPr>
        <w:t xml:space="preserve">de </w:t>
      </w:r>
      <w:r w:rsidR="00A97F9D" w:rsidRPr="0015006B">
        <w:rPr>
          <w:rFonts w:ascii="Arial" w:hAnsi="Arial" w:cs="Arial"/>
          <w:sz w:val="22"/>
        </w:rPr>
        <w:t xml:space="preserve">febrero </w:t>
      </w:r>
      <w:r w:rsidRPr="0015006B">
        <w:rPr>
          <w:rFonts w:ascii="Arial" w:hAnsi="Arial" w:cs="Arial"/>
          <w:sz w:val="22"/>
        </w:rPr>
        <w:t>de 2025, mediante acuerdo INE/CG5</w:t>
      </w:r>
      <w:r w:rsidR="00A97F9D" w:rsidRPr="0015006B">
        <w:rPr>
          <w:rFonts w:ascii="Arial" w:hAnsi="Arial" w:cs="Arial"/>
          <w:sz w:val="22"/>
        </w:rPr>
        <w:t>6</w:t>
      </w:r>
      <w:r w:rsidRPr="0015006B">
        <w:rPr>
          <w:rFonts w:ascii="Arial" w:hAnsi="Arial" w:cs="Arial"/>
          <w:sz w:val="22"/>
        </w:rPr>
        <w:t xml:space="preserve">/2025, el Consejo General del INE </w:t>
      </w:r>
      <w:r w:rsidR="00A97F9D" w:rsidRPr="0015006B">
        <w:rPr>
          <w:rFonts w:ascii="Arial" w:hAnsi="Arial" w:cs="Arial"/>
          <w:sz w:val="22"/>
        </w:rPr>
        <w:t>aprobó los Lineamientos, los cuales tienen la finalidad de preservar la cadena de custodia de los paquetes electorales, toda vez que en el supuesto de que no se pudieran tomar las medidas necesarias para garantizar el cumplimiento de los principios constitucionales rectores de los procesos electorales, sobre el resguardo de paquetes electorales, podría generar una serie de violaciones e irregularidades que podrían ser determinantes para el resultado de alguna elección.</w:t>
      </w:r>
    </w:p>
    <w:p w14:paraId="501696E1"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Jornada electoral</w:t>
      </w:r>
    </w:p>
    <w:p w14:paraId="0DA70D7C" w14:textId="77777777" w:rsidR="00A02E2C" w:rsidRPr="0015006B" w:rsidRDefault="00A02E2C" w:rsidP="00DC1A3E">
      <w:pPr>
        <w:widowControl w:val="0"/>
        <w:rPr>
          <w:rFonts w:ascii="Arial" w:hAnsi="Arial" w:cs="Arial"/>
          <w:sz w:val="22"/>
        </w:rPr>
      </w:pPr>
      <w:r w:rsidRPr="0015006B">
        <w:rPr>
          <w:rFonts w:ascii="Arial" w:hAnsi="Arial" w:cs="Arial"/>
          <w:sz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634E6CEB" w14:textId="77777777" w:rsidR="00A02E2C" w:rsidRPr="0015006B" w:rsidRDefault="00A02E2C" w:rsidP="00DC1A3E">
      <w:pPr>
        <w:pStyle w:val="Ttulo2"/>
        <w:keepNext w:val="0"/>
        <w:widowControl w:val="0"/>
        <w:rPr>
          <w:rFonts w:ascii="Arial" w:hAnsi="Arial" w:cs="Arial"/>
          <w:color w:val="auto"/>
          <w:sz w:val="22"/>
        </w:rPr>
      </w:pPr>
      <w:r w:rsidRPr="0015006B">
        <w:rPr>
          <w:rFonts w:ascii="Arial" w:hAnsi="Arial" w:cs="Arial"/>
          <w:color w:val="auto"/>
          <w:sz w:val="22"/>
        </w:rPr>
        <w:t xml:space="preserve">Presentación de la propuesta </w:t>
      </w:r>
    </w:p>
    <w:p w14:paraId="52B550F5" w14:textId="33528F92" w:rsidR="00A02E2C" w:rsidRDefault="00A02E2C" w:rsidP="00DC1A3E">
      <w:pPr>
        <w:widowControl w:val="0"/>
        <w:rPr>
          <w:rFonts w:ascii="Arial" w:hAnsi="Arial" w:cs="Arial"/>
          <w:sz w:val="22"/>
        </w:rPr>
      </w:pPr>
      <w:r w:rsidRPr="0015006B">
        <w:rPr>
          <w:rFonts w:ascii="Arial" w:hAnsi="Arial" w:cs="Arial"/>
          <w:sz w:val="22"/>
        </w:rPr>
        <w:t xml:space="preserve">El 1 de febrero de 2025, el </w:t>
      </w:r>
      <w:r w:rsidR="000774A3" w:rsidRPr="0015006B">
        <w:rPr>
          <w:rFonts w:ascii="Arial" w:hAnsi="Arial" w:cs="Arial"/>
          <w:sz w:val="22"/>
        </w:rPr>
        <w:t>Secretario T</w:t>
      </w:r>
      <w:r w:rsidRPr="0015006B">
        <w:rPr>
          <w:rFonts w:ascii="Arial" w:hAnsi="Arial" w:cs="Arial"/>
          <w:sz w:val="22"/>
        </w:rPr>
        <w:t>écnico de la Comisión, mediante oficio COEYEC/ST/RAG/045/2025, remitió a la Presidencia del Consejo, la propuesta aprobada por la Comisión relativa al Protocolo para la detección, recolección, entrega e intercambio de paquetes, documentación y materiales electorales federales y locales entre el INE y el propio Instituto, recibidos en las etapas de jornada electoral, cómputos y sumatoria del Proceso Electoral Local Extraordinario para personas Juzgadoras del Poder Judicial Federal y del Estado de Tabasco 2024-2025; lo anterior, para efectos de someterla a la deliberación de este Consejo Estatal.</w:t>
      </w:r>
    </w:p>
    <w:p w14:paraId="015AAB1C" w14:textId="091E3B02" w:rsidR="003B787F" w:rsidRDefault="003B787F" w:rsidP="00DC1A3E">
      <w:pPr>
        <w:widowControl w:val="0"/>
        <w:rPr>
          <w:rFonts w:ascii="Arial" w:hAnsi="Arial" w:cs="Arial"/>
          <w:sz w:val="22"/>
        </w:rPr>
      </w:pPr>
    </w:p>
    <w:p w14:paraId="67CA774B" w14:textId="77777777" w:rsidR="003B787F" w:rsidRPr="0015006B" w:rsidRDefault="003B787F" w:rsidP="00DC1A3E">
      <w:pPr>
        <w:widowControl w:val="0"/>
        <w:rPr>
          <w:rFonts w:ascii="Arial" w:hAnsi="Arial" w:cs="Arial"/>
          <w:sz w:val="22"/>
        </w:rPr>
      </w:pPr>
    </w:p>
    <w:p w14:paraId="5A5AAA91" w14:textId="4FEEFA58" w:rsidR="00A02E2C" w:rsidRPr="0015006B" w:rsidRDefault="00D919C6" w:rsidP="00DC1A3E">
      <w:pPr>
        <w:pStyle w:val="Ttulo1"/>
        <w:keepNext w:val="0"/>
        <w:widowControl w:val="0"/>
        <w:rPr>
          <w:rFonts w:ascii="Arial" w:hAnsi="Arial" w:cs="Arial"/>
          <w:color w:val="auto"/>
          <w:sz w:val="24"/>
        </w:rPr>
      </w:pPr>
      <w:r w:rsidRPr="0015006B">
        <w:rPr>
          <w:rFonts w:ascii="Arial" w:hAnsi="Arial" w:cs="Arial"/>
          <w:color w:val="auto"/>
          <w:sz w:val="24"/>
        </w:rPr>
        <w:lastRenderedPageBreak/>
        <w:t>Considerando</w:t>
      </w:r>
    </w:p>
    <w:p w14:paraId="4B65B1F8" w14:textId="757B1FC4" w:rsidR="00D919C6" w:rsidRPr="0015006B" w:rsidRDefault="00D919C6"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Competencia del Consejo Estatal</w:t>
      </w:r>
    </w:p>
    <w:p w14:paraId="176953B5" w14:textId="543771A6" w:rsidR="00D919C6" w:rsidRPr="0015006B" w:rsidRDefault="00D919C6" w:rsidP="00DC1A3E">
      <w:pPr>
        <w:widowControl w:val="0"/>
        <w:rPr>
          <w:rFonts w:ascii="Arial" w:hAnsi="Arial" w:cs="Arial"/>
          <w:sz w:val="22"/>
          <w:szCs w:val="22"/>
        </w:rPr>
      </w:pPr>
      <w:r w:rsidRPr="0015006B">
        <w:rPr>
          <w:rFonts w:ascii="Arial" w:hAnsi="Arial" w:cs="Arial"/>
          <w:sz w:val="22"/>
          <w:szCs w:val="22"/>
        </w:rPr>
        <w:t xml:space="preserve">Que, de conformidad con los artículos 115 numeral 1, </w:t>
      </w:r>
      <w:r w:rsidR="000257F0" w:rsidRPr="0015006B">
        <w:rPr>
          <w:rFonts w:ascii="Arial" w:hAnsi="Arial" w:cs="Arial"/>
          <w:sz w:val="22"/>
          <w:szCs w:val="22"/>
        </w:rPr>
        <w:t xml:space="preserve">fracción </w:t>
      </w:r>
      <w:r w:rsidRPr="0015006B">
        <w:rPr>
          <w:rFonts w:ascii="Arial" w:hAnsi="Arial" w:cs="Arial"/>
          <w:sz w:val="22"/>
          <w:szCs w:val="22"/>
        </w:rPr>
        <w:t>XL</w:t>
      </w:r>
      <w:r w:rsidR="000257F0" w:rsidRPr="0015006B">
        <w:rPr>
          <w:rFonts w:ascii="Arial" w:hAnsi="Arial" w:cs="Arial"/>
          <w:sz w:val="22"/>
          <w:szCs w:val="22"/>
        </w:rPr>
        <w:t xml:space="preserve"> y 393 numeral 1 fracción II </w:t>
      </w:r>
      <w:r w:rsidRPr="0015006B">
        <w:rPr>
          <w:rFonts w:ascii="Arial" w:hAnsi="Arial" w:cs="Arial"/>
          <w:sz w:val="22"/>
          <w:szCs w:val="22"/>
        </w:rPr>
        <w:t>de la Ley Electoral, el Consejo Estatal es competente para organizar el proceso electivo de las personas juzgadoras, su jornada electoral y los cómputos de los resultados electorales, en los términos que determine la Ley General y la Ley Electoral</w:t>
      </w:r>
      <w:r w:rsidR="000257F0" w:rsidRPr="0015006B">
        <w:rPr>
          <w:rFonts w:ascii="Arial" w:hAnsi="Arial" w:cs="Arial"/>
          <w:sz w:val="22"/>
          <w:szCs w:val="22"/>
        </w:rPr>
        <w:t>, además de aprobar los lineamientos o acuerdos necesarios para llevar a cabo la organización, desarrollo y cómputo de la elección.</w:t>
      </w:r>
    </w:p>
    <w:p w14:paraId="35654025" w14:textId="77777777" w:rsidR="00AA576A" w:rsidRPr="0015006B" w:rsidRDefault="00AA576A" w:rsidP="00AA576A">
      <w:pPr>
        <w:widowControl w:val="0"/>
        <w:rPr>
          <w:rFonts w:ascii="Arial" w:hAnsi="Arial" w:cs="Arial"/>
          <w:sz w:val="22"/>
          <w:szCs w:val="22"/>
        </w:rPr>
      </w:pPr>
      <w:r w:rsidRPr="0015006B">
        <w:rPr>
          <w:rFonts w:ascii="Arial" w:hAnsi="Arial" w:cs="Arial"/>
          <w:sz w:val="22"/>
          <w:szCs w:val="22"/>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5053F799" w14:textId="218C00ED" w:rsidR="00E05661" w:rsidRPr="0015006B" w:rsidRDefault="00E05661"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 xml:space="preserve">Proceso electoral </w:t>
      </w:r>
      <w:r w:rsidR="00CA369E" w:rsidRPr="0015006B">
        <w:rPr>
          <w:rFonts w:ascii="Arial" w:hAnsi="Arial" w:cs="Arial"/>
          <w:color w:val="auto"/>
          <w:sz w:val="22"/>
          <w:szCs w:val="22"/>
        </w:rPr>
        <w:t xml:space="preserve">para </w:t>
      </w:r>
      <w:r w:rsidRPr="0015006B">
        <w:rPr>
          <w:rFonts w:ascii="Arial" w:hAnsi="Arial" w:cs="Arial"/>
          <w:color w:val="auto"/>
          <w:sz w:val="22"/>
          <w:szCs w:val="22"/>
        </w:rPr>
        <w:t>personas juzgadoras</w:t>
      </w:r>
    </w:p>
    <w:p w14:paraId="404E9A40"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Que, el artículo 386 numeral 1 de la Ley Electoral dispone que, el proceso electoral de las personas juzgadoras del Poder Judicial es el conjunto de actos ordenados por la Constitución Local y la Ley Electoral, realizado por las autoridades electorales, el Congreso del Estado, así como la ciudadanía, que tiene por objeto la renovación periódica de las personas juzgadoras que integran el Poder Judicial.</w:t>
      </w:r>
    </w:p>
    <w:p w14:paraId="228051C8" w14:textId="77777777" w:rsidR="00E05661" w:rsidRPr="0015006B" w:rsidRDefault="00E05661"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Etapas del proceso electoral de las personas juzgadoras</w:t>
      </w:r>
    </w:p>
    <w:p w14:paraId="2FCE38E7"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Que, el artículo 387 numeral 1 de la Ley Electoral establece que, el proceso de elección de las personas juzgadoras del Poder Judicial comprende las siguientes etapas:</w:t>
      </w:r>
    </w:p>
    <w:p w14:paraId="1569C831" w14:textId="77777777" w:rsidR="00E05661" w:rsidRPr="0015006B" w:rsidRDefault="00E05661" w:rsidP="00DC1A3E">
      <w:pPr>
        <w:pStyle w:val="Prrafodelista"/>
        <w:widowControl w:val="0"/>
        <w:numPr>
          <w:ilvl w:val="0"/>
          <w:numId w:val="1"/>
        </w:numPr>
        <w:rPr>
          <w:rFonts w:ascii="Arial" w:hAnsi="Arial" w:cs="Arial"/>
          <w:sz w:val="22"/>
          <w:szCs w:val="22"/>
        </w:rPr>
      </w:pPr>
      <w:r w:rsidRPr="0015006B">
        <w:rPr>
          <w:rFonts w:ascii="Arial" w:hAnsi="Arial" w:cs="Arial"/>
          <w:sz w:val="22"/>
          <w:szCs w:val="22"/>
        </w:rPr>
        <w:t>Preparación de la elección;</w:t>
      </w:r>
    </w:p>
    <w:p w14:paraId="1631C437" w14:textId="77777777" w:rsidR="00E05661" w:rsidRPr="0015006B" w:rsidRDefault="00E05661" w:rsidP="00DC1A3E">
      <w:pPr>
        <w:pStyle w:val="Prrafodelista"/>
        <w:widowControl w:val="0"/>
        <w:numPr>
          <w:ilvl w:val="0"/>
          <w:numId w:val="1"/>
        </w:numPr>
        <w:rPr>
          <w:rFonts w:ascii="Arial" w:hAnsi="Arial" w:cs="Arial"/>
          <w:sz w:val="22"/>
          <w:szCs w:val="22"/>
        </w:rPr>
      </w:pPr>
      <w:r w:rsidRPr="0015006B">
        <w:rPr>
          <w:rFonts w:ascii="Arial" w:hAnsi="Arial" w:cs="Arial"/>
          <w:sz w:val="22"/>
          <w:szCs w:val="22"/>
        </w:rPr>
        <w:t>Convocatoria y postulación de candidaturas;</w:t>
      </w:r>
    </w:p>
    <w:p w14:paraId="0E411F3E" w14:textId="77777777" w:rsidR="00E05661" w:rsidRPr="0015006B" w:rsidRDefault="00E05661" w:rsidP="00DC1A3E">
      <w:pPr>
        <w:pStyle w:val="Prrafodelista"/>
        <w:widowControl w:val="0"/>
        <w:numPr>
          <w:ilvl w:val="0"/>
          <w:numId w:val="1"/>
        </w:numPr>
        <w:rPr>
          <w:rFonts w:ascii="Arial" w:hAnsi="Arial" w:cs="Arial"/>
          <w:sz w:val="22"/>
          <w:szCs w:val="22"/>
        </w:rPr>
      </w:pPr>
      <w:r w:rsidRPr="0015006B">
        <w:rPr>
          <w:rFonts w:ascii="Arial" w:hAnsi="Arial" w:cs="Arial"/>
          <w:sz w:val="22"/>
          <w:szCs w:val="22"/>
        </w:rPr>
        <w:t>Jornada electoral;</w:t>
      </w:r>
    </w:p>
    <w:p w14:paraId="735835E8" w14:textId="77777777" w:rsidR="00E05661" w:rsidRPr="0015006B" w:rsidRDefault="00E05661" w:rsidP="00DC1A3E">
      <w:pPr>
        <w:pStyle w:val="Prrafodelista"/>
        <w:widowControl w:val="0"/>
        <w:numPr>
          <w:ilvl w:val="0"/>
          <w:numId w:val="1"/>
        </w:numPr>
        <w:rPr>
          <w:rFonts w:ascii="Arial" w:hAnsi="Arial" w:cs="Arial"/>
          <w:sz w:val="22"/>
          <w:szCs w:val="22"/>
        </w:rPr>
      </w:pPr>
      <w:r w:rsidRPr="0015006B">
        <w:rPr>
          <w:rFonts w:ascii="Arial" w:hAnsi="Arial" w:cs="Arial"/>
          <w:sz w:val="22"/>
          <w:szCs w:val="22"/>
        </w:rPr>
        <w:t>Cómputos y sumatoria;</w:t>
      </w:r>
    </w:p>
    <w:p w14:paraId="1A1901D1" w14:textId="77777777" w:rsidR="00E05661" w:rsidRPr="0015006B" w:rsidRDefault="00E05661" w:rsidP="00DC1A3E">
      <w:pPr>
        <w:pStyle w:val="Prrafodelista"/>
        <w:widowControl w:val="0"/>
        <w:numPr>
          <w:ilvl w:val="0"/>
          <w:numId w:val="1"/>
        </w:numPr>
        <w:rPr>
          <w:rFonts w:ascii="Arial" w:hAnsi="Arial" w:cs="Arial"/>
          <w:sz w:val="22"/>
          <w:szCs w:val="22"/>
        </w:rPr>
      </w:pPr>
      <w:r w:rsidRPr="0015006B">
        <w:rPr>
          <w:rFonts w:ascii="Arial" w:hAnsi="Arial" w:cs="Arial"/>
          <w:sz w:val="22"/>
          <w:szCs w:val="22"/>
        </w:rPr>
        <w:t>Asignación de cargos, y</w:t>
      </w:r>
    </w:p>
    <w:p w14:paraId="4C675E35" w14:textId="77777777" w:rsidR="00E05661" w:rsidRPr="0015006B" w:rsidRDefault="00E05661" w:rsidP="00DC1A3E">
      <w:pPr>
        <w:pStyle w:val="Prrafodelista"/>
        <w:widowControl w:val="0"/>
        <w:numPr>
          <w:ilvl w:val="0"/>
          <w:numId w:val="1"/>
        </w:numPr>
        <w:rPr>
          <w:rFonts w:ascii="Arial" w:hAnsi="Arial" w:cs="Arial"/>
          <w:sz w:val="22"/>
          <w:szCs w:val="22"/>
        </w:rPr>
      </w:pPr>
      <w:r w:rsidRPr="0015006B">
        <w:rPr>
          <w:rFonts w:ascii="Arial" w:hAnsi="Arial" w:cs="Arial"/>
          <w:sz w:val="22"/>
          <w:szCs w:val="22"/>
        </w:rPr>
        <w:t>La entrega de constancias de mayoría y declaración de validez de la elección.</w:t>
      </w:r>
    </w:p>
    <w:p w14:paraId="7518B0DD"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lastRenderedPageBreak/>
        <w:t>Por su parte, el numeral 3 del artículo 387 de la Ley Electoral refiere que, la etapa de convocatoria y postulación de candidaturas inicia con la publicación de la convocatoria que emita el Congreso Local conforme a la fracción I del primer párrafo del artículo 56 de la Constitución Local, y concluye con la remisión por dicho órgano legislativo del listado de candidaturas al Instituto.</w:t>
      </w:r>
    </w:p>
    <w:p w14:paraId="4F461442"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En el caso de la jornada electoral, ésta inicia a las 8:00 horas del primer domingo de junio del año que corresponda y concluye con el cómputo de los votos en casilla, de conformidad con el numeral 4 del artículo 387 de la Ley Electoral.</w:t>
      </w:r>
    </w:p>
    <w:p w14:paraId="4E83F920"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De acuerdo con el numeral 5 del artículo referido, la etapa de cómputos y sumatoria inicia con la remisión de la documentación y los expedientes electorales a los Consejos Distritales y concluye con la sumatoria de los cómputos de la elección que realice el Consejo Estatal.</w:t>
      </w:r>
    </w:p>
    <w:p w14:paraId="37F90F9A"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Respecto a la etapa de asignación de cargos, conforme al numeral 6 del artículo 387 de la Ley Electoral inicia con la identificación por el Instituto de las candidaturas que hayan obtenido el mayor número de votos y la asignación de estas en cada cargo, en función de su especialización por materia y alternando entre mujeres y hombres. Concluye con la entrega por el Instituto de las constancias de mayoría a las candidaturas que resulten ganadoras y la emisión de la declaración de validez respectiva.</w:t>
      </w:r>
    </w:p>
    <w:p w14:paraId="68D84BA7"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Finalmente, en términos del numeral 7 del artículo citado, la etapa de calificación y declaración de validez inicia al resolverse el último de los medios de impugnación que se hubiesen interpuesto en contra de las elecciones respectivas o cuando se tenga constancia de que no se presentó ninguno, y concluye al aprobar el Tribunal Electoral el dictamen que contenga el cómputo final de la elección.</w:t>
      </w:r>
    </w:p>
    <w:p w14:paraId="6E050668" w14:textId="77777777" w:rsidR="00E05661" w:rsidRPr="0015006B" w:rsidRDefault="00E05661"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Órganos distritales del Instituto</w:t>
      </w:r>
    </w:p>
    <w:p w14:paraId="51D3B9AE"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Que, el artículo 123 numeral 1 de la Ley Electoral dispone que, en cada una de las cabeceras distritales del Estado, el Instituto contará con un órgano electoral integrado de la manera siguiente:</w:t>
      </w:r>
    </w:p>
    <w:p w14:paraId="42872E0A" w14:textId="77777777" w:rsidR="00E05661" w:rsidRPr="0015006B" w:rsidRDefault="00E05661" w:rsidP="00DC1A3E">
      <w:pPr>
        <w:pStyle w:val="Prrafodelista"/>
        <w:widowControl w:val="0"/>
        <w:numPr>
          <w:ilvl w:val="0"/>
          <w:numId w:val="2"/>
        </w:numPr>
        <w:rPr>
          <w:rFonts w:ascii="Arial" w:hAnsi="Arial" w:cs="Arial"/>
          <w:sz w:val="22"/>
          <w:szCs w:val="22"/>
        </w:rPr>
      </w:pPr>
      <w:r w:rsidRPr="0015006B">
        <w:rPr>
          <w:rFonts w:ascii="Arial" w:hAnsi="Arial" w:cs="Arial"/>
          <w:sz w:val="22"/>
          <w:szCs w:val="22"/>
        </w:rPr>
        <w:t>La Junta Electoral Distrital;</w:t>
      </w:r>
    </w:p>
    <w:p w14:paraId="56FE09B4" w14:textId="77777777" w:rsidR="00E05661" w:rsidRPr="0015006B" w:rsidRDefault="00E05661" w:rsidP="00DC1A3E">
      <w:pPr>
        <w:pStyle w:val="Prrafodelista"/>
        <w:widowControl w:val="0"/>
        <w:numPr>
          <w:ilvl w:val="0"/>
          <w:numId w:val="2"/>
        </w:numPr>
        <w:rPr>
          <w:rFonts w:ascii="Arial" w:hAnsi="Arial" w:cs="Arial"/>
          <w:sz w:val="22"/>
          <w:szCs w:val="22"/>
        </w:rPr>
      </w:pPr>
      <w:r w:rsidRPr="0015006B">
        <w:rPr>
          <w:rFonts w:ascii="Arial" w:hAnsi="Arial" w:cs="Arial"/>
          <w:sz w:val="22"/>
          <w:szCs w:val="22"/>
        </w:rPr>
        <w:t>La Vocalía Ejecutiva Distrital, y</w:t>
      </w:r>
    </w:p>
    <w:p w14:paraId="6AC71096" w14:textId="77777777" w:rsidR="00E05661" w:rsidRPr="0015006B" w:rsidRDefault="00E05661" w:rsidP="00DC1A3E">
      <w:pPr>
        <w:pStyle w:val="Prrafodelista"/>
        <w:widowControl w:val="0"/>
        <w:numPr>
          <w:ilvl w:val="0"/>
          <w:numId w:val="2"/>
        </w:numPr>
        <w:rPr>
          <w:rFonts w:ascii="Arial" w:hAnsi="Arial" w:cs="Arial"/>
          <w:sz w:val="22"/>
          <w:szCs w:val="22"/>
        </w:rPr>
      </w:pPr>
      <w:r w:rsidRPr="0015006B">
        <w:rPr>
          <w:rFonts w:ascii="Arial" w:hAnsi="Arial" w:cs="Arial"/>
          <w:sz w:val="22"/>
          <w:szCs w:val="22"/>
        </w:rPr>
        <w:t>El Consejo Electoral Distrital.</w:t>
      </w:r>
    </w:p>
    <w:p w14:paraId="2CA81BAE" w14:textId="77777777" w:rsidR="00E05661" w:rsidRPr="0015006B" w:rsidRDefault="00E05661"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Integración de las Juntas Distritales</w:t>
      </w:r>
    </w:p>
    <w:p w14:paraId="7C5B1B81" w14:textId="0ABFDDF9" w:rsidR="0015006B" w:rsidRPr="0015006B" w:rsidRDefault="00E05661" w:rsidP="00DC1A3E">
      <w:pPr>
        <w:widowControl w:val="0"/>
        <w:rPr>
          <w:rFonts w:ascii="Arial" w:hAnsi="Arial" w:cs="Arial"/>
          <w:sz w:val="22"/>
          <w:szCs w:val="22"/>
        </w:rPr>
      </w:pPr>
      <w:r w:rsidRPr="0015006B">
        <w:rPr>
          <w:rFonts w:ascii="Arial" w:hAnsi="Arial" w:cs="Arial"/>
          <w:sz w:val="22"/>
          <w:szCs w:val="22"/>
        </w:rPr>
        <w:t xml:space="preserve">Que, de conformidad con el artículo 124 numeral 1 de la Ley Electoral, las Juntas Distritales </w:t>
      </w:r>
      <w:r w:rsidRPr="0015006B">
        <w:rPr>
          <w:rFonts w:ascii="Arial" w:hAnsi="Arial" w:cs="Arial"/>
          <w:sz w:val="22"/>
          <w:szCs w:val="22"/>
        </w:rPr>
        <w:lastRenderedPageBreak/>
        <w:t>son órganos operativos temporales que se integrarán para cada proceso electoral con una o un Vocal Ejecutivo, una o un Vocal Secretario y una o un Vocal de Organización Electoral y Educación Cívica.</w:t>
      </w:r>
    </w:p>
    <w:p w14:paraId="0FB4B741" w14:textId="77777777" w:rsidR="00E05661" w:rsidRPr="0015006B" w:rsidRDefault="00E05661"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Integración de los Consejos Distritales</w:t>
      </w:r>
    </w:p>
    <w:p w14:paraId="22E6DFE1"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Que, de acuerdo con el artículo 127 numeral 1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0E27751C"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En lo que respecta a las o los Vocales Secretario, y de Organización Electoral y Educación Cívica concurrirán a sus sesiones con voz, pero sin voto. El primero, además, fungirá como Secretaria o Secretario del Consejo Electoral Distrital.</w:t>
      </w:r>
    </w:p>
    <w:p w14:paraId="1AC479C2"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No obstante, de conformidad con el segundo párrafo del numeral 1 del artículo 127 de la Ley Electoral, para los procesos electorales de las Personas Juzgadoras, el Consejo Estatal podrá emitir acuerdos, lineamientos y demás normativa que estime necesaria para modificar el número de personas Consejeras Electorales Distritales, debiendo tomar en cuenta las disposiciones presupuestales, fundando, motivando y justificando tales determinaciones.</w:t>
      </w:r>
    </w:p>
    <w:p w14:paraId="53EB1E00" w14:textId="287AF8C9" w:rsidR="009547ED" w:rsidRPr="0015006B" w:rsidRDefault="00D628E8" w:rsidP="00DC1A3E">
      <w:pPr>
        <w:widowControl w:val="0"/>
        <w:rPr>
          <w:rFonts w:ascii="Arial" w:hAnsi="Arial" w:cs="Arial"/>
          <w:sz w:val="22"/>
          <w:szCs w:val="22"/>
        </w:rPr>
      </w:pPr>
      <w:r w:rsidRPr="0015006B">
        <w:rPr>
          <w:rFonts w:ascii="Arial" w:hAnsi="Arial" w:cs="Arial"/>
          <w:sz w:val="22"/>
          <w:szCs w:val="22"/>
        </w:rPr>
        <w:t xml:space="preserve">En tal sentido, </w:t>
      </w:r>
      <w:r w:rsidR="009547ED" w:rsidRPr="0015006B">
        <w:rPr>
          <w:rFonts w:ascii="Arial" w:hAnsi="Arial" w:cs="Arial"/>
          <w:sz w:val="22"/>
          <w:szCs w:val="22"/>
        </w:rPr>
        <w:t xml:space="preserve">el 14 de marzo de 2025 el Consejo Estatal, mediante acuerdo CE/2025/023, modificó el número de personas Consejeras Electorales Distritales, reduciendo a 4 propietarias y 4 suplentes. </w:t>
      </w:r>
    </w:p>
    <w:p w14:paraId="7E7FBEFF" w14:textId="77777777" w:rsidR="00E05661" w:rsidRPr="0015006B" w:rsidRDefault="00E05661"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Elección por distritos judiciales</w:t>
      </w:r>
    </w:p>
    <w:p w14:paraId="05CF2D55" w14:textId="77777777" w:rsidR="00E05661" w:rsidRPr="0015006B" w:rsidRDefault="00E05661" w:rsidP="00DC1A3E">
      <w:pPr>
        <w:widowControl w:val="0"/>
        <w:rPr>
          <w:rFonts w:ascii="Arial" w:hAnsi="Arial" w:cs="Arial"/>
          <w:sz w:val="22"/>
          <w:szCs w:val="22"/>
        </w:rPr>
      </w:pPr>
      <w:r w:rsidRPr="0015006B">
        <w:rPr>
          <w:rFonts w:ascii="Arial" w:hAnsi="Arial" w:cs="Arial"/>
          <w:sz w:val="22"/>
          <w:szCs w:val="22"/>
        </w:rPr>
        <w:t>Que, el artículo 400 numeral 1 de la Ley Electoral dispone que, en el mes de diciembre del año previo al de la elección, el Órgano de Administración Judicial remitirá al Instituto la división del territorio estatal por distrito judicial, indicando el número y materia del Tribunal o Juzgados que tengan residencia en cada distrito judicial, y la sede de los juzgados regionales. En caso de que el Órgano de Administración Judicial no remita dicha información, el Instituto determinará lo conducente con la información pública que disponga.</w:t>
      </w:r>
    </w:p>
    <w:p w14:paraId="0957A8EF" w14:textId="77777777" w:rsidR="00FD78F2" w:rsidRPr="0015006B" w:rsidRDefault="00FD78F2"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Marco geográfico para el Proceso Electoral Extraordinario</w:t>
      </w:r>
    </w:p>
    <w:p w14:paraId="1D504CA9" w14:textId="7366DD41" w:rsidR="00FD78F2" w:rsidRPr="0015006B" w:rsidRDefault="00FD78F2" w:rsidP="00DC1A3E">
      <w:pPr>
        <w:widowControl w:val="0"/>
        <w:rPr>
          <w:rFonts w:ascii="Arial" w:hAnsi="Arial" w:cs="Arial"/>
          <w:sz w:val="22"/>
          <w:szCs w:val="22"/>
        </w:rPr>
      </w:pPr>
      <w:r w:rsidRPr="0015006B">
        <w:rPr>
          <w:rFonts w:ascii="Arial" w:hAnsi="Arial" w:cs="Arial"/>
          <w:sz w:val="22"/>
          <w:szCs w:val="22"/>
        </w:rPr>
        <w:t xml:space="preserve">Que, el 13 de marzo de 2025, mediante acuerdo INE/CG218/2025, el Consejo General del </w:t>
      </w:r>
      <w:r w:rsidRPr="0015006B">
        <w:rPr>
          <w:rFonts w:ascii="Arial" w:hAnsi="Arial" w:cs="Arial"/>
          <w:sz w:val="22"/>
          <w:szCs w:val="22"/>
        </w:rPr>
        <w:lastRenderedPageBreak/>
        <w:t>INE aprobó el marco geográfico electoral para el Proceso Electoral Extraordinario, quedando conformado de la siguiente manera:</w:t>
      </w:r>
    </w:p>
    <w:p w14:paraId="27D5735F"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Distrito Judicial Electoral Local 1</w:t>
      </w:r>
      <w:r w:rsidRPr="0015006B">
        <w:rPr>
          <w:rFonts w:ascii="Arial" w:hAnsi="Arial" w:cs="Arial"/>
          <w:sz w:val="22"/>
          <w:szCs w:val="22"/>
        </w:rPr>
        <w:t xml:space="preserve"> conformado por las siguientes secciones electorales del municipio de </w:t>
      </w:r>
      <w:r w:rsidRPr="0015006B">
        <w:rPr>
          <w:rFonts w:ascii="Arial" w:hAnsi="Arial" w:cs="Arial"/>
          <w:b/>
          <w:bCs/>
          <w:sz w:val="22"/>
          <w:szCs w:val="22"/>
        </w:rPr>
        <w:t>Cárdenas</w:t>
      </w:r>
      <w:r w:rsidRPr="0015006B">
        <w:rPr>
          <w:rFonts w:ascii="Arial" w:hAnsi="Arial" w:cs="Arial"/>
          <w:sz w:val="22"/>
          <w:szCs w:val="22"/>
        </w:rPr>
        <w:t xml:space="preserve">: 71, 72, 80, 81, 86, 102, 112, 113, 114, 115, 116, 126, 128, 135, 141, 157, 158, 159, 161 y 163; y, las siguientes secciones electorales del municipio de </w:t>
      </w:r>
      <w:r w:rsidRPr="0015006B">
        <w:rPr>
          <w:rFonts w:ascii="Arial" w:hAnsi="Arial" w:cs="Arial"/>
          <w:b/>
          <w:bCs/>
          <w:sz w:val="22"/>
          <w:szCs w:val="22"/>
        </w:rPr>
        <w:t>Huimanguillo</w:t>
      </w:r>
      <w:r w:rsidRPr="0015006B">
        <w:rPr>
          <w:rFonts w:ascii="Arial" w:hAnsi="Arial" w:cs="Arial"/>
          <w:sz w:val="22"/>
          <w:szCs w:val="22"/>
        </w:rPr>
        <w:t>: 699, 700, 701, 702, 703, 704, 705, 706, 707, 708, 709, 710, 711, 712, 713, 714, 715, 716, 717, 718, 719, 720, 721, 722, 723, 726, 727, 728, 729, 731, 732, 733, 736, 1199,1200 y 1201.</w:t>
      </w:r>
    </w:p>
    <w:p w14:paraId="42B7C872"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Distrito Judicial Electoral Local 2</w:t>
      </w:r>
      <w:r w:rsidRPr="0015006B">
        <w:rPr>
          <w:rFonts w:ascii="Arial" w:hAnsi="Arial" w:cs="Arial"/>
          <w:sz w:val="22"/>
          <w:szCs w:val="22"/>
        </w:rPr>
        <w:t xml:space="preserve"> conformado por las siguientes secciones electorales del municipio de </w:t>
      </w:r>
      <w:r w:rsidRPr="0015006B">
        <w:rPr>
          <w:rFonts w:ascii="Arial" w:hAnsi="Arial" w:cs="Arial"/>
          <w:b/>
          <w:bCs/>
          <w:sz w:val="22"/>
          <w:szCs w:val="22"/>
        </w:rPr>
        <w:t>Cárdenas</w:t>
      </w:r>
      <w:r w:rsidRPr="0015006B">
        <w:rPr>
          <w:rFonts w:ascii="Arial" w:hAnsi="Arial" w:cs="Arial"/>
          <w:sz w:val="22"/>
          <w:szCs w:val="22"/>
        </w:rPr>
        <w:t>: 46, 47, 48, 49, 50, 51, 52, 53, 54, 55, 56, 57, 58, 59, 60, 61, 62, 63, 64, 65, 66, 67, 68, 69, 70, 73, 74, 75, 76, 77, 78, 79, 82, 83, 84, 85, 87, 88, 89, 90, 91, 92, 93, 94, 95, 96, 97, 98, 99, 100, 101, 103, 104, 105, 106, 107, 108, 109, 110, 111, 117, 118, 119, 120, 121, 122, 123, 124, 125, 127, 129, 130, 131, 132, 133, 134, 136, 137, 138, 139, 140, 142, 143, 144, 145, 146, 147, 148, 149, 150, 151, 152, 153, 154, 155, 156, 160, 162, 164, 165, 166 y 167.</w:t>
      </w:r>
    </w:p>
    <w:p w14:paraId="1F919B74"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Distrito Judicial Electoral Local 3</w:t>
      </w:r>
      <w:r w:rsidRPr="0015006B">
        <w:rPr>
          <w:rFonts w:ascii="Arial" w:hAnsi="Arial" w:cs="Arial"/>
          <w:sz w:val="22"/>
          <w:szCs w:val="22"/>
        </w:rPr>
        <w:t xml:space="preserve"> conformado por las siguientes secciones electorales del municipio de </w:t>
      </w:r>
      <w:r w:rsidRPr="0015006B">
        <w:rPr>
          <w:rFonts w:ascii="Arial" w:hAnsi="Arial" w:cs="Arial"/>
          <w:b/>
          <w:bCs/>
          <w:sz w:val="22"/>
          <w:szCs w:val="22"/>
        </w:rPr>
        <w:t>Centla</w:t>
      </w:r>
      <w:r w:rsidRPr="0015006B">
        <w:rPr>
          <w:rFonts w:ascii="Arial" w:hAnsi="Arial" w:cs="Arial"/>
          <w:sz w:val="22"/>
          <w:szCs w:val="22"/>
        </w:rPr>
        <w:t>: 168, 169, 170, 171, 172, 173, 174, 175, 176, 177, 178, 179, 180, 181, 182, 183, 184, 185, 186, 187, 188, 189, 190, 191, 192, 193, 194, 195, 196, 197, 198, 199, 200, 201, 202, 203, 204, 205, 206, 207, 208, 209, 210, 211, 212, 213, 214, 215, 216, 217, 218, 219, 220, 221, 222, 223, 224, 225, 226, 227, 228, 229, 230 y 231.</w:t>
      </w:r>
    </w:p>
    <w:p w14:paraId="3005630B"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Distrito Judicial Electoral Local 4</w:t>
      </w:r>
      <w:r w:rsidRPr="0015006B">
        <w:rPr>
          <w:rFonts w:ascii="Arial" w:hAnsi="Arial" w:cs="Arial"/>
          <w:sz w:val="22"/>
          <w:szCs w:val="22"/>
        </w:rPr>
        <w:t xml:space="preserve"> conformado por las siguientes secciones electorales del municipio de </w:t>
      </w:r>
      <w:r w:rsidRPr="0015006B">
        <w:rPr>
          <w:rFonts w:ascii="Arial" w:hAnsi="Arial" w:cs="Arial"/>
          <w:b/>
          <w:bCs/>
          <w:sz w:val="22"/>
          <w:szCs w:val="22"/>
        </w:rPr>
        <w:t>Centro</w:t>
      </w:r>
      <w:r w:rsidRPr="0015006B">
        <w:rPr>
          <w:rFonts w:ascii="Arial" w:hAnsi="Arial" w:cs="Arial"/>
          <w:sz w:val="22"/>
          <w:szCs w:val="22"/>
        </w:rPr>
        <w:t>: 268, 273, 274, 275, 276, 302, 303, 304, 314, 315, 316, 327, 328, 342, 343, 344, 345, 346, 347, 348, 349, 366, 367, 368, 369, 370, 371, 373, 374,  375, 376, 392, 393, 394, 395, 396, 397, 398, 399, 400, 407, 408, 409, 410, 411, 412, 418, 452, 453, 458, 459, 460, 461, 462, 463, 465, 468, 469, 470, 475, 476, 477, 479, 480, 481, 482, 490, 491, 492, 494, 495, 496, 497, 498, 507, 508, 510, 1166, 1167, 1168, 1169, 1170, 1171, 1204, 1205, 1206 y 1207.</w:t>
      </w:r>
    </w:p>
    <w:p w14:paraId="59B575C9"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5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Centro</w:t>
      </w:r>
      <w:r w:rsidRPr="0015006B">
        <w:rPr>
          <w:rFonts w:ascii="Arial" w:hAnsi="Arial" w:cs="Arial"/>
          <w:sz w:val="22"/>
          <w:szCs w:val="22"/>
        </w:rPr>
        <w:t>: 233, 234, 235, 236, 237, 238, 239, 240, 241,  242, 243, 244, 245, 246, 247, 248, 249, 250, 251, 252, 253, 254, 255, 256, 257, 258, 259, 260, 261, 262, 263, 264, 265, 266, 267, 269, 270, 271, 272, 277, 278, 279, 280, 281, 285, 286, 287, 288, 289, 294, 295, 296, 297, 298, 299, 419, 420, 421, 422, 423, 424, 425, 426, 427, 428, 429, 430, 431, 432, 433, 434, 436, 437, 438, 439, 441, 442, 443, 444, 445, 446, 447, 448, 451, 454, 455, 456, 472, 478, 1148, 1149, 1154, 1155, 1156, 1157, 1158, 1159, 1163, 1164, 1165, 1182, 1183, 1184, 1185 y 1186.</w:t>
      </w:r>
    </w:p>
    <w:p w14:paraId="2174833A"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lastRenderedPageBreak/>
        <w:t xml:space="preserve">Distrito Judicial Electoral Local 6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Centro</w:t>
      </w:r>
      <w:r w:rsidRPr="0015006B">
        <w:rPr>
          <w:rFonts w:ascii="Arial" w:hAnsi="Arial" w:cs="Arial"/>
          <w:sz w:val="22"/>
          <w:szCs w:val="22"/>
        </w:rPr>
        <w:t>: 282, 283, 284, 290, 291, 292, 293, 300, 301, 305, 306, 307, 308, 309, 310, 311, 312, 313, 317, 318, 319, 320, 321, 322, 323, 324, 325, 326, 329, 330, 331, 332, 333, 334, 335, 336, 337, 338, 339, 340, 341, 350, 351, 352, 353, 354, 355, 356, 357, 358, 359, 360, 361, 362, 363, 364, 365, 377, 378, 379, 380, 381, 382, 383, 384, 385, 386, 387, 388, 389, 390, 391, 401, 402, 403, 404, 406, 413, 414, 415, 416, 417, 457, 466, 471, 473, 474, 483, 484, 485, 486, 487, 488, 489, 493, 499, 501, 503, 504, 505, 509, 1160, 1161, 1162, 1172, 1173, 1174, 1175, 1176, 1177, 1178, 1179, 1193, 1194, 1195, 1196, 1197 y 1198.</w:t>
      </w:r>
    </w:p>
    <w:p w14:paraId="0DDB0E6E"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7 </w:t>
      </w:r>
      <w:r w:rsidRPr="0015006B">
        <w:rPr>
          <w:rFonts w:ascii="Arial" w:hAnsi="Arial" w:cs="Arial"/>
          <w:sz w:val="22"/>
          <w:szCs w:val="22"/>
        </w:rPr>
        <w:t>conformado por las siguientes secciones electorales del municipio de Comalcalco: 512, 513, 514, 515,</w:t>
      </w:r>
      <w:r w:rsidRPr="0015006B">
        <w:rPr>
          <w:rFonts w:ascii="Arial" w:hAnsi="Arial" w:cs="Arial"/>
          <w:sz w:val="22"/>
          <w:szCs w:val="22"/>
        </w:rPr>
        <w:tab/>
        <w:t>516, 517, 518, 519, 520, 521, 522, 523, 524, 525, 526, 527, 529, 530, 531, 532, 533, 534, 535, 536, 537, 548, 549, 550, 551, 552, 553, 554, 556, 557, 558, 559, 560, 561, 562, 563, 564, 565, 566, 567, 568, 569, 570, 571, 572, 573, 574, 575, 576, 577, 578, 579, 580, 581, 582, 583, 584, 585, 586, 587, 588, 589, 590, 591, 592, 593, 594, 595, 596, 597, 598, 599, 600, 601, 602, 603, 604, 605, 606, 607, 608, 618, 619, 620, 621, 622, 624, 626, 627, 628, 633, 1145, 1146, 1147, 1152 y 1153.</w:t>
      </w:r>
    </w:p>
    <w:p w14:paraId="27C55AF1"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8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Cunduacán</w:t>
      </w:r>
      <w:r w:rsidRPr="0015006B">
        <w:rPr>
          <w:rFonts w:ascii="Arial" w:hAnsi="Arial" w:cs="Arial"/>
          <w:sz w:val="22"/>
          <w:szCs w:val="22"/>
        </w:rPr>
        <w:t>: 609, 610, 611, 612, 613, 614, 615, 616, 617, 623, 625, 629, 630, 631, 632, 634, 635, 636, 637, 638, 639, 640, 641, 642, 643, 644, 645, 646, 647, 648, 649, 650, 651, 652, 653, 655, 656, 657, 658, 659, 660, 661, 662, 663, 664, 665, 666, 667, 1202 y 1203.</w:t>
      </w:r>
    </w:p>
    <w:p w14:paraId="593EA63E"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9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Emiliano Zapata</w:t>
      </w:r>
      <w:r w:rsidRPr="0015006B">
        <w:rPr>
          <w:rFonts w:ascii="Arial" w:hAnsi="Arial" w:cs="Arial"/>
          <w:sz w:val="22"/>
          <w:szCs w:val="22"/>
        </w:rPr>
        <w:t xml:space="preserve">: 668, 669, 670, 671, 672, 673, 674, 675, 676, 677, 678, 679, 680, 681, 682 y 683; las siguientes secciones electorales del municipio de </w:t>
      </w:r>
      <w:r w:rsidRPr="0015006B">
        <w:rPr>
          <w:rFonts w:ascii="Arial" w:hAnsi="Arial" w:cs="Arial"/>
          <w:b/>
          <w:bCs/>
          <w:sz w:val="22"/>
          <w:szCs w:val="22"/>
        </w:rPr>
        <w:t>Jonuta</w:t>
      </w:r>
      <w:r w:rsidRPr="0015006B">
        <w:rPr>
          <w:rFonts w:ascii="Arial" w:hAnsi="Arial" w:cs="Arial"/>
          <w:sz w:val="22"/>
          <w:szCs w:val="22"/>
        </w:rPr>
        <w:t xml:space="preserve">: 846, 847, 848, 849, 850, 851, 852, 853, 854, 855, 856, 857, 858, 859, 860, 861, 862, 863, 864, 865, 866, 867, 868, 869, 870 y 871; y, las siguientes secciones electorales del municipio de </w:t>
      </w:r>
      <w:r w:rsidRPr="0015006B">
        <w:rPr>
          <w:rFonts w:ascii="Arial" w:hAnsi="Arial" w:cs="Arial"/>
          <w:b/>
          <w:bCs/>
          <w:sz w:val="22"/>
          <w:szCs w:val="22"/>
        </w:rPr>
        <w:t>Macuspana</w:t>
      </w:r>
      <w:r w:rsidRPr="0015006B">
        <w:rPr>
          <w:rFonts w:ascii="Arial" w:hAnsi="Arial" w:cs="Arial"/>
          <w:sz w:val="22"/>
          <w:szCs w:val="22"/>
        </w:rPr>
        <w:t>: 886, 887, 888, 889, 890, 891, 892, 893, 894, 895, 896, 897, 898, 899, 900, 901, 902, 903, 904, 905, 906, 907, 910, 911, 912, 913, 915, 919, 920, 921, 922, 924, 925, 926, 929, 931, 932, 936, 937 y 943.</w:t>
      </w:r>
    </w:p>
    <w:p w14:paraId="537C786E"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10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Huimanguillo</w:t>
      </w:r>
      <w:r w:rsidRPr="0015006B">
        <w:rPr>
          <w:rFonts w:ascii="Arial" w:hAnsi="Arial" w:cs="Arial"/>
          <w:sz w:val="22"/>
          <w:szCs w:val="22"/>
        </w:rPr>
        <w:t>: 684, 685, 686, 687, 688, 689, 690, 691, 692, 693, 694, 695, 696, 697, 698, 725, 730, 734, 735, 737, 738, 739, 740, 741, 742, 743, 744, 745, 746, 747, 748, 749, 750, 751, 752, 753, 754, 755, 756, 757, 758, 759, 760, 761, 762, 763, 764, 765, 766, 767, 768, 769, 770, 771, 772, 773, 774, 775, 776, 777, 778, 779 y 780,</w:t>
      </w:r>
    </w:p>
    <w:p w14:paraId="692500FB"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lastRenderedPageBreak/>
        <w:t xml:space="preserve">Distrito Judicial Electoral Local 11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Jalapa</w:t>
      </w:r>
      <w:r w:rsidRPr="0015006B">
        <w:rPr>
          <w:rFonts w:ascii="Arial" w:hAnsi="Arial" w:cs="Arial"/>
          <w:sz w:val="22"/>
          <w:szCs w:val="22"/>
        </w:rPr>
        <w:t xml:space="preserve">: 781, 782, 783, 784, 785, 786, 787, 788, 789, 790, 791, 792, 793, 794, 795, 796, 797, 798, 799, 800, 801, 802, 803, 804, 805, 806, 807 y 808; y, las siguientes secciones electorales del municipio de </w:t>
      </w:r>
      <w:r w:rsidRPr="0015006B">
        <w:rPr>
          <w:rFonts w:ascii="Arial" w:hAnsi="Arial" w:cs="Arial"/>
          <w:b/>
          <w:bCs/>
          <w:sz w:val="22"/>
          <w:szCs w:val="22"/>
        </w:rPr>
        <w:t>Macuspana</w:t>
      </w:r>
      <w:r w:rsidRPr="0015006B">
        <w:rPr>
          <w:rFonts w:ascii="Arial" w:hAnsi="Arial" w:cs="Arial"/>
          <w:sz w:val="22"/>
          <w:szCs w:val="22"/>
        </w:rPr>
        <w:t>: 872, 873, 874, 875, 876, 877, 878, 879, 880, 881, 882, 883, 884, 885, 908, 909, 914, 916, 917, 918, 923, 927, 928, 930, 933, 934, 935, 938, 939, 940, 941, 942, 944, 945, 946, 947, 948, 949, 950, 951, 952 y 953.</w:t>
      </w:r>
    </w:p>
    <w:p w14:paraId="4BA38209"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12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Jalpa de Méndez</w:t>
      </w:r>
      <w:r w:rsidRPr="0015006B">
        <w:rPr>
          <w:rFonts w:ascii="Arial" w:hAnsi="Arial" w:cs="Arial"/>
          <w:sz w:val="22"/>
          <w:szCs w:val="22"/>
        </w:rPr>
        <w:t xml:space="preserve">: 809, 810, 811, 812, 813, 814, 815, 816, 817, 818, 819, 820, 821, 822, 823, 824, 825, 826, 827, 828, 829, 830, 831, 832, 833, 834, 835, 836, 837, 838, 839, 840, 841, 842, 843, 844 y 845; y, las siguientes secciones electorales del municipio de </w:t>
      </w:r>
      <w:r w:rsidRPr="0015006B">
        <w:rPr>
          <w:rFonts w:ascii="Arial" w:hAnsi="Arial" w:cs="Arial"/>
          <w:b/>
          <w:bCs/>
          <w:sz w:val="22"/>
          <w:szCs w:val="22"/>
        </w:rPr>
        <w:t>Nacajuca</w:t>
      </w:r>
      <w:r w:rsidRPr="0015006B">
        <w:rPr>
          <w:rFonts w:ascii="Arial" w:hAnsi="Arial" w:cs="Arial"/>
          <w:sz w:val="22"/>
          <w:szCs w:val="22"/>
        </w:rPr>
        <w:t>: 960, 961, 962, 963, 964, 965, 966, 967, 968, 969 y 970.</w:t>
      </w:r>
    </w:p>
    <w:p w14:paraId="5AC07FD7"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13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Nacajuca</w:t>
      </w:r>
      <w:r w:rsidRPr="0015006B">
        <w:rPr>
          <w:rFonts w:ascii="Arial" w:hAnsi="Arial" w:cs="Arial"/>
          <w:sz w:val="22"/>
          <w:szCs w:val="22"/>
        </w:rPr>
        <w:t>: 954, 955, 956, 957, 958, 959, 971, 972, 973, 975, 976, 977, 978, 979, 980, 981, 982, 984, 985, 987, 988, 989, 990, 1134, 1135, 1136, 1137, 1138, 1139, 1140, 1141, 1142, 1143, 1144, 1150, 1151, 1187, 1188, 1189, 1190, 1191 y 1192.</w:t>
      </w:r>
    </w:p>
    <w:p w14:paraId="25F53C84"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14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Comalcalco</w:t>
      </w:r>
      <w:r w:rsidRPr="0015006B">
        <w:rPr>
          <w:rFonts w:ascii="Arial" w:hAnsi="Arial" w:cs="Arial"/>
          <w:sz w:val="22"/>
          <w:szCs w:val="22"/>
        </w:rPr>
        <w:t xml:space="preserve">: 538, 539, 540, 541, 542, 543, 544, 545, 546 y 547; y, las siguientes secciones electorales del municipio de </w:t>
      </w:r>
      <w:r w:rsidRPr="0015006B">
        <w:rPr>
          <w:rFonts w:ascii="Arial" w:hAnsi="Arial" w:cs="Arial"/>
          <w:b/>
          <w:bCs/>
          <w:sz w:val="22"/>
          <w:szCs w:val="22"/>
        </w:rPr>
        <w:t>Paraíso</w:t>
      </w:r>
      <w:r w:rsidRPr="0015006B">
        <w:rPr>
          <w:rFonts w:ascii="Arial" w:hAnsi="Arial" w:cs="Arial"/>
          <w:sz w:val="22"/>
          <w:szCs w:val="22"/>
        </w:rPr>
        <w:t>: 991, 992, 993, 994, 995, 996, 997, 998, 999, 1000, 1001, 1002, 1003, 1004, 1005, 1006, 1007, 1008, 1009, 1010, 1011, 1012, 1013, 1014, 1015, 1016, 1017, 1018, 1019, 1020, 1021, 1022, 1023, 1024, 1025, 1026, 1027, 1028, 1029, 1030, 1031, 1032, 1033, 1034 y 1035.</w:t>
      </w:r>
    </w:p>
    <w:p w14:paraId="4C1F4C86"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 xml:space="preserve">Distrito Judicial Electoral Local 15 </w:t>
      </w:r>
      <w:r w:rsidRPr="0015006B">
        <w:rPr>
          <w:rFonts w:ascii="Arial" w:hAnsi="Arial" w:cs="Arial"/>
          <w:sz w:val="22"/>
          <w:szCs w:val="22"/>
        </w:rPr>
        <w:t xml:space="preserve">conformado por las siguientes secciones electorales del municipio de </w:t>
      </w:r>
      <w:r w:rsidRPr="0015006B">
        <w:rPr>
          <w:rFonts w:ascii="Arial" w:hAnsi="Arial" w:cs="Arial"/>
          <w:b/>
          <w:bCs/>
          <w:sz w:val="22"/>
          <w:szCs w:val="22"/>
        </w:rPr>
        <w:t>Tacotalpa</w:t>
      </w:r>
      <w:r w:rsidRPr="0015006B">
        <w:rPr>
          <w:rFonts w:ascii="Arial" w:hAnsi="Arial" w:cs="Arial"/>
          <w:sz w:val="22"/>
          <w:szCs w:val="22"/>
        </w:rPr>
        <w:t xml:space="preserve">: 1036, 1037, 1038, 1039, 1040, 1041, 1042, 1043, 1044, 1045, 1046, 1047, 1048, 1049, 1050, 1051, 1052, 1053, 1054, 1055, 1056, 1057, 1058, 1059, 1060, 1061 y 1062; y, las siguientes secciones electorales del municipio de </w:t>
      </w:r>
      <w:r w:rsidRPr="0015006B">
        <w:rPr>
          <w:rFonts w:ascii="Arial" w:hAnsi="Arial" w:cs="Arial"/>
          <w:b/>
          <w:bCs/>
          <w:sz w:val="22"/>
          <w:szCs w:val="22"/>
        </w:rPr>
        <w:t>Teapa</w:t>
      </w:r>
      <w:r w:rsidRPr="0015006B">
        <w:rPr>
          <w:rFonts w:ascii="Arial" w:hAnsi="Arial" w:cs="Arial"/>
          <w:sz w:val="22"/>
          <w:szCs w:val="22"/>
        </w:rPr>
        <w:t>: 1063, 1064, 1065, 1066, 1067, 1069, 1070, 1071, 1072, 1073, 1074, 1075, 1076, 1077, 1078, 1079, 1080, 1081, 1082, 1083, 1084, 1085, 1086, 1087, 1088, 1180 y 1181.</w:t>
      </w:r>
    </w:p>
    <w:p w14:paraId="67C78FD6" w14:textId="77777777" w:rsidR="00FD78F2" w:rsidRPr="0015006B" w:rsidRDefault="00FD78F2" w:rsidP="00DC1A3E">
      <w:pPr>
        <w:pStyle w:val="Prrafodelista"/>
        <w:widowControl w:val="0"/>
        <w:numPr>
          <w:ilvl w:val="0"/>
          <w:numId w:val="3"/>
        </w:numPr>
        <w:ind w:left="510" w:hanging="510"/>
        <w:contextualSpacing w:val="0"/>
        <w:rPr>
          <w:rFonts w:ascii="Arial" w:hAnsi="Arial" w:cs="Arial"/>
          <w:sz w:val="22"/>
          <w:szCs w:val="22"/>
        </w:rPr>
      </w:pPr>
      <w:r w:rsidRPr="0015006B">
        <w:rPr>
          <w:rFonts w:ascii="Arial" w:hAnsi="Arial" w:cs="Arial"/>
          <w:b/>
          <w:bCs/>
          <w:sz w:val="22"/>
          <w:szCs w:val="22"/>
        </w:rPr>
        <w:t>Distrito Judicial Electoral Local 16</w:t>
      </w:r>
      <w:r w:rsidRPr="0015006B">
        <w:rPr>
          <w:rFonts w:ascii="Arial" w:hAnsi="Arial" w:cs="Arial"/>
          <w:sz w:val="22"/>
          <w:szCs w:val="22"/>
        </w:rPr>
        <w:t xml:space="preserve"> conformado por las siguientes secciones electorales del municipio de </w:t>
      </w:r>
      <w:r w:rsidRPr="0015006B">
        <w:rPr>
          <w:rFonts w:ascii="Arial" w:hAnsi="Arial" w:cs="Arial"/>
          <w:b/>
          <w:bCs/>
          <w:sz w:val="22"/>
          <w:szCs w:val="22"/>
        </w:rPr>
        <w:t>Balancán</w:t>
      </w:r>
      <w:r w:rsidRPr="0015006B">
        <w:rPr>
          <w:rFonts w:ascii="Arial" w:hAnsi="Arial" w:cs="Arial"/>
          <w:sz w:val="22"/>
          <w:szCs w:val="22"/>
        </w:rPr>
        <w:t xml:space="preserve">: 1, 2, 3, 4, 5, 6, 7, 8, 9, 10, 11, 12, 13, 14, 15, 16, 17, 18, 19, 20, 21, 22, 23, 24, 25, 27, 28, 29, 30, 31, 32, 33, 34, 35, 36, 37, 38, 39, 40, 41, 42, 43, 44 y 45; y, las siguientes secciones electorales del municipio de </w:t>
      </w:r>
      <w:r w:rsidRPr="0015006B">
        <w:rPr>
          <w:rFonts w:ascii="Arial" w:hAnsi="Arial" w:cs="Arial"/>
          <w:b/>
          <w:bCs/>
          <w:sz w:val="22"/>
          <w:szCs w:val="22"/>
        </w:rPr>
        <w:t>Tenosique</w:t>
      </w:r>
      <w:r w:rsidRPr="0015006B">
        <w:rPr>
          <w:rFonts w:ascii="Arial" w:hAnsi="Arial" w:cs="Arial"/>
          <w:sz w:val="22"/>
          <w:szCs w:val="22"/>
        </w:rPr>
        <w:t xml:space="preserve">: 1089, 1090, 1091, 1092, 1093, 1094, 1095, 1096, 1097, 1098, 1099, 1100, </w:t>
      </w:r>
      <w:r w:rsidRPr="0015006B">
        <w:rPr>
          <w:rFonts w:ascii="Arial" w:hAnsi="Arial" w:cs="Arial"/>
          <w:sz w:val="22"/>
          <w:szCs w:val="22"/>
        </w:rPr>
        <w:lastRenderedPageBreak/>
        <w:t>1101, 1102, 1103, 1104, 1105, 1106, 1107, 1108, 1109, 1110, 1111, 1112, 1113, 1114, 1115, 1116, 1117, 1118, 1119, 1120, 1121, 1122, 1123, 1124, 1125, 1126, 1127, 1128, 1129, 1130, 1131, 1132 y 1133.</w:t>
      </w:r>
    </w:p>
    <w:p w14:paraId="775A8604" w14:textId="793824EA" w:rsidR="00816042" w:rsidRPr="0015006B" w:rsidRDefault="00816042"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Recepción de paquetes electorales</w:t>
      </w:r>
    </w:p>
    <w:p w14:paraId="50D62981" w14:textId="66D44A6D" w:rsidR="00FC3763" w:rsidRPr="0015006B" w:rsidRDefault="00816042" w:rsidP="00DC1A3E">
      <w:pPr>
        <w:widowControl w:val="0"/>
        <w:rPr>
          <w:rFonts w:ascii="Arial" w:hAnsi="Arial" w:cs="Arial"/>
          <w:sz w:val="22"/>
          <w:szCs w:val="22"/>
        </w:rPr>
      </w:pPr>
      <w:r w:rsidRPr="0015006B">
        <w:rPr>
          <w:rFonts w:ascii="Arial" w:hAnsi="Arial" w:cs="Arial"/>
          <w:sz w:val="22"/>
          <w:szCs w:val="22"/>
        </w:rPr>
        <w:t>Que, de conformidad con el artículo 383 numeral 1 del Reglamento de Elecciones, la recepción, depósito y salvaguarda de los paquetes electorales en que se contengan los expedientes de casilla, por parte de los órganos competentes del INE y del organismo electoral, según el caso, una vez concluida la Jornada Electoral, se desarrollará conforme al procedimiento que se describe en el anexo 14 de dicho Reglamento, con el propósito de realizar una eficiente y correcta recepción de paquetes electorales, en la que se garantice que los tiempos de recepción de los paquetes electorales en las instalaciones del INE y de los organismos electorales se ajusten a lo establecido en la Ley General y las leyes vigentes de los estados que corresponda, en cumplimiento a los principios de certeza y legalidad.</w:t>
      </w:r>
    </w:p>
    <w:p w14:paraId="324376ED" w14:textId="173684F3" w:rsidR="00816042" w:rsidRPr="0015006B" w:rsidRDefault="00816042"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Procedimiento de entrega e intercambio de paquetes electorales</w:t>
      </w:r>
    </w:p>
    <w:p w14:paraId="6136380A" w14:textId="77777777" w:rsidR="00816042" w:rsidRPr="0015006B" w:rsidRDefault="00816042" w:rsidP="00DC1A3E">
      <w:pPr>
        <w:widowControl w:val="0"/>
        <w:rPr>
          <w:rFonts w:ascii="Arial" w:hAnsi="Arial" w:cs="Arial"/>
          <w:sz w:val="22"/>
          <w:szCs w:val="22"/>
        </w:rPr>
      </w:pPr>
      <w:r w:rsidRPr="0015006B">
        <w:rPr>
          <w:rFonts w:ascii="Arial" w:hAnsi="Arial" w:cs="Arial"/>
          <w:sz w:val="22"/>
          <w:szCs w:val="22"/>
        </w:rPr>
        <w:t>Que, de acuerdo con el anexo 14 del Reglamento de Elecciones, en las elecciones locales, en los casos en que se reciban los paquetes electorales por disposición legal en un órgano distinto a aquel que realizará el cómputo correspondiente, se estará a lo siguiente:</w:t>
      </w:r>
    </w:p>
    <w:p w14:paraId="7810BE95" w14:textId="03129DD9" w:rsidR="00816042" w:rsidRPr="0015006B" w:rsidRDefault="00816042" w:rsidP="00DC1A3E">
      <w:pPr>
        <w:pStyle w:val="Prrafodelista"/>
        <w:widowControl w:val="0"/>
        <w:numPr>
          <w:ilvl w:val="0"/>
          <w:numId w:val="5"/>
        </w:numPr>
        <w:ind w:left="510" w:hanging="510"/>
        <w:contextualSpacing w:val="0"/>
        <w:rPr>
          <w:rFonts w:ascii="Arial" w:hAnsi="Arial" w:cs="Arial"/>
          <w:sz w:val="22"/>
          <w:szCs w:val="22"/>
        </w:rPr>
      </w:pPr>
      <w:r w:rsidRPr="0015006B">
        <w:rPr>
          <w:rFonts w:ascii="Arial" w:hAnsi="Arial" w:cs="Arial"/>
          <w:sz w:val="22"/>
          <w:szCs w:val="22"/>
        </w:rPr>
        <w:t>El Consejo General del organismo electoral en coordinación con sus órganos distritales desarrollarán un programa de remisión y recepción a fin de que puedan llevar a cabo oportunamente los cómputos mandatados en la ley electoral local.</w:t>
      </w:r>
    </w:p>
    <w:p w14:paraId="356C49FF" w14:textId="06BB3C26" w:rsidR="00816042" w:rsidRPr="0015006B" w:rsidRDefault="00816042" w:rsidP="00DC1A3E">
      <w:pPr>
        <w:pStyle w:val="Prrafodelista"/>
        <w:widowControl w:val="0"/>
        <w:numPr>
          <w:ilvl w:val="0"/>
          <w:numId w:val="5"/>
        </w:numPr>
        <w:ind w:left="510" w:hanging="510"/>
        <w:contextualSpacing w:val="0"/>
        <w:rPr>
          <w:rFonts w:ascii="Arial" w:hAnsi="Arial" w:cs="Arial"/>
          <w:sz w:val="22"/>
          <w:szCs w:val="22"/>
        </w:rPr>
      </w:pPr>
      <w:r w:rsidRPr="0015006B">
        <w:rPr>
          <w:rFonts w:ascii="Arial" w:hAnsi="Arial" w:cs="Arial"/>
          <w:sz w:val="22"/>
          <w:szCs w:val="22"/>
        </w:rPr>
        <w:t>El Consejo General del organismo electoral a más tardar el mes anterior al que se celebre la elección, aprobará mediante acuerdo el modelo de remisión y recepción de los paquetes electorales a efecto de garantizar su entrega oportuna para realizar el cómputo en los órganos competentes. Para tal efecto se elaborará un diagrama de flujo que ilustre gráficamente el modelo operativo aprobado, mismo que se adjuntará al acuerdo correspondiente. En el mismo acuerdo designará al personal de la estructura distrital que acompañará el traslado de los paquetes electorales. La Junta Local del INE orientará y asesorará a los órganos competentes del organismo electoral.</w:t>
      </w:r>
    </w:p>
    <w:p w14:paraId="165F9CD2" w14:textId="2787FCF8" w:rsidR="00816042" w:rsidRPr="0015006B" w:rsidRDefault="00816042" w:rsidP="00DC1A3E">
      <w:pPr>
        <w:pStyle w:val="Prrafodelista"/>
        <w:widowControl w:val="0"/>
        <w:numPr>
          <w:ilvl w:val="0"/>
          <w:numId w:val="5"/>
        </w:numPr>
        <w:ind w:left="510" w:hanging="510"/>
        <w:contextualSpacing w:val="0"/>
        <w:rPr>
          <w:rFonts w:ascii="Arial" w:hAnsi="Arial" w:cs="Arial"/>
          <w:sz w:val="22"/>
          <w:szCs w:val="22"/>
        </w:rPr>
      </w:pPr>
      <w:r w:rsidRPr="0015006B">
        <w:rPr>
          <w:rFonts w:ascii="Arial" w:hAnsi="Arial" w:cs="Arial"/>
          <w:sz w:val="22"/>
          <w:szCs w:val="22"/>
        </w:rPr>
        <w:t xml:space="preserve">El órgano que reciba inicialmente los paquetes convocará a los integrantes de este, para llevar a cabo el procedimiento para transportarlos al órgano competente; levantando para ello un acta circunstanciada en la que se registre la cantidad, el estado en que salen los paquetes electorales junto con la hora de inicio y conclusión </w:t>
      </w:r>
      <w:r w:rsidRPr="0015006B">
        <w:rPr>
          <w:rFonts w:ascii="Arial" w:hAnsi="Arial" w:cs="Arial"/>
          <w:sz w:val="22"/>
          <w:szCs w:val="22"/>
        </w:rPr>
        <w:lastRenderedPageBreak/>
        <w:t>del referido procedimiento.</w:t>
      </w:r>
    </w:p>
    <w:p w14:paraId="1C7602FF" w14:textId="52415A21" w:rsidR="00816042" w:rsidRPr="0015006B" w:rsidRDefault="00816042" w:rsidP="00DC1A3E">
      <w:pPr>
        <w:pStyle w:val="Prrafodelista"/>
        <w:widowControl w:val="0"/>
        <w:numPr>
          <w:ilvl w:val="0"/>
          <w:numId w:val="5"/>
        </w:numPr>
        <w:ind w:left="510" w:hanging="510"/>
        <w:contextualSpacing w:val="0"/>
        <w:rPr>
          <w:rFonts w:ascii="Arial" w:hAnsi="Arial" w:cs="Arial"/>
          <w:sz w:val="22"/>
          <w:szCs w:val="22"/>
        </w:rPr>
      </w:pPr>
      <w:r w:rsidRPr="0015006B">
        <w:rPr>
          <w:rFonts w:ascii="Arial" w:hAnsi="Arial" w:cs="Arial"/>
          <w:sz w:val="22"/>
          <w:szCs w:val="22"/>
        </w:rPr>
        <w:t>El órgano competente que recibirá los paquetes electorales convocará a los integrantes de este para la recepción y depósito de los paquetes electorales consignando en el acta la cantidad, el estado en se reciben, la hora de inicio y conclusión del referido procedimiento.</w:t>
      </w:r>
    </w:p>
    <w:p w14:paraId="11CBAFF0" w14:textId="7209DF64" w:rsidR="00816042" w:rsidRPr="0015006B" w:rsidRDefault="00A97F9D" w:rsidP="00DC1A3E">
      <w:pPr>
        <w:pStyle w:val="Ttulo2"/>
        <w:keepNext w:val="0"/>
        <w:widowControl w:val="0"/>
        <w:rPr>
          <w:rFonts w:ascii="Arial" w:hAnsi="Arial" w:cs="Arial"/>
          <w:color w:val="auto"/>
          <w:sz w:val="22"/>
          <w:szCs w:val="22"/>
        </w:rPr>
      </w:pPr>
      <w:r w:rsidRPr="0015006B">
        <w:rPr>
          <w:rFonts w:ascii="Arial" w:hAnsi="Arial" w:cs="Arial"/>
          <w:color w:val="auto"/>
          <w:sz w:val="22"/>
          <w:szCs w:val="22"/>
        </w:rPr>
        <w:t>Protocolo</w:t>
      </w:r>
      <w:r w:rsidR="00375E68" w:rsidRPr="0015006B">
        <w:rPr>
          <w:rFonts w:ascii="Arial" w:hAnsi="Arial" w:cs="Arial"/>
          <w:color w:val="auto"/>
          <w:sz w:val="22"/>
          <w:szCs w:val="22"/>
        </w:rPr>
        <w:t xml:space="preserve"> para el Proceso Electoral Extraordinario</w:t>
      </w:r>
    </w:p>
    <w:p w14:paraId="6225E418" w14:textId="4492150F" w:rsidR="00A97F9D" w:rsidRPr="0015006B" w:rsidRDefault="00A97F9D" w:rsidP="00DC1A3E">
      <w:pPr>
        <w:widowControl w:val="0"/>
        <w:rPr>
          <w:rFonts w:ascii="Arial" w:hAnsi="Arial" w:cs="Arial"/>
          <w:sz w:val="22"/>
          <w:szCs w:val="22"/>
        </w:rPr>
      </w:pPr>
      <w:r w:rsidRPr="0015006B">
        <w:rPr>
          <w:rFonts w:ascii="Arial" w:hAnsi="Arial" w:cs="Arial"/>
          <w:sz w:val="22"/>
          <w:szCs w:val="22"/>
        </w:rPr>
        <w:t xml:space="preserve">Que, de conformidad con los Lineamientos aprobados por el Consejo General del INE, es de relevancia que los organismos electorales aprueben el Protocolo para la detección, recolección, entrega e intercambio de paquetes, documentación y materiales electorales recibido en órgano electoral distinto al competente, con la finalidad de que se atiendan las circunstancias específicas de cada caso, descritas en los Lineamientos, así como las determinaciones institucionales y las acciones que recaerán en sus </w:t>
      </w:r>
      <w:r w:rsidR="00B34C6B" w:rsidRPr="0015006B">
        <w:rPr>
          <w:rFonts w:ascii="Arial" w:hAnsi="Arial" w:cs="Arial"/>
          <w:sz w:val="22"/>
          <w:szCs w:val="22"/>
        </w:rPr>
        <w:t xml:space="preserve">respectivos </w:t>
      </w:r>
      <w:r w:rsidRPr="0015006B">
        <w:rPr>
          <w:rFonts w:ascii="Arial" w:hAnsi="Arial" w:cs="Arial"/>
          <w:sz w:val="22"/>
          <w:szCs w:val="22"/>
        </w:rPr>
        <w:t xml:space="preserve">ámbitos de responsabilidad. </w:t>
      </w:r>
    </w:p>
    <w:p w14:paraId="05301B3C" w14:textId="0F032094" w:rsidR="00A97F9D" w:rsidRPr="0015006B" w:rsidRDefault="00A97F9D" w:rsidP="00DC1A3E">
      <w:pPr>
        <w:widowControl w:val="0"/>
        <w:rPr>
          <w:rFonts w:ascii="Arial" w:hAnsi="Arial" w:cs="Arial"/>
          <w:sz w:val="22"/>
          <w:szCs w:val="22"/>
        </w:rPr>
      </w:pPr>
      <w:r w:rsidRPr="0015006B">
        <w:rPr>
          <w:rFonts w:ascii="Arial" w:hAnsi="Arial" w:cs="Arial"/>
          <w:sz w:val="22"/>
          <w:szCs w:val="22"/>
        </w:rPr>
        <w:t>Con ese propósito, la Comisión, la Dirección de Organización Electoral y Educación Cívica en coordinación con la Junta Local Ejecutiva del INE en la entidad, elaboraron el Protocolo para la detección, recolección, entrega e intercambio de paquetes, documentación y materiales electorales Federales y Locales entre el INE y el IEPC Tabasco, recibidos en las etapas de Jornada Electoral y Cómputos y Sumatoria del Proceso Electoral Local Extraordinario para personas Juzgadoras del Poder Judicial Federal y del Estado de Tabasco 2024-2025, cuyo propósito es</w:t>
      </w:r>
      <w:r w:rsidR="00B34C6B" w:rsidRPr="0015006B">
        <w:rPr>
          <w:rFonts w:ascii="Arial" w:hAnsi="Arial" w:cs="Arial"/>
          <w:sz w:val="22"/>
          <w:szCs w:val="22"/>
        </w:rPr>
        <w:t xml:space="preserve">, además del blindaje de la cadena de custodia de los paquetes electorales, </w:t>
      </w:r>
      <w:r w:rsidRPr="0015006B">
        <w:rPr>
          <w:rFonts w:ascii="Arial" w:hAnsi="Arial" w:cs="Arial"/>
          <w:sz w:val="22"/>
          <w:szCs w:val="22"/>
        </w:rPr>
        <w:t xml:space="preserve"> establecer los </w:t>
      </w:r>
      <w:r w:rsidR="00B34C6B" w:rsidRPr="0015006B">
        <w:rPr>
          <w:rFonts w:ascii="Arial" w:hAnsi="Arial" w:cs="Arial"/>
          <w:sz w:val="22"/>
          <w:szCs w:val="22"/>
        </w:rPr>
        <w:t xml:space="preserve">procedimientos, directrices y </w:t>
      </w:r>
      <w:r w:rsidRPr="0015006B">
        <w:rPr>
          <w:rFonts w:ascii="Arial" w:hAnsi="Arial" w:cs="Arial"/>
          <w:sz w:val="22"/>
          <w:szCs w:val="22"/>
        </w:rPr>
        <w:t>criterios para garantizar la recolección, entrega y/o intercambio de paquetes, documentación y materiales electorales objeto de una entrega distinta</w:t>
      </w:r>
      <w:r w:rsidR="00B34C6B" w:rsidRPr="0015006B">
        <w:rPr>
          <w:rFonts w:ascii="Arial" w:hAnsi="Arial" w:cs="Arial"/>
          <w:sz w:val="22"/>
          <w:szCs w:val="22"/>
        </w:rPr>
        <w:t>, atendiendo las circunstancias específicas que señala el apartado VI de los Lineamientos.</w:t>
      </w:r>
    </w:p>
    <w:p w14:paraId="110C2815" w14:textId="30706D66" w:rsidR="00B34C6B" w:rsidRPr="0015006B" w:rsidRDefault="00B34C6B" w:rsidP="00DC1A3E">
      <w:pPr>
        <w:widowControl w:val="0"/>
        <w:rPr>
          <w:rFonts w:ascii="Arial" w:hAnsi="Arial" w:cs="Arial"/>
          <w:sz w:val="22"/>
          <w:szCs w:val="22"/>
        </w:rPr>
      </w:pPr>
      <w:r w:rsidRPr="0015006B">
        <w:rPr>
          <w:rFonts w:ascii="Arial" w:hAnsi="Arial" w:cs="Arial"/>
          <w:sz w:val="22"/>
          <w:szCs w:val="22"/>
        </w:rPr>
        <w:t>En general, el Protocolo contiene las acciones previas, preventivas y correctivas a ejecutar por el funcionariado electoral y los órganos desconcentrados, los tramos de responsabilidad institucional, los posibles escenarios de aplicación y las bases para la detección, recolección, entrega e intercambio de paquetes, documentación y materiales electorales en la etapa de Jornada Electoral y Cómputos y Sumatoria de las elecciones de conformidad con lo establecido en el artículo 387, numerales 4 y 5 de la Ley Electoral.</w:t>
      </w:r>
    </w:p>
    <w:p w14:paraId="5878A750" w14:textId="12E680D1" w:rsidR="00363B3C" w:rsidRPr="0015006B" w:rsidRDefault="00C24010" w:rsidP="00DC1A3E">
      <w:pPr>
        <w:widowControl w:val="0"/>
        <w:rPr>
          <w:rFonts w:ascii="Arial" w:hAnsi="Arial" w:cs="Arial"/>
          <w:sz w:val="22"/>
          <w:szCs w:val="22"/>
        </w:rPr>
      </w:pPr>
      <w:r w:rsidRPr="0015006B">
        <w:rPr>
          <w:rFonts w:ascii="Arial" w:hAnsi="Arial" w:cs="Arial"/>
          <w:sz w:val="22"/>
          <w:szCs w:val="22"/>
        </w:rPr>
        <w:t xml:space="preserve">Adicionalmente, se señalan los mecanismos de control que deberán de implementar cada órgano desconcentrado en el ámbito de su competencia para el traslado, entrega y/o recepción de los paquetes electorales. De igual manera, establece el procedimiento de aquellos documentos que se reciban en un órgano distinto al que corresponde, todo ello, con el objetivo de preservar y garantizar en todo momento la integridad y seguridad de la </w:t>
      </w:r>
      <w:r w:rsidRPr="0015006B">
        <w:rPr>
          <w:rFonts w:ascii="Arial" w:hAnsi="Arial" w:cs="Arial"/>
          <w:sz w:val="22"/>
          <w:szCs w:val="22"/>
        </w:rPr>
        <w:lastRenderedPageBreak/>
        <w:t>documentación y materiales electorales.</w:t>
      </w:r>
    </w:p>
    <w:p w14:paraId="1762A0B7" w14:textId="77777777" w:rsidR="007F7B2A" w:rsidRPr="0015006B" w:rsidRDefault="007F7B2A" w:rsidP="00DC1A3E">
      <w:pPr>
        <w:widowControl w:val="0"/>
        <w:rPr>
          <w:rFonts w:ascii="Arial" w:hAnsi="Arial" w:cs="Arial"/>
          <w:sz w:val="22"/>
          <w:szCs w:val="22"/>
        </w:rPr>
      </w:pPr>
      <w:r w:rsidRPr="0015006B">
        <w:rPr>
          <w:rFonts w:ascii="Arial" w:hAnsi="Arial" w:cs="Arial"/>
          <w:sz w:val="22"/>
          <w:szCs w:val="22"/>
        </w:rPr>
        <w:t>Sobre la base de las consideraciones señaladas, este Consejo Estatal emite el siguiente:</w:t>
      </w:r>
    </w:p>
    <w:p w14:paraId="3DBC40DB" w14:textId="75F29BEC" w:rsidR="007F7B2A" w:rsidRPr="0015006B" w:rsidRDefault="007F7B2A" w:rsidP="00DC1A3E">
      <w:pPr>
        <w:pStyle w:val="Ttulo1"/>
        <w:keepNext w:val="0"/>
        <w:widowControl w:val="0"/>
        <w:rPr>
          <w:rFonts w:ascii="Arial" w:hAnsi="Arial" w:cs="Arial"/>
          <w:color w:val="auto"/>
        </w:rPr>
      </w:pPr>
      <w:r w:rsidRPr="0015006B">
        <w:rPr>
          <w:rFonts w:ascii="Arial" w:hAnsi="Arial" w:cs="Arial"/>
          <w:color w:val="auto"/>
        </w:rPr>
        <w:t>Acuerdo</w:t>
      </w:r>
    </w:p>
    <w:p w14:paraId="63E3AAC4" w14:textId="0B5D17BC" w:rsidR="007F7B2A" w:rsidRPr="0015006B" w:rsidRDefault="007F7B2A" w:rsidP="00DC1A3E">
      <w:pPr>
        <w:widowControl w:val="0"/>
        <w:rPr>
          <w:rFonts w:ascii="Arial" w:hAnsi="Arial" w:cs="Arial"/>
          <w:sz w:val="22"/>
        </w:rPr>
      </w:pPr>
      <w:r w:rsidRPr="0015006B">
        <w:rPr>
          <w:rFonts w:ascii="Arial" w:hAnsi="Arial" w:cs="Arial"/>
          <w:b/>
          <w:bCs/>
          <w:sz w:val="22"/>
        </w:rPr>
        <w:t>Primero.</w:t>
      </w:r>
      <w:r w:rsidRPr="0015006B">
        <w:rPr>
          <w:rFonts w:ascii="Arial" w:hAnsi="Arial" w:cs="Arial"/>
          <w:sz w:val="22"/>
        </w:rPr>
        <w:t xml:space="preserve"> Se aprueba el Protocolo para la detección, recolección, entrega e intercambio de paquetes, documentación y materiales electorales federales y locales entre el INE y el propio Instituto, recibidos en las etapas de jornada electoral, cómputos y sumatoria del Proceso Electoral Local Extraordinario para personas Juzgadoras del Poder Judicial Federal y del Estado de Tabasco 2024-2025 propuesto por la Comisión de Organización Electoral y Educación Cívica, anexo al presente acuerdo.</w:t>
      </w:r>
    </w:p>
    <w:p w14:paraId="79C5A279" w14:textId="65DD6A4F" w:rsidR="005430C4" w:rsidRPr="0015006B" w:rsidRDefault="005430C4" w:rsidP="00DC1A3E">
      <w:pPr>
        <w:widowControl w:val="0"/>
        <w:rPr>
          <w:rFonts w:ascii="Arial" w:hAnsi="Arial" w:cs="Arial"/>
          <w:sz w:val="22"/>
        </w:rPr>
      </w:pPr>
      <w:r w:rsidRPr="0015006B">
        <w:rPr>
          <w:rFonts w:ascii="Arial" w:hAnsi="Arial" w:cs="Arial"/>
          <w:b/>
          <w:bCs/>
          <w:sz w:val="22"/>
        </w:rPr>
        <w:t xml:space="preserve">Segundo. </w:t>
      </w:r>
      <w:r w:rsidRPr="0015006B">
        <w:rPr>
          <w:rFonts w:ascii="Arial" w:hAnsi="Arial" w:cs="Arial"/>
          <w:sz w:val="22"/>
        </w:rPr>
        <w:t>Se instruye al Secretario Ejecutivo haga del conocimiento de las juntas electorales distritales el contenido del presente acuerdo.</w:t>
      </w:r>
      <w:r w:rsidR="00C9337B" w:rsidRPr="0015006B">
        <w:rPr>
          <w:rFonts w:ascii="Arial" w:hAnsi="Arial" w:cs="Arial"/>
          <w:sz w:val="22"/>
        </w:rPr>
        <w:t xml:space="preserve"> Asimismo, en términos del artículo 387 numeral 9 de la Ley Electoral, lo notifique a las personas candidatas.</w:t>
      </w:r>
    </w:p>
    <w:p w14:paraId="7A6AEDA2" w14:textId="664B76FB" w:rsidR="007F7B2A" w:rsidRPr="0015006B" w:rsidRDefault="007F7B2A" w:rsidP="00DC1A3E">
      <w:pPr>
        <w:widowControl w:val="0"/>
        <w:rPr>
          <w:rFonts w:ascii="Arial" w:hAnsi="Arial" w:cs="Arial"/>
          <w:sz w:val="22"/>
        </w:rPr>
      </w:pPr>
      <w:r w:rsidRPr="0015006B">
        <w:rPr>
          <w:rFonts w:ascii="Arial" w:hAnsi="Arial" w:cs="Arial"/>
          <w:b/>
          <w:bCs/>
          <w:sz w:val="22"/>
        </w:rPr>
        <w:t>Tercero.</w:t>
      </w:r>
      <w:r w:rsidRPr="0015006B">
        <w:rPr>
          <w:rFonts w:ascii="Arial" w:hAnsi="Arial" w:cs="Arial"/>
          <w:sz w:val="22"/>
        </w:rPr>
        <w:t xml:space="preserve"> </w:t>
      </w:r>
      <w:r w:rsidR="004D741A" w:rsidRPr="0015006B">
        <w:rPr>
          <w:rFonts w:ascii="Arial" w:hAnsi="Arial" w:cs="Arial"/>
          <w:sz w:val="22"/>
        </w:rPr>
        <w:t>Asimismo, s</w:t>
      </w:r>
      <w:r w:rsidRPr="0015006B">
        <w:rPr>
          <w:rFonts w:ascii="Arial" w:hAnsi="Arial" w:cs="Arial"/>
          <w:sz w:val="22"/>
        </w:rPr>
        <w:t>e instruye a la Secretaría Ejecutiva de este Instituto para que, por conducto de la Coordinación de Vinculación con el Instituto Nacional Electoral, notifique el presente acuerdo al citado organismo nacional, a través de su Unidad Té</w:t>
      </w:r>
      <w:bookmarkStart w:id="1" w:name="_GoBack"/>
      <w:bookmarkEnd w:id="1"/>
      <w:r w:rsidRPr="0015006B">
        <w:rPr>
          <w:rFonts w:ascii="Arial" w:hAnsi="Arial" w:cs="Arial"/>
          <w:sz w:val="22"/>
        </w:rPr>
        <w:t>cnica de Vinculación con los Organismos Públicos Locales, para los efectos correspondientes.</w:t>
      </w:r>
    </w:p>
    <w:p w14:paraId="732B63F3" w14:textId="77777777" w:rsidR="007F7B2A" w:rsidRPr="0015006B" w:rsidRDefault="007F7B2A" w:rsidP="00DC1A3E">
      <w:pPr>
        <w:widowControl w:val="0"/>
        <w:rPr>
          <w:rFonts w:ascii="Arial" w:hAnsi="Arial" w:cs="Arial"/>
          <w:sz w:val="22"/>
        </w:rPr>
      </w:pPr>
      <w:r w:rsidRPr="0015006B">
        <w:rPr>
          <w:rFonts w:ascii="Arial" w:hAnsi="Arial" w:cs="Arial"/>
          <w:b/>
          <w:bCs/>
          <w:sz w:val="22"/>
        </w:rPr>
        <w:t>Cuarto.</w:t>
      </w:r>
      <w:r w:rsidRPr="0015006B">
        <w:rPr>
          <w:rFonts w:ascii="Arial" w:hAnsi="Arial" w:cs="Arial"/>
          <w:sz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664A02D" w14:textId="04A46237" w:rsidR="007F7B2A" w:rsidRDefault="0015006B" w:rsidP="00DC1A3E">
      <w:pPr>
        <w:widowControl w:val="0"/>
        <w:rPr>
          <w:rFonts w:ascii="Arial" w:hAnsi="Arial" w:cs="Arial"/>
          <w:sz w:val="22"/>
        </w:rPr>
      </w:pPr>
      <w:r>
        <w:rPr>
          <w:rFonts w:ascii="Arial" w:hAnsi="Arial" w:cs="Arial"/>
          <w:sz w:val="22"/>
        </w:rPr>
        <w:t xml:space="preserve">El presente acuerdo fue aprobado </w:t>
      </w:r>
      <w:r w:rsidR="007F7B2A" w:rsidRPr="0015006B">
        <w:rPr>
          <w:rFonts w:ascii="Arial" w:hAnsi="Arial" w:cs="Arial"/>
          <w:sz w:val="22"/>
        </w:rPr>
        <w:t xml:space="preserve">en sesión </w:t>
      </w:r>
      <w:r>
        <w:rPr>
          <w:rFonts w:ascii="Arial" w:hAnsi="Arial" w:cs="Arial"/>
          <w:sz w:val="22"/>
        </w:rPr>
        <w:t>extraordinaria</w:t>
      </w:r>
      <w:r w:rsidR="007F7B2A" w:rsidRPr="0015006B">
        <w:rPr>
          <w:rFonts w:ascii="Arial" w:hAnsi="Arial" w:cs="Arial"/>
          <w:sz w:val="22"/>
        </w:rPr>
        <w:t xml:space="preserve"> efectuada el </w:t>
      </w:r>
      <w:r>
        <w:rPr>
          <w:rFonts w:ascii="Arial" w:hAnsi="Arial" w:cs="Arial"/>
          <w:sz w:val="22"/>
        </w:rPr>
        <w:t>día veinticinco</w:t>
      </w:r>
      <w:r w:rsidR="007F7B2A" w:rsidRPr="0015006B">
        <w:rPr>
          <w:rFonts w:ascii="Arial" w:hAnsi="Arial" w:cs="Arial"/>
          <w:sz w:val="22"/>
        </w:rPr>
        <w:t xml:space="preserve"> de </w:t>
      </w:r>
      <w:r>
        <w:rPr>
          <w:rFonts w:ascii="Arial" w:hAnsi="Arial" w:cs="Arial"/>
          <w:sz w:val="22"/>
        </w:rPr>
        <w:t>marzo</w:t>
      </w:r>
      <w:r w:rsidR="007F7B2A" w:rsidRPr="0015006B">
        <w:rPr>
          <w:rFonts w:ascii="Arial" w:hAnsi="Arial" w:cs="Arial"/>
          <w:sz w:val="22"/>
        </w:rPr>
        <w:t xml:space="preserve"> del año dos mil veinticinco, por votación </w:t>
      </w:r>
      <w:r w:rsidR="00A25B79">
        <w:rPr>
          <w:rFonts w:ascii="Arial" w:hAnsi="Arial" w:cs="Arial"/>
          <w:sz w:val="22"/>
        </w:rPr>
        <w:t>unánime</w:t>
      </w:r>
      <w:r w:rsidR="007F7B2A" w:rsidRPr="0015006B">
        <w:rPr>
          <w:rFonts w:ascii="Arial" w:hAnsi="Arial" w:cs="Arial"/>
          <w:sz w:val="22"/>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007F7B2A" w:rsidRPr="0015006B">
        <w:rPr>
          <w:rFonts w:ascii="Arial" w:hAnsi="Arial" w:cs="Arial"/>
          <w:sz w:val="22"/>
        </w:rPr>
        <w:t>Beaurregard</w:t>
      </w:r>
      <w:proofErr w:type="spellEnd"/>
      <w:r w:rsidR="007F7B2A" w:rsidRPr="0015006B">
        <w:rPr>
          <w:rFonts w:ascii="Arial" w:hAnsi="Arial" w:cs="Arial"/>
          <w:sz w:val="22"/>
        </w:rPr>
        <w:t>, Mtra. Ruth Lizette Toledo Peral y la Consejera Presidenta, Mtra. Elizabeth Nava Gutiérrez.</w:t>
      </w:r>
    </w:p>
    <w:p w14:paraId="45532635" w14:textId="5F0AC52D" w:rsidR="003B787F" w:rsidRDefault="003B787F" w:rsidP="00DC1A3E">
      <w:pPr>
        <w:widowControl w:val="0"/>
        <w:rPr>
          <w:rFonts w:ascii="Arial" w:hAnsi="Arial" w:cs="Arial"/>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222"/>
        <w:gridCol w:w="4209"/>
      </w:tblGrid>
      <w:tr w:rsidR="0015006B" w:rsidRPr="0015006B" w14:paraId="0EC710FF" w14:textId="77777777" w:rsidTr="003B787F">
        <w:trPr>
          <w:trHeight w:val="853"/>
        </w:trPr>
        <w:tc>
          <w:tcPr>
            <w:tcW w:w="0" w:type="auto"/>
            <w:vAlign w:val="bottom"/>
          </w:tcPr>
          <w:p w14:paraId="3D61D569" w14:textId="77777777" w:rsidR="007F7B2A" w:rsidRPr="0015006B" w:rsidRDefault="007F7B2A" w:rsidP="003B787F">
            <w:pPr>
              <w:widowControl w:val="0"/>
              <w:spacing w:before="0" w:after="0" w:line="288" w:lineRule="auto"/>
              <w:jc w:val="center"/>
              <w:rPr>
                <w:rFonts w:ascii="Arial" w:hAnsi="Arial" w:cs="Arial"/>
                <w:b/>
                <w:bCs/>
                <w:sz w:val="22"/>
                <w:szCs w:val="22"/>
              </w:rPr>
            </w:pPr>
            <w:r w:rsidRPr="0015006B">
              <w:rPr>
                <w:rFonts w:ascii="Arial" w:hAnsi="Arial" w:cs="Arial"/>
                <w:b/>
                <w:bCs/>
                <w:sz w:val="22"/>
                <w:szCs w:val="22"/>
              </w:rPr>
              <w:t>MTRA. ELIZABETH NAVA GUTIÉRREZ</w:t>
            </w:r>
          </w:p>
          <w:p w14:paraId="6D44E8AB" w14:textId="77777777" w:rsidR="007F7B2A" w:rsidRPr="0015006B" w:rsidRDefault="007F7B2A" w:rsidP="003B787F">
            <w:pPr>
              <w:widowControl w:val="0"/>
              <w:spacing w:before="0" w:after="0" w:line="288" w:lineRule="auto"/>
              <w:jc w:val="center"/>
              <w:rPr>
                <w:rFonts w:ascii="Arial" w:hAnsi="Arial" w:cs="Arial"/>
                <w:b/>
                <w:bCs/>
                <w:sz w:val="22"/>
                <w:szCs w:val="22"/>
              </w:rPr>
            </w:pPr>
            <w:r w:rsidRPr="0015006B">
              <w:rPr>
                <w:rFonts w:ascii="Arial" w:hAnsi="Arial" w:cs="Arial"/>
                <w:b/>
                <w:bCs/>
                <w:sz w:val="22"/>
                <w:szCs w:val="22"/>
              </w:rPr>
              <w:t>CONSEJERA PRESIDENTA</w:t>
            </w:r>
          </w:p>
        </w:tc>
        <w:tc>
          <w:tcPr>
            <w:tcW w:w="0" w:type="auto"/>
            <w:vAlign w:val="bottom"/>
          </w:tcPr>
          <w:p w14:paraId="079EEBEC" w14:textId="77777777" w:rsidR="007F7B2A" w:rsidRPr="0015006B" w:rsidRDefault="007F7B2A" w:rsidP="003B787F">
            <w:pPr>
              <w:widowControl w:val="0"/>
              <w:spacing w:before="0" w:after="0" w:line="288" w:lineRule="auto"/>
              <w:jc w:val="center"/>
              <w:rPr>
                <w:rFonts w:ascii="Arial" w:hAnsi="Arial" w:cs="Arial"/>
                <w:b/>
                <w:bCs/>
                <w:sz w:val="22"/>
                <w:szCs w:val="22"/>
              </w:rPr>
            </w:pPr>
          </w:p>
        </w:tc>
        <w:tc>
          <w:tcPr>
            <w:tcW w:w="0" w:type="auto"/>
            <w:vAlign w:val="bottom"/>
          </w:tcPr>
          <w:p w14:paraId="76CD83B0" w14:textId="77777777" w:rsidR="007F7B2A" w:rsidRPr="0015006B" w:rsidRDefault="007F7B2A" w:rsidP="003B787F">
            <w:pPr>
              <w:widowControl w:val="0"/>
              <w:spacing w:before="0" w:after="0" w:line="288" w:lineRule="auto"/>
              <w:jc w:val="center"/>
              <w:rPr>
                <w:rFonts w:ascii="Arial" w:hAnsi="Arial" w:cs="Arial"/>
                <w:b/>
                <w:bCs/>
                <w:sz w:val="22"/>
                <w:szCs w:val="22"/>
              </w:rPr>
            </w:pPr>
            <w:r w:rsidRPr="0015006B">
              <w:rPr>
                <w:rFonts w:ascii="Arial" w:hAnsi="Arial" w:cs="Arial"/>
                <w:b/>
                <w:bCs/>
                <w:sz w:val="22"/>
                <w:szCs w:val="22"/>
              </w:rPr>
              <w:t>LIC. JORGE ALBERTO ZAVALA FRÍAS</w:t>
            </w:r>
          </w:p>
          <w:p w14:paraId="4541F7AA" w14:textId="77777777" w:rsidR="007F7B2A" w:rsidRPr="0015006B" w:rsidRDefault="007F7B2A" w:rsidP="003B787F">
            <w:pPr>
              <w:widowControl w:val="0"/>
              <w:spacing w:before="0" w:after="0" w:line="288" w:lineRule="auto"/>
              <w:jc w:val="center"/>
              <w:rPr>
                <w:rFonts w:ascii="Arial" w:hAnsi="Arial" w:cs="Arial"/>
                <w:b/>
                <w:bCs/>
                <w:sz w:val="22"/>
                <w:szCs w:val="22"/>
              </w:rPr>
            </w:pPr>
            <w:r w:rsidRPr="0015006B">
              <w:rPr>
                <w:rFonts w:ascii="Arial" w:hAnsi="Arial" w:cs="Arial"/>
                <w:b/>
                <w:bCs/>
                <w:sz w:val="22"/>
                <w:szCs w:val="22"/>
              </w:rPr>
              <w:t>SECRETARIO DEL CONSEJO</w:t>
            </w:r>
          </w:p>
        </w:tc>
      </w:tr>
    </w:tbl>
    <w:p w14:paraId="08EA8961" w14:textId="2BE98FFD" w:rsidR="003B787F" w:rsidRPr="0015006B" w:rsidRDefault="003B787F" w:rsidP="003B787F">
      <w:pPr>
        <w:widowControl w:val="0"/>
        <w:rPr>
          <w:rFonts w:ascii="Arial" w:hAnsi="Arial" w:cs="Arial"/>
        </w:rPr>
      </w:pPr>
    </w:p>
    <w:sectPr w:rsidR="003B787F" w:rsidRPr="0015006B" w:rsidSect="00123339">
      <w:headerReference w:type="default" r:id="rId8"/>
      <w:footerReference w:type="default" r:id="rId9"/>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2C085" w14:textId="77777777" w:rsidR="000C13D2" w:rsidRDefault="000C13D2" w:rsidP="00123339">
      <w:pPr>
        <w:spacing w:before="0" w:after="0" w:line="240" w:lineRule="auto"/>
      </w:pPr>
      <w:r>
        <w:separator/>
      </w:r>
    </w:p>
  </w:endnote>
  <w:endnote w:type="continuationSeparator" w:id="0">
    <w:p w14:paraId="5A060EC3" w14:textId="77777777" w:rsidR="000C13D2" w:rsidRDefault="000C13D2" w:rsidP="001233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embedRegular r:id="rId1" w:fontKey="{9A9D00AB-36B1-4C02-B79C-3093AA1C264B}"/>
    <w:embedBold r:id="rId2" w:fontKey="{949C93CC-3907-4169-859D-DEA44B6F9AE1}"/>
    <w:embedItalic r:id="rId3" w:fontKey="{27027D22-5B7F-4C30-8D7B-F59DCDCFC478}"/>
  </w:font>
  <w:font w:name="Exo">
    <w:altName w:val="Times New Roman"/>
    <w:charset w:val="00"/>
    <w:family w:val="auto"/>
    <w:pitch w:val="variable"/>
    <w:sig w:usb0="A00000EF" w:usb1="4000204B" w:usb2="00000000" w:usb3="00000000" w:csb0="00000193" w:csb1="00000000"/>
    <w:embedRegular r:id="rId4" w:fontKey="{EC9BF867-E5F1-4976-AF12-38CAA8478C9A}"/>
    <w:embedBold r:id="rId5" w:fontKey="{5891C45D-E974-4E92-A57D-A69325115AD9}"/>
    <w:embedItalic r:id="rId6" w:fontKey="{72B614E5-1DC1-4122-8E58-34E3BAC08884}"/>
  </w:font>
  <w:font w:name="Aptos Display">
    <w:altName w:val="Arial"/>
    <w:charset w:val="00"/>
    <w:family w:val="swiss"/>
    <w:pitch w:val="variable"/>
    <w:sig w:usb0="20000287" w:usb1="00000003" w:usb2="00000000" w:usb3="00000000" w:csb0="0000019F" w:csb1="00000000"/>
    <w:embedRegular r:id="rId7" w:fontKey="{31297A92-7C47-49C6-BA8F-8F097F53D9E6}"/>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267611025"/>
      <w:docPartObj>
        <w:docPartGallery w:val="Page Numbers (Top of Page)"/>
        <w:docPartUnique/>
      </w:docPartObj>
    </w:sdtPr>
    <w:sdtEndPr/>
    <w:sdtContent>
      <w:p w14:paraId="3683DB12" w14:textId="565C1329" w:rsidR="00123339" w:rsidRPr="00123339" w:rsidRDefault="00123339" w:rsidP="00123339">
        <w:pPr>
          <w:pStyle w:val="Piedepgina"/>
          <w:jc w:val="right"/>
          <w:rPr>
            <w:color w:val="993366"/>
            <w:sz w:val="20"/>
            <w:szCs w:val="20"/>
          </w:rPr>
        </w:pPr>
        <w:r w:rsidRPr="0084107C">
          <w:rPr>
            <w:b/>
            <w:bCs/>
            <w:color w:val="993366"/>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A25B79">
          <w:rPr>
            <w:b/>
            <w:bCs/>
            <w:noProof/>
            <w:color w:val="993366"/>
          </w:rPr>
          <w:t>1</w:t>
        </w:r>
        <w:r w:rsidRPr="0084107C">
          <w:rPr>
            <w:b/>
            <w:bCs/>
            <w:color w:val="993366"/>
          </w:rPr>
          <w:fldChar w:fldCharType="end"/>
        </w:r>
        <w:r w:rsidRPr="0084107C">
          <w:rPr>
            <w:b/>
            <w:bCs/>
            <w:color w:val="993366"/>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A25B79">
          <w:rPr>
            <w:b/>
            <w:bCs/>
            <w:noProof/>
            <w:color w:val="993366"/>
          </w:rPr>
          <w:t>14</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FE71C" w14:textId="77777777" w:rsidR="000C13D2" w:rsidRDefault="000C13D2" w:rsidP="00123339">
      <w:pPr>
        <w:spacing w:before="0" w:after="0" w:line="240" w:lineRule="auto"/>
      </w:pPr>
      <w:r>
        <w:separator/>
      </w:r>
    </w:p>
  </w:footnote>
  <w:footnote w:type="continuationSeparator" w:id="0">
    <w:p w14:paraId="4B7E824B" w14:textId="77777777" w:rsidR="000C13D2" w:rsidRDefault="000C13D2" w:rsidP="001233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123339" w:rsidRPr="0015006B" w14:paraId="4CF3AF24" w14:textId="77777777" w:rsidTr="009D5AD4">
      <w:tc>
        <w:tcPr>
          <w:tcW w:w="1813" w:type="dxa"/>
        </w:tcPr>
        <w:p w14:paraId="3A55504C" w14:textId="77777777" w:rsidR="00123339" w:rsidRPr="0015006B" w:rsidRDefault="00123339" w:rsidP="00123339">
          <w:pPr>
            <w:pStyle w:val="Encabezado"/>
            <w:rPr>
              <w:rFonts w:ascii="Arial" w:hAnsi="Arial" w:cs="Arial"/>
            </w:rPr>
          </w:pPr>
          <w:r w:rsidRPr="0015006B">
            <w:rPr>
              <w:rFonts w:ascii="Arial" w:hAnsi="Arial" w:cs="Arial"/>
              <w:b/>
              <w:noProof/>
              <w:sz w:val="32"/>
              <w:lang w:val="es-MX" w:eastAsia="es-MX"/>
            </w:rPr>
            <w:drawing>
              <wp:inline distT="0" distB="0" distL="0" distR="0" wp14:anchorId="3B92D6B7" wp14:editId="0B43EDC5">
                <wp:extent cx="1014331" cy="1199403"/>
                <wp:effectExtent l="0" t="0" r="0" b="1270"/>
                <wp:docPr id="829323060" name="Imagen 829323060"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75F64A99" w14:textId="77777777" w:rsidR="00123339" w:rsidRPr="0015006B" w:rsidRDefault="00123339" w:rsidP="00123339">
          <w:pPr>
            <w:pStyle w:val="Encabezado"/>
            <w:spacing w:before="720"/>
            <w:jc w:val="center"/>
            <w:rPr>
              <w:rFonts w:ascii="Arial" w:hAnsi="Arial" w:cs="Arial"/>
              <w:b/>
              <w:bCs/>
              <w:spacing w:val="-10"/>
              <w:sz w:val="26"/>
              <w:szCs w:val="26"/>
            </w:rPr>
          </w:pPr>
          <w:r w:rsidRPr="0015006B">
            <w:rPr>
              <w:rFonts w:ascii="Arial" w:hAnsi="Arial" w:cs="Arial"/>
              <w:b/>
              <w:bCs/>
              <w:spacing w:val="-10"/>
              <w:sz w:val="26"/>
              <w:szCs w:val="26"/>
            </w:rPr>
            <w:t>INSTITUTO ELECTORAL Y DE PARTICIPACIÓN CIUDADANA DE TABASCO</w:t>
          </w:r>
        </w:p>
        <w:p w14:paraId="0498CB5E" w14:textId="77777777" w:rsidR="00123339" w:rsidRPr="0015006B" w:rsidRDefault="00123339" w:rsidP="00123339">
          <w:pPr>
            <w:pStyle w:val="Encabezado"/>
            <w:spacing w:before="60"/>
            <w:jc w:val="center"/>
            <w:rPr>
              <w:rFonts w:ascii="Arial" w:hAnsi="Arial" w:cs="Arial"/>
            </w:rPr>
          </w:pPr>
          <w:r w:rsidRPr="0015006B">
            <w:rPr>
              <w:rFonts w:ascii="Arial" w:hAnsi="Arial" w:cs="Arial"/>
              <w:b/>
              <w:bCs/>
              <w:sz w:val="28"/>
              <w:szCs w:val="28"/>
            </w:rPr>
            <w:t>CONSEJO ESTATAL</w:t>
          </w:r>
        </w:p>
      </w:tc>
      <w:tc>
        <w:tcPr>
          <w:tcW w:w="1560" w:type="dxa"/>
        </w:tcPr>
        <w:p w14:paraId="74BE8B52" w14:textId="77777777" w:rsidR="00123339" w:rsidRPr="0015006B" w:rsidRDefault="00123339" w:rsidP="00123339">
          <w:pPr>
            <w:pStyle w:val="Encabezado"/>
            <w:spacing w:before="480"/>
            <w:jc w:val="right"/>
            <w:rPr>
              <w:rFonts w:ascii="Arial" w:hAnsi="Arial" w:cs="Arial"/>
            </w:rPr>
          </w:pPr>
          <w:r w:rsidRPr="0015006B">
            <w:rPr>
              <w:rFonts w:ascii="Arial" w:hAnsi="Arial" w:cs="Arial"/>
              <w:noProof/>
              <w:lang w:val="es-MX" w:eastAsia="es-MX"/>
            </w:rPr>
            <w:drawing>
              <wp:inline distT="0" distB="0" distL="0" distR="0" wp14:anchorId="48055663" wp14:editId="0FCFFA2C">
                <wp:extent cx="921600" cy="756000"/>
                <wp:effectExtent l="0" t="0" r="0" b="6350"/>
                <wp:docPr id="203349450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719FBC8" w14:textId="42634188" w:rsidR="00123339" w:rsidRPr="0015006B" w:rsidRDefault="0015006B" w:rsidP="0015006B">
    <w:pPr>
      <w:pStyle w:val="Encabezado"/>
      <w:jc w:val="right"/>
      <w:rPr>
        <w:rFonts w:ascii="Arial" w:hAnsi="Arial" w:cs="Arial"/>
        <w:b/>
      </w:rPr>
    </w:pPr>
    <w:r w:rsidRPr="0015006B">
      <w:rPr>
        <w:rFonts w:ascii="Arial" w:hAnsi="Arial" w:cs="Arial"/>
        <w:b/>
      </w:rPr>
      <w:t>CE/205/030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3"/>
    <w:multiLevelType w:val="hybridMultilevel"/>
    <w:tmpl w:val="3FE478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0D1222"/>
    <w:multiLevelType w:val="hybridMultilevel"/>
    <w:tmpl w:val="232A670C"/>
    <w:lvl w:ilvl="0" w:tplc="A24851A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5E5899"/>
    <w:multiLevelType w:val="hybridMultilevel"/>
    <w:tmpl w:val="41165E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FC69F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1B34CD5"/>
    <w:multiLevelType w:val="hybridMultilevel"/>
    <w:tmpl w:val="069A9D42"/>
    <w:lvl w:ilvl="0" w:tplc="F2DEC99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412641"/>
    <w:multiLevelType w:val="hybridMultilevel"/>
    <w:tmpl w:val="41FE32B0"/>
    <w:lvl w:ilvl="0" w:tplc="B7D299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EA"/>
    <w:rsid w:val="00021225"/>
    <w:rsid w:val="000257F0"/>
    <w:rsid w:val="000774A3"/>
    <w:rsid w:val="000C13D2"/>
    <w:rsid w:val="00121F86"/>
    <w:rsid w:val="00123339"/>
    <w:rsid w:val="0015006B"/>
    <w:rsid w:val="001B1D63"/>
    <w:rsid w:val="001B7BE2"/>
    <w:rsid w:val="001E0BB9"/>
    <w:rsid w:val="00274C6B"/>
    <w:rsid w:val="00363B3C"/>
    <w:rsid w:val="00375E68"/>
    <w:rsid w:val="00390FEA"/>
    <w:rsid w:val="003B787F"/>
    <w:rsid w:val="00433F5E"/>
    <w:rsid w:val="00465972"/>
    <w:rsid w:val="004D741A"/>
    <w:rsid w:val="005430C4"/>
    <w:rsid w:val="00591E08"/>
    <w:rsid w:val="007F7B2A"/>
    <w:rsid w:val="00816042"/>
    <w:rsid w:val="008532CF"/>
    <w:rsid w:val="008532E7"/>
    <w:rsid w:val="008610D1"/>
    <w:rsid w:val="009547ED"/>
    <w:rsid w:val="00A02E2C"/>
    <w:rsid w:val="00A25B79"/>
    <w:rsid w:val="00A624DD"/>
    <w:rsid w:val="00A97F9D"/>
    <w:rsid w:val="00AA576A"/>
    <w:rsid w:val="00B34C6B"/>
    <w:rsid w:val="00BB34CF"/>
    <w:rsid w:val="00C24010"/>
    <w:rsid w:val="00C9337B"/>
    <w:rsid w:val="00CA369E"/>
    <w:rsid w:val="00D628E8"/>
    <w:rsid w:val="00D919C6"/>
    <w:rsid w:val="00DC1A3E"/>
    <w:rsid w:val="00E05661"/>
    <w:rsid w:val="00E42FD0"/>
    <w:rsid w:val="00F466A7"/>
    <w:rsid w:val="00FB28F9"/>
    <w:rsid w:val="00FC3763"/>
    <w:rsid w:val="00FD7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5972"/>
  <w15:chartTrackingRefBased/>
  <w15:docId w15:val="{63B8EC84-0156-4E35-8C45-EDD86A2A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E2C"/>
    <w:pPr>
      <w:spacing w:before="240" w:after="240" w:line="276" w:lineRule="auto"/>
      <w:jc w:val="both"/>
    </w:pPr>
    <w:rPr>
      <w:rFonts w:ascii="Exo" w:hAnsi="Exo"/>
      <w:lang w:val="es-ES"/>
    </w:rPr>
  </w:style>
  <w:style w:type="paragraph" w:styleId="Ttulo1">
    <w:name w:val="heading 1"/>
    <w:basedOn w:val="Normal"/>
    <w:next w:val="Normal"/>
    <w:link w:val="Ttulo1Car"/>
    <w:uiPriority w:val="9"/>
    <w:qFormat/>
    <w:rsid w:val="00A02E2C"/>
    <w:pPr>
      <w:keepNext/>
      <w:keepLines/>
      <w:numPr>
        <w:numId w:val="6"/>
      </w:numPr>
      <w:spacing w:before="600" w:after="36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A02E2C"/>
    <w:pPr>
      <w:keepNext/>
      <w:keepLines/>
      <w:numPr>
        <w:ilvl w:val="1"/>
        <w:numId w:val="6"/>
      </w:numPr>
      <w:spacing w:before="480"/>
      <w:outlineLvl w:val="1"/>
    </w:pPr>
    <w:rPr>
      <w:rFonts w:eastAsiaTheme="majorEastAsia" w:cstheme="majorBidi"/>
      <w:b/>
      <w:bCs/>
      <w:color w:val="0F4761" w:themeColor="accent1" w:themeShade="BF"/>
    </w:rPr>
  </w:style>
  <w:style w:type="paragraph" w:styleId="Ttulo3">
    <w:name w:val="heading 3"/>
    <w:basedOn w:val="Normal"/>
    <w:next w:val="Normal"/>
    <w:link w:val="Ttulo3Car"/>
    <w:uiPriority w:val="9"/>
    <w:semiHidden/>
    <w:unhideWhenUsed/>
    <w:qFormat/>
    <w:rsid w:val="00390FEA"/>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0FEA"/>
    <w:pPr>
      <w:keepNext/>
      <w:keepLines/>
      <w:numPr>
        <w:ilvl w:val="3"/>
        <w:numId w:val="6"/>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0FEA"/>
    <w:pPr>
      <w:keepNext/>
      <w:keepLines/>
      <w:numPr>
        <w:ilvl w:val="4"/>
        <w:numId w:val="6"/>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0FEA"/>
    <w:pPr>
      <w:keepNext/>
      <w:keepLines/>
      <w:numPr>
        <w:ilvl w:val="5"/>
        <w:numId w:val="6"/>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0FEA"/>
    <w:pPr>
      <w:keepNext/>
      <w:keepLines/>
      <w:numPr>
        <w:ilvl w:val="6"/>
        <w:numId w:val="6"/>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0FEA"/>
    <w:pPr>
      <w:keepNext/>
      <w:keepLines/>
      <w:numPr>
        <w:ilvl w:val="7"/>
        <w:numId w:val="6"/>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0FEA"/>
    <w:pPr>
      <w:keepNext/>
      <w:keepLines/>
      <w:numPr>
        <w:ilvl w:val="8"/>
        <w:numId w:val="6"/>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2E2C"/>
    <w:rPr>
      <w:rFonts w:ascii="Exo" w:eastAsiaTheme="majorEastAsia" w:hAnsi="Exo" w:cstheme="majorBidi"/>
      <w:b/>
      <w:bCs/>
      <w:color w:val="0F4761" w:themeColor="accent1" w:themeShade="BF"/>
      <w:sz w:val="28"/>
      <w:szCs w:val="28"/>
      <w:lang w:val="es-ES"/>
    </w:rPr>
  </w:style>
  <w:style w:type="character" w:customStyle="1" w:styleId="Ttulo2Car">
    <w:name w:val="Título 2 Car"/>
    <w:basedOn w:val="Fuentedeprrafopredeter"/>
    <w:link w:val="Ttulo2"/>
    <w:uiPriority w:val="9"/>
    <w:rsid w:val="00A02E2C"/>
    <w:rPr>
      <w:rFonts w:ascii="Exo" w:eastAsiaTheme="majorEastAsia" w:hAnsi="Exo" w:cstheme="majorBidi"/>
      <w:b/>
      <w:bCs/>
      <w:color w:val="0F4761" w:themeColor="accent1" w:themeShade="BF"/>
      <w:lang w:val="es-ES"/>
    </w:rPr>
  </w:style>
  <w:style w:type="character" w:customStyle="1" w:styleId="Ttulo3Car">
    <w:name w:val="Título 3 Car"/>
    <w:basedOn w:val="Fuentedeprrafopredeter"/>
    <w:link w:val="Ttulo3"/>
    <w:uiPriority w:val="9"/>
    <w:semiHidden/>
    <w:rsid w:val="00390FE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90FE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90FE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90FE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90FE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90FE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90FEA"/>
    <w:rPr>
      <w:rFonts w:eastAsiaTheme="majorEastAsia" w:cstheme="majorBidi"/>
      <w:color w:val="272727" w:themeColor="text1" w:themeTint="D8"/>
    </w:rPr>
  </w:style>
  <w:style w:type="paragraph" w:styleId="Ttulo">
    <w:name w:val="Title"/>
    <w:basedOn w:val="Normal"/>
    <w:next w:val="Normal"/>
    <w:link w:val="TtuloCar"/>
    <w:uiPriority w:val="10"/>
    <w:qFormat/>
    <w:rsid w:val="00390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0FE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90FE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0FE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90FEA"/>
    <w:pPr>
      <w:spacing w:before="160"/>
      <w:jc w:val="center"/>
    </w:pPr>
    <w:rPr>
      <w:i/>
      <w:iCs/>
      <w:color w:val="404040" w:themeColor="text1" w:themeTint="BF"/>
    </w:rPr>
  </w:style>
  <w:style w:type="character" w:customStyle="1" w:styleId="CitaCar">
    <w:name w:val="Cita Car"/>
    <w:basedOn w:val="Fuentedeprrafopredeter"/>
    <w:link w:val="Cita"/>
    <w:uiPriority w:val="29"/>
    <w:rsid w:val="00390FEA"/>
    <w:rPr>
      <w:i/>
      <w:iCs/>
      <w:color w:val="404040" w:themeColor="text1" w:themeTint="BF"/>
    </w:rPr>
  </w:style>
  <w:style w:type="paragraph" w:styleId="Prrafodelista">
    <w:name w:val="List Paragraph"/>
    <w:basedOn w:val="Normal"/>
    <w:uiPriority w:val="34"/>
    <w:qFormat/>
    <w:rsid w:val="00390FEA"/>
    <w:pPr>
      <w:ind w:left="720"/>
      <w:contextualSpacing/>
    </w:pPr>
  </w:style>
  <w:style w:type="character" w:styleId="nfasisintenso">
    <w:name w:val="Intense Emphasis"/>
    <w:basedOn w:val="Fuentedeprrafopredeter"/>
    <w:uiPriority w:val="21"/>
    <w:qFormat/>
    <w:rsid w:val="00390FEA"/>
    <w:rPr>
      <w:i/>
      <w:iCs/>
      <w:color w:val="0F4761" w:themeColor="accent1" w:themeShade="BF"/>
    </w:rPr>
  </w:style>
  <w:style w:type="paragraph" w:styleId="Citadestacada">
    <w:name w:val="Intense Quote"/>
    <w:basedOn w:val="Normal"/>
    <w:next w:val="Normal"/>
    <w:link w:val="CitadestacadaCar"/>
    <w:uiPriority w:val="30"/>
    <w:qFormat/>
    <w:rsid w:val="00390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0FEA"/>
    <w:rPr>
      <w:i/>
      <w:iCs/>
      <w:color w:val="0F4761" w:themeColor="accent1" w:themeShade="BF"/>
    </w:rPr>
  </w:style>
  <w:style w:type="character" w:styleId="Referenciaintensa">
    <w:name w:val="Intense Reference"/>
    <w:basedOn w:val="Fuentedeprrafopredeter"/>
    <w:uiPriority w:val="32"/>
    <w:qFormat/>
    <w:rsid w:val="00390FEA"/>
    <w:rPr>
      <w:b/>
      <w:bCs/>
      <w:smallCaps/>
      <w:color w:val="0F4761" w:themeColor="accent1" w:themeShade="BF"/>
      <w:spacing w:val="5"/>
    </w:rPr>
  </w:style>
  <w:style w:type="table" w:styleId="Tablaconcuadrcula">
    <w:name w:val="Table Grid"/>
    <w:basedOn w:val="Tablanormal"/>
    <w:uiPriority w:val="39"/>
    <w:rsid w:val="007F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2333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23339"/>
    <w:rPr>
      <w:rFonts w:ascii="Exo" w:hAnsi="Exo"/>
      <w:lang w:val="es-ES"/>
    </w:rPr>
  </w:style>
  <w:style w:type="paragraph" w:styleId="Piedepgina">
    <w:name w:val="footer"/>
    <w:basedOn w:val="Normal"/>
    <w:link w:val="PiedepginaCar"/>
    <w:uiPriority w:val="99"/>
    <w:unhideWhenUsed/>
    <w:rsid w:val="0012333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23339"/>
    <w:rPr>
      <w:rFonts w:ascii="Exo" w:hAnsi="Ex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A694-364B-4349-9641-DC264485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5036</Words>
  <Characters>27701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Coordinación Técnica</cp:lastModifiedBy>
  <cp:revision>31</cp:revision>
  <dcterms:created xsi:type="dcterms:W3CDTF">2025-03-21T18:26:00Z</dcterms:created>
  <dcterms:modified xsi:type="dcterms:W3CDTF">2025-03-25T22:24:00Z</dcterms:modified>
</cp:coreProperties>
</file>