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C62A" w14:textId="15B5F51E" w:rsidR="002B25D3" w:rsidRPr="002B25D3" w:rsidRDefault="002B25D3" w:rsidP="002B25D3">
      <w:pPr>
        <w:pStyle w:val="Ttulo"/>
        <w:rPr>
          <w:rFonts w:ascii="Arial" w:hAnsi="Arial" w:cs="Arial"/>
        </w:rPr>
      </w:pPr>
      <w:r w:rsidRPr="002B25D3">
        <w:rPr>
          <w:rFonts w:ascii="Arial" w:hAnsi="Arial" w:cs="Arial"/>
        </w:rPr>
        <w:t>ACUERDO QUE EMITE EL CONSEJO ESTATAL DEL INSTITUTO ELECTORAL Y DE PARTICIPACIÓN CIUDADANA DE TABASCO, POR EL QUE APRUEBA EL CRITERIO PARA LA CALIFICACIÓN DE LOS VOTOS QUE, EN SU CASO, OBTENGAN LAS PERSONAS QUE RENUNCIARON A LAS CANDIDATURAS CON MOTIVO DEL PROCESO ELECTORAL LOCAL EXTRAORDINARIO PARA PERSONAS JUZGADORAS DEL PODER JUDICIAL DEL ESTADO DE TABASCO 2024 – 2025</w:t>
      </w:r>
    </w:p>
    <w:p w14:paraId="3A921247" w14:textId="57CD7B5A" w:rsidR="00265D6D" w:rsidRPr="002B25D3" w:rsidRDefault="00265D6D" w:rsidP="002B25D3">
      <w:pPr>
        <w:rPr>
          <w:rFonts w:ascii="Arial" w:hAnsi="Arial" w:cs="Arial"/>
          <w:sz w:val="22"/>
        </w:rPr>
      </w:pPr>
      <w:r w:rsidRPr="002B25D3">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F6634" w:rsidRPr="002B25D3" w14:paraId="5605A8FF" w14:textId="77777777" w:rsidTr="00E07F4B">
        <w:trPr>
          <w:trHeight w:val="624"/>
          <w:jc w:val="center"/>
        </w:trPr>
        <w:tc>
          <w:tcPr>
            <w:tcW w:w="2042" w:type="pct"/>
            <w:shd w:val="clear" w:color="auto" w:fill="auto"/>
            <w:vAlign w:val="center"/>
          </w:tcPr>
          <w:p w14:paraId="1DF237B8" w14:textId="77777777" w:rsidR="00BF6634" w:rsidRPr="002B25D3" w:rsidRDefault="00BF6634" w:rsidP="00E07F4B">
            <w:pPr>
              <w:widowControl w:val="0"/>
              <w:spacing w:before="120" w:after="120" w:line="264" w:lineRule="auto"/>
              <w:ind w:left="57"/>
              <w:jc w:val="right"/>
              <w:rPr>
                <w:rFonts w:ascii="Arial" w:hAnsi="Arial" w:cs="Arial"/>
                <w:b/>
                <w:sz w:val="20"/>
                <w:szCs w:val="22"/>
              </w:rPr>
            </w:pPr>
            <w:bookmarkStart w:id="0" w:name="_Hlk186652747"/>
            <w:r w:rsidRPr="002B25D3">
              <w:rPr>
                <w:rFonts w:ascii="Arial" w:hAnsi="Arial" w:cs="Arial"/>
                <w:b/>
                <w:sz w:val="20"/>
                <w:szCs w:val="22"/>
              </w:rPr>
              <w:t>Consejo Estatal:</w:t>
            </w:r>
          </w:p>
        </w:tc>
        <w:tc>
          <w:tcPr>
            <w:tcW w:w="2958" w:type="pct"/>
            <w:shd w:val="clear" w:color="auto" w:fill="auto"/>
            <w:vAlign w:val="center"/>
          </w:tcPr>
          <w:p w14:paraId="70505CD1"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Consejo Estatal del Instituto Electoral y de Participación Ciudadana de Tabasco.</w:t>
            </w:r>
          </w:p>
        </w:tc>
      </w:tr>
      <w:tr w:rsidR="00BF6634" w:rsidRPr="002B25D3" w14:paraId="0E3CCAF5" w14:textId="77777777" w:rsidTr="00E07F4B">
        <w:trPr>
          <w:trHeight w:val="624"/>
          <w:jc w:val="center"/>
        </w:trPr>
        <w:tc>
          <w:tcPr>
            <w:tcW w:w="2042" w:type="pct"/>
            <w:shd w:val="clear" w:color="auto" w:fill="auto"/>
            <w:vAlign w:val="center"/>
          </w:tcPr>
          <w:p w14:paraId="32312E35"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Consejos Distritales:</w:t>
            </w:r>
          </w:p>
        </w:tc>
        <w:tc>
          <w:tcPr>
            <w:tcW w:w="2958" w:type="pct"/>
            <w:shd w:val="clear" w:color="auto" w:fill="auto"/>
            <w:vAlign w:val="center"/>
          </w:tcPr>
          <w:p w14:paraId="23C66C7D"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Consejos Electorales Distritales del Instituto Electoral y de Participación Ciudadana de Tabasco.</w:t>
            </w:r>
          </w:p>
        </w:tc>
      </w:tr>
      <w:tr w:rsidR="00BF6634" w:rsidRPr="002B25D3" w14:paraId="038D00D2" w14:textId="77777777" w:rsidTr="00E07F4B">
        <w:trPr>
          <w:trHeight w:val="624"/>
          <w:jc w:val="center"/>
        </w:trPr>
        <w:tc>
          <w:tcPr>
            <w:tcW w:w="2042" w:type="pct"/>
            <w:shd w:val="clear" w:color="auto" w:fill="auto"/>
            <w:vAlign w:val="center"/>
          </w:tcPr>
          <w:p w14:paraId="4D42E0C9"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Constitución Federal:</w:t>
            </w:r>
          </w:p>
        </w:tc>
        <w:tc>
          <w:tcPr>
            <w:tcW w:w="2958" w:type="pct"/>
            <w:shd w:val="clear" w:color="auto" w:fill="auto"/>
            <w:vAlign w:val="center"/>
          </w:tcPr>
          <w:p w14:paraId="19B65950"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Constitución Política de los Estados Unidos Mexicanos.</w:t>
            </w:r>
          </w:p>
        </w:tc>
      </w:tr>
      <w:tr w:rsidR="00BF6634" w:rsidRPr="002B25D3" w14:paraId="4D386A85" w14:textId="77777777" w:rsidTr="00E07F4B">
        <w:trPr>
          <w:trHeight w:val="624"/>
          <w:jc w:val="center"/>
        </w:trPr>
        <w:tc>
          <w:tcPr>
            <w:tcW w:w="2042" w:type="pct"/>
            <w:shd w:val="clear" w:color="auto" w:fill="auto"/>
            <w:vAlign w:val="center"/>
          </w:tcPr>
          <w:p w14:paraId="536538F4"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Constitución Local:</w:t>
            </w:r>
          </w:p>
        </w:tc>
        <w:tc>
          <w:tcPr>
            <w:tcW w:w="2958" w:type="pct"/>
            <w:shd w:val="clear" w:color="auto" w:fill="auto"/>
            <w:vAlign w:val="center"/>
          </w:tcPr>
          <w:p w14:paraId="6D46B91C"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Constitución Política del Estado Libre y Soberano de Tabasco.</w:t>
            </w:r>
          </w:p>
        </w:tc>
      </w:tr>
      <w:tr w:rsidR="00BF6634" w:rsidRPr="002B25D3" w14:paraId="15F5D2E3" w14:textId="77777777" w:rsidTr="00E07F4B">
        <w:trPr>
          <w:trHeight w:val="624"/>
          <w:jc w:val="center"/>
        </w:trPr>
        <w:tc>
          <w:tcPr>
            <w:tcW w:w="2042" w:type="pct"/>
            <w:shd w:val="clear" w:color="auto" w:fill="auto"/>
            <w:vAlign w:val="center"/>
          </w:tcPr>
          <w:p w14:paraId="085B5A32"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INE:</w:t>
            </w:r>
          </w:p>
        </w:tc>
        <w:tc>
          <w:tcPr>
            <w:tcW w:w="2958" w:type="pct"/>
            <w:shd w:val="clear" w:color="auto" w:fill="auto"/>
            <w:vAlign w:val="center"/>
          </w:tcPr>
          <w:p w14:paraId="339FD687"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Instituto Nacional Electoral.</w:t>
            </w:r>
          </w:p>
        </w:tc>
      </w:tr>
      <w:tr w:rsidR="00BF6634" w:rsidRPr="002B25D3" w14:paraId="3900EA04" w14:textId="77777777" w:rsidTr="00E07F4B">
        <w:trPr>
          <w:trHeight w:val="624"/>
          <w:jc w:val="center"/>
        </w:trPr>
        <w:tc>
          <w:tcPr>
            <w:tcW w:w="2042" w:type="pct"/>
            <w:shd w:val="clear" w:color="auto" w:fill="auto"/>
            <w:vAlign w:val="center"/>
          </w:tcPr>
          <w:p w14:paraId="12A7F9C7"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Instituto:</w:t>
            </w:r>
          </w:p>
        </w:tc>
        <w:tc>
          <w:tcPr>
            <w:tcW w:w="2958" w:type="pct"/>
            <w:shd w:val="clear" w:color="auto" w:fill="auto"/>
          </w:tcPr>
          <w:p w14:paraId="5125FA52"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Instituto Electoral y de Participación Ciudadana de Tabasco.</w:t>
            </w:r>
          </w:p>
        </w:tc>
      </w:tr>
      <w:tr w:rsidR="00BF6634" w:rsidRPr="002B25D3" w14:paraId="33964078" w14:textId="77777777" w:rsidTr="00E07F4B">
        <w:trPr>
          <w:trHeight w:val="624"/>
          <w:jc w:val="center"/>
        </w:trPr>
        <w:tc>
          <w:tcPr>
            <w:tcW w:w="2042" w:type="pct"/>
            <w:shd w:val="clear" w:color="auto" w:fill="auto"/>
            <w:vAlign w:val="center"/>
          </w:tcPr>
          <w:p w14:paraId="731E6734"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Ley Electoral:</w:t>
            </w:r>
          </w:p>
        </w:tc>
        <w:tc>
          <w:tcPr>
            <w:tcW w:w="2958" w:type="pct"/>
            <w:shd w:val="clear" w:color="auto" w:fill="auto"/>
            <w:vAlign w:val="center"/>
          </w:tcPr>
          <w:p w14:paraId="706A283B"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Ley Electoral y de Partidos Políticos del Estado de Tabasco.</w:t>
            </w:r>
          </w:p>
        </w:tc>
      </w:tr>
      <w:tr w:rsidR="00BF6634" w:rsidRPr="002B25D3" w14:paraId="5C718752" w14:textId="77777777" w:rsidTr="00E07F4B">
        <w:trPr>
          <w:trHeight w:val="624"/>
          <w:jc w:val="center"/>
        </w:trPr>
        <w:tc>
          <w:tcPr>
            <w:tcW w:w="2042" w:type="pct"/>
            <w:shd w:val="clear" w:color="auto" w:fill="auto"/>
            <w:vAlign w:val="center"/>
          </w:tcPr>
          <w:p w14:paraId="2633F7C3"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Ley General:</w:t>
            </w:r>
          </w:p>
        </w:tc>
        <w:tc>
          <w:tcPr>
            <w:tcW w:w="2958" w:type="pct"/>
            <w:shd w:val="clear" w:color="auto" w:fill="auto"/>
            <w:vAlign w:val="center"/>
          </w:tcPr>
          <w:p w14:paraId="32B4C836"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Ley General de Instituciones y Procedimientos Electorales.</w:t>
            </w:r>
          </w:p>
        </w:tc>
      </w:tr>
      <w:tr w:rsidR="00BF6634" w:rsidRPr="002B25D3" w14:paraId="3D93D1D1" w14:textId="77777777" w:rsidTr="00E07F4B">
        <w:trPr>
          <w:trHeight w:val="624"/>
          <w:jc w:val="center"/>
        </w:trPr>
        <w:tc>
          <w:tcPr>
            <w:tcW w:w="2042" w:type="pct"/>
            <w:shd w:val="clear" w:color="auto" w:fill="auto"/>
            <w:vAlign w:val="center"/>
          </w:tcPr>
          <w:p w14:paraId="0A614E7A"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Organismo electoral:</w:t>
            </w:r>
          </w:p>
        </w:tc>
        <w:tc>
          <w:tcPr>
            <w:tcW w:w="2958" w:type="pct"/>
            <w:shd w:val="clear" w:color="auto" w:fill="auto"/>
            <w:vAlign w:val="center"/>
          </w:tcPr>
          <w:p w14:paraId="520C5132"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 xml:space="preserve">Organismo(s) público(s) local(es) electoral(es). </w:t>
            </w:r>
          </w:p>
        </w:tc>
      </w:tr>
      <w:tr w:rsidR="00BF6634" w:rsidRPr="002B25D3" w14:paraId="1BC56F4C" w14:textId="77777777" w:rsidTr="00E07F4B">
        <w:trPr>
          <w:trHeight w:val="624"/>
          <w:jc w:val="center"/>
        </w:trPr>
        <w:tc>
          <w:tcPr>
            <w:tcW w:w="2042" w:type="pct"/>
            <w:shd w:val="clear" w:color="auto" w:fill="auto"/>
            <w:vAlign w:val="center"/>
          </w:tcPr>
          <w:p w14:paraId="6AE512EB"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t>Proceso Electoral Extraordinario:</w:t>
            </w:r>
          </w:p>
        </w:tc>
        <w:tc>
          <w:tcPr>
            <w:tcW w:w="2958" w:type="pct"/>
            <w:shd w:val="clear" w:color="auto" w:fill="auto"/>
            <w:vAlign w:val="center"/>
          </w:tcPr>
          <w:p w14:paraId="7113B2F6"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Proceso Electoral Local Extraordinario para personas juzgadoras del Poder Judicial del Estado de Tabasco 2024 – 2025.</w:t>
            </w:r>
          </w:p>
        </w:tc>
      </w:tr>
      <w:tr w:rsidR="00BF6634" w:rsidRPr="002B25D3" w14:paraId="5E10615F" w14:textId="77777777" w:rsidTr="00E07F4B">
        <w:trPr>
          <w:trHeight w:val="624"/>
          <w:jc w:val="center"/>
        </w:trPr>
        <w:tc>
          <w:tcPr>
            <w:tcW w:w="2042" w:type="pct"/>
            <w:shd w:val="clear" w:color="auto" w:fill="auto"/>
            <w:vAlign w:val="center"/>
          </w:tcPr>
          <w:p w14:paraId="511F85ED" w14:textId="77777777" w:rsidR="00BF6634" w:rsidRPr="002B25D3" w:rsidRDefault="00BF6634" w:rsidP="00E07F4B">
            <w:pPr>
              <w:widowControl w:val="0"/>
              <w:spacing w:before="120" w:after="120" w:line="264" w:lineRule="auto"/>
              <w:ind w:left="57"/>
              <w:jc w:val="right"/>
              <w:rPr>
                <w:rFonts w:ascii="Arial" w:hAnsi="Arial" w:cs="Arial"/>
                <w:b/>
                <w:sz w:val="20"/>
                <w:szCs w:val="22"/>
              </w:rPr>
            </w:pPr>
            <w:r w:rsidRPr="002B25D3">
              <w:rPr>
                <w:rFonts w:ascii="Arial" w:hAnsi="Arial" w:cs="Arial"/>
                <w:b/>
                <w:sz w:val="20"/>
                <w:szCs w:val="22"/>
              </w:rPr>
              <w:lastRenderedPageBreak/>
              <w:t>Secretaría Ejecutiva:</w:t>
            </w:r>
          </w:p>
        </w:tc>
        <w:tc>
          <w:tcPr>
            <w:tcW w:w="2958" w:type="pct"/>
            <w:shd w:val="clear" w:color="auto" w:fill="auto"/>
            <w:vAlign w:val="center"/>
          </w:tcPr>
          <w:p w14:paraId="4161C005" w14:textId="77777777" w:rsidR="00BF6634" w:rsidRPr="002B25D3" w:rsidRDefault="00BF6634" w:rsidP="00E07F4B">
            <w:pPr>
              <w:widowControl w:val="0"/>
              <w:spacing w:before="120" w:after="120" w:line="264" w:lineRule="auto"/>
              <w:ind w:left="57"/>
              <w:rPr>
                <w:rFonts w:ascii="Arial" w:hAnsi="Arial" w:cs="Arial"/>
                <w:sz w:val="20"/>
                <w:szCs w:val="22"/>
              </w:rPr>
            </w:pPr>
            <w:r w:rsidRPr="002B25D3">
              <w:rPr>
                <w:rFonts w:ascii="Arial" w:hAnsi="Arial" w:cs="Arial"/>
                <w:sz w:val="20"/>
                <w:szCs w:val="22"/>
              </w:rPr>
              <w:t>Secretaría Ejecutiva del Instituto Electoral y de Participación Ciudadana de Tabasco.</w:t>
            </w:r>
          </w:p>
        </w:tc>
      </w:tr>
    </w:tbl>
    <w:bookmarkEnd w:id="0"/>
    <w:p w14:paraId="4DD0A795" w14:textId="7924B5C4" w:rsidR="00265D6D" w:rsidRPr="002B25D3" w:rsidRDefault="00265D6D" w:rsidP="001D2AE8">
      <w:pPr>
        <w:pStyle w:val="Ttulo1"/>
        <w:rPr>
          <w:rFonts w:ascii="Arial" w:hAnsi="Arial" w:cs="Arial"/>
          <w:sz w:val="24"/>
        </w:rPr>
      </w:pPr>
      <w:r w:rsidRPr="002B25D3">
        <w:rPr>
          <w:rFonts w:ascii="Arial" w:hAnsi="Arial" w:cs="Arial"/>
          <w:sz w:val="24"/>
        </w:rPr>
        <w:t>Antecedentes</w:t>
      </w:r>
    </w:p>
    <w:p w14:paraId="58B9D3F2" w14:textId="105E1984" w:rsidR="00265D6D" w:rsidRPr="002B25D3" w:rsidRDefault="00265D6D" w:rsidP="00265D6D">
      <w:pPr>
        <w:pStyle w:val="Ttulo2"/>
        <w:rPr>
          <w:rFonts w:ascii="Arial" w:hAnsi="Arial" w:cs="Arial"/>
          <w:sz w:val="22"/>
        </w:rPr>
      </w:pPr>
      <w:r w:rsidRPr="002B25D3">
        <w:rPr>
          <w:rFonts w:ascii="Arial" w:hAnsi="Arial" w:cs="Arial"/>
          <w:sz w:val="22"/>
        </w:rPr>
        <w:t>Fines del Instituto</w:t>
      </w:r>
    </w:p>
    <w:p w14:paraId="6C04DC6E" w14:textId="77777777" w:rsidR="00265D6D" w:rsidRPr="002B25D3" w:rsidRDefault="00265D6D" w:rsidP="00265D6D">
      <w:pPr>
        <w:rPr>
          <w:rFonts w:ascii="Arial" w:hAnsi="Arial" w:cs="Arial"/>
          <w:sz w:val="22"/>
        </w:rPr>
      </w:pPr>
      <w:r w:rsidRPr="002B25D3">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18948EC" w14:textId="77777777" w:rsidR="00265D6D" w:rsidRPr="002B25D3" w:rsidRDefault="00265D6D" w:rsidP="00265D6D">
      <w:pPr>
        <w:rPr>
          <w:rFonts w:ascii="Arial" w:hAnsi="Arial" w:cs="Arial"/>
          <w:sz w:val="22"/>
        </w:rPr>
      </w:pPr>
      <w:r w:rsidRPr="002B25D3">
        <w:rPr>
          <w:rFonts w:ascii="Arial" w:hAnsi="Arial" w:cs="Arial"/>
          <w:sz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5ABF3B02" w14:textId="77777777" w:rsidR="00265D6D" w:rsidRPr="002B25D3" w:rsidRDefault="00265D6D" w:rsidP="00265D6D">
      <w:pPr>
        <w:rPr>
          <w:rFonts w:ascii="Arial" w:hAnsi="Arial" w:cs="Arial"/>
          <w:sz w:val="22"/>
        </w:rPr>
      </w:pPr>
      <w:r w:rsidRPr="002B25D3">
        <w:rPr>
          <w:rFonts w:ascii="Arial" w:hAnsi="Arial" w:cs="Arial"/>
          <w:sz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F450E98" w14:textId="0505936E" w:rsidR="00265D6D" w:rsidRPr="002B25D3" w:rsidRDefault="00265D6D" w:rsidP="00265D6D">
      <w:pPr>
        <w:pStyle w:val="Ttulo2"/>
        <w:rPr>
          <w:rFonts w:ascii="Arial" w:hAnsi="Arial" w:cs="Arial"/>
          <w:sz w:val="22"/>
        </w:rPr>
      </w:pPr>
      <w:r w:rsidRPr="002B25D3">
        <w:rPr>
          <w:rFonts w:ascii="Arial" w:hAnsi="Arial" w:cs="Arial"/>
          <w:sz w:val="22"/>
        </w:rPr>
        <w:t>Integración del órgano superior de dirección</w:t>
      </w:r>
    </w:p>
    <w:p w14:paraId="174DCE83" w14:textId="77777777" w:rsidR="00265D6D" w:rsidRPr="002B25D3" w:rsidRDefault="00265D6D" w:rsidP="00265D6D">
      <w:pPr>
        <w:rPr>
          <w:rFonts w:ascii="Arial" w:hAnsi="Arial" w:cs="Arial"/>
          <w:sz w:val="22"/>
        </w:rPr>
      </w:pPr>
      <w:r w:rsidRPr="002B25D3">
        <w:rPr>
          <w:rFonts w:ascii="Arial" w:hAnsi="Arial" w:cs="Arial"/>
          <w:sz w:val="22"/>
        </w:rPr>
        <w:t xml:space="preserve">En términos del artículo 106 de la Ley Electoral, el Consejo Estatal es el órgano superior de dirección, responsable de vigilar el cumplimiento de las disposiciones constitucionales y legales en materia electoral, así como de velar porque los principios de certeza, legalidad, </w:t>
      </w:r>
      <w:r w:rsidRPr="002B25D3">
        <w:rPr>
          <w:rFonts w:ascii="Arial" w:hAnsi="Arial" w:cs="Arial"/>
          <w:sz w:val="22"/>
        </w:rPr>
        <w:lastRenderedPageBreak/>
        <w:t>independencia, máxima publicidad, imparcialidad, objetividad y paridad de género, guíen todas las actividades del Instituto.</w:t>
      </w:r>
    </w:p>
    <w:p w14:paraId="1EF843A5" w14:textId="77777777" w:rsidR="00265D6D" w:rsidRPr="002B25D3" w:rsidRDefault="00265D6D" w:rsidP="00265D6D">
      <w:pPr>
        <w:rPr>
          <w:rFonts w:ascii="Arial" w:hAnsi="Arial" w:cs="Arial"/>
          <w:sz w:val="22"/>
        </w:rPr>
      </w:pPr>
      <w:r w:rsidRPr="002B25D3">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547D26E" w14:textId="77777777" w:rsidR="00265D6D" w:rsidRPr="002B25D3" w:rsidRDefault="00265D6D" w:rsidP="00265D6D">
      <w:pPr>
        <w:rPr>
          <w:rFonts w:ascii="Arial" w:hAnsi="Arial" w:cs="Arial"/>
          <w:sz w:val="22"/>
        </w:rPr>
      </w:pPr>
      <w:r w:rsidRPr="002B25D3">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1F60965C" w14:textId="41F59876" w:rsidR="00265D6D" w:rsidRPr="002B25D3" w:rsidRDefault="00265D6D" w:rsidP="00265D6D">
      <w:pPr>
        <w:pStyle w:val="Ttulo2"/>
        <w:rPr>
          <w:rFonts w:ascii="Arial" w:hAnsi="Arial" w:cs="Arial"/>
          <w:sz w:val="22"/>
        </w:rPr>
      </w:pPr>
      <w:r w:rsidRPr="002B25D3">
        <w:rPr>
          <w:rFonts w:ascii="Arial" w:hAnsi="Arial" w:cs="Arial"/>
          <w:sz w:val="22"/>
        </w:rPr>
        <w:t>Órganos centrales del Instituto</w:t>
      </w:r>
    </w:p>
    <w:p w14:paraId="57751D70" w14:textId="77777777" w:rsidR="00265D6D" w:rsidRPr="002B25D3" w:rsidRDefault="00265D6D" w:rsidP="00265D6D">
      <w:pPr>
        <w:rPr>
          <w:rFonts w:ascii="Arial" w:hAnsi="Arial" w:cs="Arial"/>
          <w:sz w:val="22"/>
        </w:rPr>
      </w:pPr>
      <w:r w:rsidRPr="002B25D3">
        <w:rPr>
          <w:rFonts w:ascii="Arial" w:hAnsi="Arial" w:cs="Arial"/>
          <w:sz w:val="22"/>
        </w:rPr>
        <w:t>De acuerdo con el artículo 105 numeral 1 de la Ley Electoral los órganos centrales del Instituto son los siguientes:</w:t>
      </w:r>
    </w:p>
    <w:p w14:paraId="42F73F9C" w14:textId="568708D3" w:rsidR="00265D6D" w:rsidRPr="002B25D3" w:rsidRDefault="00265D6D" w:rsidP="00265D6D">
      <w:pPr>
        <w:pStyle w:val="Prrafodelista"/>
        <w:numPr>
          <w:ilvl w:val="0"/>
          <w:numId w:val="2"/>
        </w:numPr>
        <w:rPr>
          <w:rFonts w:ascii="Arial" w:hAnsi="Arial" w:cs="Arial"/>
          <w:sz w:val="22"/>
        </w:rPr>
      </w:pPr>
      <w:r w:rsidRPr="002B25D3">
        <w:rPr>
          <w:rFonts w:ascii="Arial" w:hAnsi="Arial" w:cs="Arial"/>
          <w:sz w:val="22"/>
        </w:rPr>
        <w:t>Consejo Estatal;</w:t>
      </w:r>
    </w:p>
    <w:p w14:paraId="2250090F" w14:textId="0EF131A6" w:rsidR="00265D6D" w:rsidRPr="002B25D3" w:rsidRDefault="00265D6D" w:rsidP="00265D6D">
      <w:pPr>
        <w:pStyle w:val="Prrafodelista"/>
        <w:numPr>
          <w:ilvl w:val="0"/>
          <w:numId w:val="2"/>
        </w:numPr>
        <w:rPr>
          <w:rFonts w:ascii="Arial" w:hAnsi="Arial" w:cs="Arial"/>
          <w:sz w:val="22"/>
        </w:rPr>
      </w:pPr>
      <w:r w:rsidRPr="002B25D3">
        <w:rPr>
          <w:rFonts w:ascii="Arial" w:hAnsi="Arial" w:cs="Arial"/>
          <w:sz w:val="22"/>
        </w:rPr>
        <w:t>Presidencia del Consejo Estatal;</w:t>
      </w:r>
    </w:p>
    <w:p w14:paraId="73783F91" w14:textId="28F16A21" w:rsidR="00265D6D" w:rsidRPr="002B25D3" w:rsidRDefault="00265D6D" w:rsidP="00265D6D">
      <w:pPr>
        <w:pStyle w:val="Prrafodelista"/>
        <w:numPr>
          <w:ilvl w:val="0"/>
          <w:numId w:val="2"/>
        </w:numPr>
        <w:rPr>
          <w:rFonts w:ascii="Arial" w:hAnsi="Arial" w:cs="Arial"/>
          <w:sz w:val="22"/>
        </w:rPr>
      </w:pPr>
      <w:r w:rsidRPr="002B25D3">
        <w:rPr>
          <w:rFonts w:ascii="Arial" w:hAnsi="Arial" w:cs="Arial"/>
          <w:sz w:val="22"/>
        </w:rPr>
        <w:t>Junta Estatal Ejecutiva;</w:t>
      </w:r>
    </w:p>
    <w:p w14:paraId="672B8394" w14:textId="7440B82A" w:rsidR="00265D6D" w:rsidRPr="002B25D3" w:rsidRDefault="00265D6D" w:rsidP="00265D6D">
      <w:pPr>
        <w:pStyle w:val="Prrafodelista"/>
        <w:numPr>
          <w:ilvl w:val="0"/>
          <w:numId w:val="2"/>
        </w:numPr>
        <w:rPr>
          <w:rFonts w:ascii="Arial" w:hAnsi="Arial" w:cs="Arial"/>
          <w:sz w:val="22"/>
        </w:rPr>
      </w:pPr>
      <w:r w:rsidRPr="002B25D3">
        <w:rPr>
          <w:rFonts w:ascii="Arial" w:hAnsi="Arial" w:cs="Arial"/>
          <w:sz w:val="22"/>
        </w:rPr>
        <w:t>Secretaría Ejecutiva, y</w:t>
      </w:r>
    </w:p>
    <w:p w14:paraId="0B639FCF" w14:textId="7DDF2524" w:rsidR="00265D6D" w:rsidRPr="002B25D3" w:rsidRDefault="00265D6D" w:rsidP="00265D6D">
      <w:pPr>
        <w:pStyle w:val="Prrafodelista"/>
        <w:numPr>
          <w:ilvl w:val="0"/>
          <w:numId w:val="2"/>
        </w:numPr>
        <w:rPr>
          <w:rFonts w:ascii="Arial" w:hAnsi="Arial" w:cs="Arial"/>
          <w:sz w:val="22"/>
        </w:rPr>
      </w:pPr>
      <w:r w:rsidRPr="002B25D3">
        <w:rPr>
          <w:rFonts w:ascii="Arial" w:hAnsi="Arial" w:cs="Arial"/>
          <w:sz w:val="22"/>
        </w:rPr>
        <w:t>Órgano Técnico de Fiscalización.</w:t>
      </w:r>
    </w:p>
    <w:p w14:paraId="07F66FEA" w14:textId="05E6B4DF" w:rsidR="00265D6D" w:rsidRPr="002B25D3" w:rsidRDefault="00265D6D" w:rsidP="00265D6D">
      <w:pPr>
        <w:pStyle w:val="Ttulo2"/>
        <w:rPr>
          <w:rFonts w:ascii="Arial" w:hAnsi="Arial" w:cs="Arial"/>
          <w:sz w:val="22"/>
        </w:rPr>
      </w:pPr>
      <w:r w:rsidRPr="002B25D3">
        <w:rPr>
          <w:rFonts w:ascii="Arial" w:hAnsi="Arial" w:cs="Arial"/>
          <w:sz w:val="22"/>
        </w:rPr>
        <w:t xml:space="preserve">Reforma Constitucional </w:t>
      </w:r>
    </w:p>
    <w:p w14:paraId="143021D4" w14:textId="77777777" w:rsidR="00265D6D" w:rsidRPr="002B25D3" w:rsidRDefault="00265D6D" w:rsidP="00265D6D">
      <w:pPr>
        <w:rPr>
          <w:rFonts w:ascii="Arial" w:hAnsi="Arial" w:cs="Arial"/>
          <w:sz w:val="22"/>
        </w:rPr>
      </w:pPr>
      <w:r w:rsidRPr="002B25D3">
        <w:rPr>
          <w:rFonts w:ascii="Arial" w:hAnsi="Arial" w:cs="Arial"/>
          <w:sz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158E6FE0" w14:textId="77777777" w:rsidR="00265D6D" w:rsidRPr="002B25D3" w:rsidRDefault="00265D6D" w:rsidP="00265D6D">
      <w:pPr>
        <w:rPr>
          <w:rFonts w:ascii="Arial" w:hAnsi="Arial" w:cs="Arial"/>
          <w:sz w:val="22"/>
        </w:rPr>
      </w:pPr>
      <w:r w:rsidRPr="002B25D3">
        <w:rPr>
          <w:rFonts w:ascii="Arial" w:hAnsi="Arial" w:cs="Arial"/>
          <w:sz w:val="22"/>
        </w:rPr>
        <w:lastRenderedPageBreak/>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14669E26" w14:textId="7EB585DB" w:rsidR="00265D6D" w:rsidRPr="002B25D3" w:rsidRDefault="00265D6D" w:rsidP="00265D6D">
      <w:pPr>
        <w:pStyle w:val="Ttulo2"/>
        <w:rPr>
          <w:rFonts w:ascii="Arial" w:hAnsi="Arial" w:cs="Arial"/>
          <w:sz w:val="22"/>
        </w:rPr>
      </w:pPr>
      <w:r w:rsidRPr="002B25D3">
        <w:rPr>
          <w:rFonts w:ascii="Arial" w:hAnsi="Arial" w:cs="Arial"/>
          <w:sz w:val="22"/>
        </w:rPr>
        <w:t>Inicio del Proceso Electoral Extraordinario</w:t>
      </w:r>
    </w:p>
    <w:p w14:paraId="3FCDCD01" w14:textId="77777777" w:rsidR="00265D6D" w:rsidRPr="002B25D3" w:rsidRDefault="00265D6D" w:rsidP="00265D6D">
      <w:pPr>
        <w:rPr>
          <w:rFonts w:ascii="Arial" w:hAnsi="Arial" w:cs="Arial"/>
          <w:sz w:val="22"/>
        </w:rPr>
      </w:pPr>
      <w:r w:rsidRPr="002B25D3">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553E77DA" w14:textId="14DD2144" w:rsidR="00265D6D" w:rsidRPr="002B25D3" w:rsidRDefault="00265D6D" w:rsidP="00265D6D">
      <w:pPr>
        <w:pStyle w:val="Ttulo2"/>
        <w:rPr>
          <w:rFonts w:ascii="Arial" w:hAnsi="Arial" w:cs="Arial"/>
          <w:sz w:val="22"/>
        </w:rPr>
      </w:pPr>
      <w:r w:rsidRPr="002B25D3">
        <w:rPr>
          <w:rFonts w:ascii="Arial" w:hAnsi="Arial" w:cs="Arial"/>
          <w:sz w:val="22"/>
        </w:rPr>
        <w:t>Reforma a la Ley Electoral</w:t>
      </w:r>
    </w:p>
    <w:p w14:paraId="5888D3E4" w14:textId="77777777" w:rsidR="00265D6D" w:rsidRPr="002B25D3" w:rsidRDefault="00265D6D" w:rsidP="00265D6D">
      <w:pPr>
        <w:rPr>
          <w:rFonts w:ascii="Arial" w:hAnsi="Arial" w:cs="Arial"/>
          <w:sz w:val="22"/>
        </w:rPr>
      </w:pPr>
      <w:r w:rsidRPr="002B25D3">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062BFF00" w14:textId="6641B64F" w:rsidR="00AD5DA4" w:rsidRPr="002B25D3" w:rsidRDefault="00AD5DA4" w:rsidP="00AD5DA4">
      <w:pPr>
        <w:pStyle w:val="Ttulo2"/>
        <w:rPr>
          <w:rFonts w:ascii="Arial" w:hAnsi="Arial" w:cs="Arial"/>
          <w:sz w:val="22"/>
        </w:rPr>
      </w:pPr>
      <w:r w:rsidRPr="002B25D3">
        <w:rPr>
          <w:rFonts w:ascii="Arial" w:hAnsi="Arial" w:cs="Arial"/>
          <w:sz w:val="22"/>
        </w:rPr>
        <w:t>Directrices emitidas por el INE</w:t>
      </w:r>
    </w:p>
    <w:p w14:paraId="47C436DE" w14:textId="60E25773" w:rsidR="00AD5DA4" w:rsidRPr="002B25D3" w:rsidRDefault="00AD5DA4" w:rsidP="00AD5DA4">
      <w:pPr>
        <w:rPr>
          <w:rFonts w:ascii="Arial" w:hAnsi="Arial" w:cs="Arial"/>
          <w:sz w:val="22"/>
        </w:rPr>
      </w:pPr>
      <w:r w:rsidRPr="002B25D3">
        <w:rPr>
          <w:rFonts w:ascii="Arial" w:hAnsi="Arial" w:cs="Arial"/>
          <w:sz w:val="22"/>
        </w:rPr>
        <w:t>El 30 de enero de 2025, mediante acuerdo INE/CG52/2025, el Consejo General del INE emitió directrices generales para la organización de los procesos electorales de los poderes judiciales de las entidades federativas en el proceso extraordinario 2025, en las que, entre otras, determinó que no se cuenta con un modelo de referencia que permita orientar a los organismos electorales en el procedimiento relativo a la obtención de resultados electorales a partir de los cómputos que realicen sus órganos desconcentrados.</w:t>
      </w:r>
    </w:p>
    <w:p w14:paraId="4040DDB8" w14:textId="77777777" w:rsidR="0098688F" w:rsidRPr="002B25D3" w:rsidRDefault="0098688F" w:rsidP="0098688F">
      <w:pPr>
        <w:pStyle w:val="Ttulo2"/>
        <w:rPr>
          <w:rFonts w:ascii="Arial" w:hAnsi="Arial" w:cs="Arial"/>
          <w:sz w:val="22"/>
        </w:rPr>
      </w:pPr>
      <w:r w:rsidRPr="002B25D3">
        <w:rPr>
          <w:rFonts w:ascii="Arial" w:hAnsi="Arial" w:cs="Arial"/>
          <w:sz w:val="22"/>
        </w:rPr>
        <w:t>Lineamientos de Cómputo</w:t>
      </w:r>
    </w:p>
    <w:p w14:paraId="1386B65C" w14:textId="77777777" w:rsidR="0098688F" w:rsidRPr="002B25D3" w:rsidRDefault="0098688F" w:rsidP="0098688F">
      <w:pPr>
        <w:rPr>
          <w:rFonts w:ascii="Arial" w:hAnsi="Arial" w:cs="Arial"/>
          <w:sz w:val="22"/>
        </w:rPr>
      </w:pPr>
      <w:r w:rsidRPr="002B25D3">
        <w:rPr>
          <w:rFonts w:ascii="Arial" w:hAnsi="Arial" w:cs="Arial"/>
          <w:sz w:val="22"/>
        </w:rPr>
        <w:t xml:space="preserve">El 14 de abril de 2025, mediante acuerdo CE/2025/046, el Consejo Estatal emitió los Lineamientos para el desarrollo de las sesiones de cómputo en los Consejos Electorales Distritales, así como el cuadernillo de consulta con criterios orientadores de los tipos de </w:t>
      </w:r>
      <w:r w:rsidRPr="002B25D3">
        <w:rPr>
          <w:rFonts w:ascii="Arial" w:hAnsi="Arial" w:cs="Arial"/>
          <w:sz w:val="22"/>
        </w:rPr>
        <w:lastRenderedPageBreak/>
        <w:t>votos para el desarrollo de las sesiones de cómputo con motivo del Proceso Electoral Extraordinario, de conformidad con los artículos 415 y 416 de la Ley Electoral.</w:t>
      </w:r>
    </w:p>
    <w:p w14:paraId="01F59B8C" w14:textId="2275B8BA" w:rsidR="00265D6D" w:rsidRPr="002B25D3" w:rsidRDefault="00265D6D" w:rsidP="00265D6D">
      <w:pPr>
        <w:pStyle w:val="Ttulo2"/>
        <w:rPr>
          <w:rFonts w:ascii="Arial" w:hAnsi="Arial" w:cs="Arial"/>
          <w:sz w:val="22"/>
        </w:rPr>
      </w:pPr>
      <w:r w:rsidRPr="002B25D3">
        <w:rPr>
          <w:rFonts w:ascii="Arial" w:hAnsi="Arial" w:cs="Arial"/>
          <w:sz w:val="22"/>
        </w:rPr>
        <w:t>Jornada electoral</w:t>
      </w:r>
    </w:p>
    <w:p w14:paraId="46D47C58" w14:textId="465D020E" w:rsidR="00265D6D" w:rsidRPr="002B25D3" w:rsidRDefault="00265D6D" w:rsidP="00265D6D">
      <w:pPr>
        <w:rPr>
          <w:rFonts w:ascii="Arial" w:hAnsi="Arial" w:cs="Arial"/>
          <w:sz w:val="22"/>
        </w:rPr>
      </w:pPr>
      <w:r w:rsidRPr="002B25D3">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7CC63F7C" w14:textId="4C42EB22" w:rsidR="00265D6D" w:rsidRPr="002B25D3" w:rsidRDefault="00265D6D" w:rsidP="00265D6D">
      <w:pPr>
        <w:pStyle w:val="Ttulo1"/>
        <w:rPr>
          <w:rFonts w:ascii="Arial" w:hAnsi="Arial" w:cs="Arial"/>
          <w:sz w:val="24"/>
        </w:rPr>
      </w:pPr>
      <w:r w:rsidRPr="002B25D3">
        <w:rPr>
          <w:rFonts w:ascii="Arial" w:hAnsi="Arial" w:cs="Arial"/>
          <w:sz w:val="24"/>
        </w:rPr>
        <w:t>Considerando</w:t>
      </w:r>
    </w:p>
    <w:p w14:paraId="7CEB6CAA" w14:textId="77777777" w:rsidR="00265D6D" w:rsidRPr="002B25D3" w:rsidRDefault="00265D6D" w:rsidP="00265D6D">
      <w:pPr>
        <w:pStyle w:val="Ttulo2"/>
        <w:rPr>
          <w:rFonts w:ascii="Arial" w:hAnsi="Arial" w:cs="Arial"/>
          <w:sz w:val="22"/>
          <w:szCs w:val="22"/>
        </w:rPr>
      </w:pPr>
      <w:r w:rsidRPr="002B25D3">
        <w:rPr>
          <w:rFonts w:ascii="Arial" w:hAnsi="Arial" w:cs="Arial"/>
          <w:sz w:val="22"/>
          <w:szCs w:val="22"/>
        </w:rPr>
        <w:t>Competencia del Consejo Estatal</w:t>
      </w:r>
    </w:p>
    <w:p w14:paraId="6EB4A938" w14:textId="77777777" w:rsidR="00265D6D" w:rsidRPr="002B25D3" w:rsidRDefault="00265D6D" w:rsidP="00265D6D">
      <w:pPr>
        <w:rPr>
          <w:rFonts w:ascii="Arial" w:hAnsi="Arial" w:cs="Arial"/>
          <w:sz w:val="22"/>
          <w:szCs w:val="22"/>
        </w:rPr>
      </w:pPr>
      <w:r w:rsidRPr="002B25D3">
        <w:rPr>
          <w:rFonts w:ascii="Arial" w:hAnsi="Arial" w:cs="Arial"/>
          <w:sz w:val="22"/>
          <w:szCs w:val="22"/>
        </w:rPr>
        <w:t>Que, de conformidad con los artículos 115 numeral 1, fracción XL y 393 numeral 1, fracción II de la Ley Electoral, el Consejo Estatal es competente para organizar el proceso electivo de las personas juzgadoras, su jornada electoral y los cómputos de los resultados electorales, en los términos que determine la Ley General y la Ley Electoral; así como, para aprobar los lineamientos o acuerdos necesarios para llevar a cabo la organización, desarrollo y cómputo de la elección.</w:t>
      </w:r>
    </w:p>
    <w:p w14:paraId="23CCC61A" w14:textId="77777777" w:rsidR="00265D6D" w:rsidRPr="002B25D3" w:rsidRDefault="00265D6D" w:rsidP="00265D6D">
      <w:pPr>
        <w:rPr>
          <w:rFonts w:ascii="Arial" w:hAnsi="Arial" w:cs="Arial"/>
          <w:sz w:val="22"/>
          <w:szCs w:val="22"/>
        </w:rPr>
      </w:pPr>
      <w:r w:rsidRPr="002B25D3">
        <w:rPr>
          <w:rFonts w:ascii="Arial" w:hAnsi="Arial" w:cs="Arial"/>
          <w:sz w:val="22"/>
          <w:szCs w:val="22"/>
        </w:rPr>
        <w:t>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w:t>
      </w:r>
    </w:p>
    <w:p w14:paraId="2A78C8AC"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Régimen político del estado de Tabasco</w:t>
      </w:r>
    </w:p>
    <w:p w14:paraId="76B74686" w14:textId="77777777" w:rsidR="00AD5DA4" w:rsidRPr="002B25D3" w:rsidRDefault="00AD5DA4" w:rsidP="00AD5DA4">
      <w:pPr>
        <w:rPr>
          <w:rFonts w:ascii="Arial" w:hAnsi="Arial" w:cs="Arial"/>
          <w:sz w:val="22"/>
          <w:szCs w:val="22"/>
        </w:rPr>
      </w:pPr>
      <w:r w:rsidRPr="002B25D3">
        <w:rPr>
          <w:rFonts w:ascii="Arial" w:hAnsi="Arial" w:cs="Arial"/>
          <w:sz w:val="22"/>
          <w:szCs w:val="22"/>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0196CED" w14:textId="77777777" w:rsidR="00AD5DA4" w:rsidRPr="002B25D3" w:rsidRDefault="00AD5DA4" w:rsidP="00AD5DA4">
      <w:pPr>
        <w:rPr>
          <w:rFonts w:ascii="Arial" w:hAnsi="Arial" w:cs="Arial"/>
          <w:sz w:val="22"/>
          <w:szCs w:val="22"/>
        </w:rPr>
      </w:pPr>
      <w:r w:rsidRPr="002B25D3">
        <w:rPr>
          <w:rFonts w:ascii="Arial" w:hAnsi="Arial" w:cs="Arial"/>
          <w:sz w:val="22"/>
          <w:szCs w:val="22"/>
        </w:rPr>
        <w:lastRenderedPageBreak/>
        <w:t>En ese tenor,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1A74AFD2"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Integración del Poder Judicial</w:t>
      </w:r>
    </w:p>
    <w:p w14:paraId="0989B82D" w14:textId="77777777" w:rsidR="00AD5DA4" w:rsidRPr="002B25D3" w:rsidRDefault="00AD5DA4" w:rsidP="00AD5DA4">
      <w:pPr>
        <w:rPr>
          <w:rFonts w:ascii="Arial" w:hAnsi="Arial" w:cs="Arial"/>
          <w:sz w:val="22"/>
          <w:szCs w:val="22"/>
        </w:rPr>
      </w:pPr>
      <w:r w:rsidRPr="002B25D3">
        <w:rPr>
          <w:rFonts w:ascii="Arial" w:hAnsi="Arial" w:cs="Arial"/>
          <w:sz w:val="22"/>
          <w:szCs w:val="22"/>
        </w:rPr>
        <w:t>Que, de acuerdo con el artículo 55 de la Constitución local, el ejercicio del Poder Judicial se deposita en el Tribunal Superior de Justicia, el Tribunal de Disciplina Judicial y los juzgados que dicha Constitución y las leyes establezcan, los cuales administrarán justicia pronta y gratuita, de manera independiente e imparcial; asimismo, contarán con las atribuciones, competencias, organización, personal y demás funciones inherentes.</w:t>
      </w:r>
    </w:p>
    <w:p w14:paraId="72D96C69"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 xml:space="preserve">Renovación del Poder Judicial </w:t>
      </w:r>
    </w:p>
    <w:p w14:paraId="1A20DC54" w14:textId="77777777" w:rsidR="00AD5DA4" w:rsidRPr="002B25D3" w:rsidRDefault="00AD5DA4" w:rsidP="00AD5DA4">
      <w:pPr>
        <w:rPr>
          <w:rFonts w:ascii="Arial" w:hAnsi="Arial" w:cs="Arial"/>
          <w:sz w:val="22"/>
          <w:szCs w:val="22"/>
        </w:rPr>
      </w:pPr>
      <w:r w:rsidRPr="002B25D3">
        <w:rPr>
          <w:rFonts w:ascii="Arial" w:hAnsi="Arial" w:cs="Arial"/>
          <w:sz w:val="22"/>
          <w:szCs w:val="22"/>
        </w:rPr>
        <w:t>Que, el artículo 56 de la Constitución local dispone que, las Magistradas y Magistrados del Tribunal de Disciplina Judicial y las Magistradas y Magistrados, Juezas y Jueces del Tribunal Superior de Justicia, serán electos de manera libre, directa y secreta por la ciudadanía el día que se realicen las elecciones locales ordinarias del año que corresponda.</w:t>
      </w:r>
    </w:p>
    <w:p w14:paraId="78FB2966"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Distritos judiciales</w:t>
      </w:r>
    </w:p>
    <w:p w14:paraId="567035C0" w14:textId="77777777" w:rsidR="00AD5DA4" w:rsidRPr="002B25D3" w:rsidRDefault="00AD5DA4" w:rsidP="00AD5DA4">
      <w:pPr>
        <w:rPr>
          <w:rFonts w:ascii="Arial" w:hAnsi="Arial" w:cs="Arial"/>
          <w:sz w:val="22"/>
          <w:szCs w:val="22"/>
        </w:rPr>
      </w:pPr>
      <w:r w:rsidRPr="002B25D3">
        <w:rPr>
          <w:rFonts w:ascii="Arial" w:hAnsi="Arial" w:cs="Arial"/>
          <w:sz w:val="22"/>
          <w:szCs w:val="22"/>
        </w:rPr>
        <w:t>Que, en términos del artículo 5 de la Ley Orgánica del Poder Judicial del Estado de Tabasco, el Pleno del Consejo de la Judicatura emitió el acuerdo general 08/2016 aprobado por el Pleno del Tribunal Superior de Justicia el 21 de septiembre de 2016, mediante el cual, para los efectos de la administración de justicia, determinó los distritos judiciales en los que se divide la entidad, fijándoles la sede y competencia por materia de cada uno de ellos, de acuerdo con lo siguiente:</w:t>
      </w:r>
    </w:p>
    <w:p w14:paraId="29CADECB"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Primer distrito. -</w:t>
      </w:r>
      <w:r w:rsidRPr="002B25D3">
        <w:rPr>
          <w:rFonts w:ascii="Arial" w:hAnsi="Arial" w:cs="Arial"/>
          <w:sz w:val="22"/>
          <w:szCs w:val="22"/>
        </w:rPr>
        <w:t xml:space="preserve"> Municipio del Centro con sede en la ciudad de Villahermosa;</w:t>
      </w:r>
    </w:p>
    <w:p w14:paraId="66D1D5A1"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Segundo distrito. -</w:t>
      </w:r>
      <w:r w:rsidRPr="002B25D3">
        <w:rPr>
          <w:rFonts w:ascii="Arial" w:hAnsi="Arial" w:cs="Arial"/>
          <w:sz w:val="22"/>
          <w:szCs w:val="22"/>
        </w:rPr>
        <w:t xml:space="preserve"> Municipio de Centla, con sede en la ciudad de Frontera;</w:t>
      </w:r>
    </w:p>
    <w:p w14:paraId="1AFD710F"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Tercer distrito. -</w:t>
      </w:r>
      <w:r w:rsidRPr="002B25D3">
        <w:rPr>
          <w:rFonts w:ascii="Arial" w:hAnsi="Arial" w:cs="Arial"/>
          <w:sz w:val="22"/>
          <w:szCs w:val="22"/>
        </w:rPr>
        <w:t xml:space="preserve"> Municipio de Jalpa de Méndez, con sede en la ciudad de Jalpa de Méndez;</w:t>
      </w:r>
    </w:p>
    <w:p w14:paraId="07E711B0"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Cuarto distrito. -</w:t>
      </w:r>
      <w:r w:rsidRPr="002B25D3">
        <w:rPr>
          <w:rFonts w:ascii="Arial" w:hAnsi="Arial" w:cs="Arial"/>
          <w:sz w:val="22"/>
          <w:szCs w:val="22"/>
        </w:rPr>
        <w:t xml:space="preserve"> Municipio de Cunduacán, con sede en la ciudad de Cunduacán;</w:t>
      </w:r>
    </w:p>
    <w:p w14:paraId="469E3A1F"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Quinto distrito. -</w:t>
      </w:r>
      <w:r w:rsidRPr="002B25D3">
        <w:rPr>
          <w:rFonts w:ascii="Arial" w:hAnsi="Arial" w:cs="Arial"/>
          <w:sz w:val="22"/>
          <w:szCs w:val="22"/>
        </w:rPr>
        <w:t xml:space="preserve"> Municipio de Comalcalco, con sede en la ciudad de Comalcalco;</w:t>
      </w:r>
    </w:p>
    <w:p w14:paraId="3F287F0B"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lastRenderedPageBreak/>
        <w:t>Sexto distrito. -</w:t>
      </w:r>
      <w:r w:rsidRPr="002B25D3">
        <w:rPr>
          <w:rFonts w:ascii="Arial" w:hAnsi="Arial" w:cs="Arial"/>
          <w:sz w:val="22"/>
          <w:szCs w:val="22"/>
        </w:rPr>
        <w:t xml:space="preserve"> Municipio de Cárdenas, con sede en la ciudad de Cárdenas, con excepción de los poblados y comunidades que corresponden al Décimo Octavo Distrito;</w:t>
      </w:r>
    </w:p>
    <w:p w14:paraId="0F9EA34A"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Séptimo distrito. -</w:t>
      </w:r>
      <w:r w:rsidRPr="002B25D3">
        <w:rPr>
          <w:rFonts w:ascii="Arial" w:hAnsi="Arial" w:cs="Arial"/>
          <w:sz w:val="22"/>
          <w:szCs w:val="22"/>
        </w:rPr>
        <w:t xml:space="preserve"> Municipio de Huimanguillo, con sede en la ciudad de Huimanguillo, con excepción de los poblados y comunidades que corresponden al Décimo Octavo Distrito;</w:t>
      </w:r>
    </w:p>
    <w:p w14:paraId="53EAFCA3"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Octavo distrito. -</w:t>
      </w:r>
      <w:r w:rsidRPr="002B25D3">
        <w:rPr>
          <w:rFonts w:ascii="Arial" w:hAnsi="Arial" w:cs="Arial"/>
          <w:sz w:val="22"/>
          <w:szCs w:val="22"/>
        </w:rPr>
        <w:t xml:space="preserve"> Municipio de Teapa con sede en la ciudad de Teapa;</w:t>
      </w:r>
    </w:p>
    <w:p w14:paraId="78EAE03D"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Noveno distrito. -</w:t>
      </w:r>
      <w:r w:rsidRPr="002B25D3">
        <w:rPr>
          <w:rFonts w:ascii="Arial" w:hAnsi="Arial" w:cs="Arial"/>
          <w:sz w:val="22"/>
          <w:szCs w:val="22"/>
        </w:rPr>
        <w:t xml:space="preserve"> Municipio de Macuspana con sede en la ciudad de Macuspana; con excepción de los poblados y comunidades que corresponden al décimo noveno distrito en materia civil.</w:t>
      </w:r>
    </w:p>
    <w:p w14:paraId="65A97AFF"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distrito. -</w:t>
      </w:r>
      <w:r w:rsidRPr="002B25D3">
        <w:rPr>
          <w:rFonts w:ascii="Arial" w:hAnsi="Arial" w:cs="Arial"/>
          <w:sz w:val="22"/>
          <w:szCs w:val="22"/>
        </w:rPr>
        <w:t xml:space="preserve"> Municipio de Emiliano Zapata con sede en la ciudad de Emiliano Zapata;</w:t>
      </w:r>
    </w:p>
    <w:p w14:paraId="31E065C6"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primer distrito. -</w:t>
      </w:r>
      <w:r w:rsidRPr="002B25D3">
        <w:rPr>
          <w:rFonts w:ascii="Arial" w:hAnsi="Arial" w:cs="Arial"/>
          <w:sz w:val="22"/>
          <w:szCs w:val="22"/>
        </w:rPr>
        <w:t xml:space="preserve"> Municipio de Tenosique, con sede en la ciudad de Tenosique;</w:t>
      </w:r>
    </w:p>
    <w:p w14:paraId="08AD2E4E"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segundo distrito. -</w:t>
      </w:r>
      <w:r w:rsidRPr="002B25D3">
        <w:rPr>
          <w:rFonts w:ascii="Arial" w:hAnsi="Arial" w:cs="Arial"/>
          <w:sz w:val="22"/>
          <w:szCs w:val="22"/>
        </w:rPr>
        <w:t xml:space="preserve"> Municipio de Paraíso, con sede en la ciudad de Paraíso;</w:t>
      </w:r>
    </w:p>
    <w:p w14:paraId="76D623D9"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tercer distrito. -</w:t>
      </w:r>
      <w:r w:rsidRPr="002B25D3">
        <w:rPr>
          <w:rFonts w:ascii="Arial" w:hAnsi="Arial" w:cs="Arial"/>
          <w:sz w:val="22"/>
          <w:szCs w:val="22"/>
        </w:rPr>
        <w:t xml:space="preserve"> Municipio de Jonuta, con sede en la ciudad de Jonuta;</w:t>
      </w:r>
    </w:p>
    <w:p w14:paraId="102A40E8"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cuarto distrito. -</w:t>
      </w:r>
      <w:r w:rsidRPr="002B25D3">
        <w:rPr>
          <w:rFonts w:ascii="Arial" w:hAnsi="Arial" w:cs="Arial"/>
          <w:sz w:val="22"/>
          <w:szCs w:val="22"/>
        </w:rPr>
        <w:t xml:space="preserve"> Municipio de Balancán, con sede en la ciudad de Balancán;</w:t>
      </w:r>
    </w:p>
    <w:p w14:paraId="4008CE89"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quinto distrito. -</w:t>
      </w:r>
      <w:r w:rsidRPr="002B25D3">
        <w:rPr>
          <w:rFonts w:ascii="Arial" w:hAnsi="Arial" w:cs="Arial"/>
          <w:sz w:val="22"/>
          <w:szCs w:val="22"/>
        </w:rPr>
        <w:t xml:space="preserve"> Municipio de Jalapa, con sede en la ciudad de Jalapa;</w:t>
      </w:r>
    </w:p>
    <w:p w14:paraId="2CE837D6"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sexto distrito. -</w:t>
      </w:r>
      <w:r w:rsidRPr="002B25D3">
        <w:rPr>
          <w:rFonts w:ascii="Arial" w:hAnsi="Arial" w:cs="Arial"/>
          <w:sz w:val="22"/>
          <w:szCs w:val="22"/>
        </w:rPr>
        <w:t xml:space="preserve"> Municipio de Nacajuca, con sede en la ciudad de Nacajuca;</w:t>
      </w:r>
    </w:p>
    <w:p w14:paraId="63B2CCF4"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séptimo distrito. -</w:t>
      </w:r>
      <w:r w:rsidRPr="002B25D3">
        <w:rPr>
          <w:rFonts w:ascii="Arial" w:hAnsi="Arial" w:cs="Arial"/>
          <w:sz w:val="22"/>
          <w:szCs w:val="22"/>
        </w:rPr>
        <w:t xml:space="preserve"> Municipio de Tacotalpa, con sede en la ciudad de Tacotalpa;</w:t>
      </w:r>
    </w:p>
    <w:p w14:paraId="5D6DA007"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octavo distrito. -</w:t>
      </w:r>
      <w:r w:rsidRPr="002B25D3">
        <w:rPr>
          <w:rFonts w:ascii="Arial" w:hAnsi="Arial" w:cs="Arial"/>
          <w:sz w:val="22"/>
          <w:szCs w:val="22"/>
        </w:rPr>
        <w:t xml:space="preserve"> Villa la Venta y los Ejidos el Chapo, Francisco Trujillo Gurría, Tres Bocas Segunda Sección, (El Zapotal), Luis Cabrera, La Ceiba Primera y Segunda Sección, Paraíso, Francisco I. Madero, La Cangrejera, Cuauhtémoc, Aquiles Serdán, (La Florida) Primera y Tercera Sección, (Ampliación), </w:t>
      </w:r>
      <w:proofErr w:type="spellStart"/>
      <w:r w:rsidRPr="002B25D3">
        <w:rPr>
          <w:rFonts w:ascii="Arial" w:hAnsi="Arial" w:cs="Arial"/>
          <w:sz w:val="22"/>
          <w:szCs w:val="22"/>
        </w:rPr>
        <w:t>Cuauhtemoczin</w:t>
      </w:r>
      <w:proofErr w:type="spellEnd"/>
      <w:r w:rsidRPr="002B25D3">
        <w:rPr>
          <w:rFonts w:ascii="Arial" w:hAnsi="Arial" w:cs="Arial"/>
          <w:sz w:val="22"/>
          <w:szCs w:val="22"/>
        </w:rPr>
        <w:t xml:space="preserve">, El Barí Primera y Segunda Sección, 5 Presidentes, </w:t>
      </w:r>
      <w:proofErr w:type="spellStart"/>
      <w:r w:rsidRPr="002B25D3">
        <w:rPr>
          <w:rFonts w:ascii="Arial" w:hAnsi="Arial" w:cs="Arial"/>
          <w:sz w:val="22"/>
          <w:szCs w:val="22"/>
        </w:rPr>
        <w:t>Blasillo</w:t>
      </w:r>
      <w:proofErr w:type="spellEnd"/>
      <w:r w:rsidRPr="002B25D3">
        <w:rPr>
          <w:rFonts w:ascii="Arial" w:hAnsi="Arial" w:cs="Arial"/>
          <w:sz w:val="22"/>
          <w:szCs w:val="22"/>
        </w:rPr>
        <w:t xml:space="preserve"> Primera Sección, (Nicolás Bravo), Segunda y Cuarta Sección y José María Morelos, del Municipio de Huimanguillo, Tabasco; y la Villa y Puerto de Sánchez Magallanes, Villa Benito Juárez, Los Ejidos Sinaloa, San Rafael, Alacrán, Ley Federal de Reforma Agraria, Ejido </w:t>
      </w:r>
      <w:proofErr w:type="spellStart"/>
      <w:r w:rsidRPr="002B25D3">
        <w:rPr>
          <w:rFonts w:ascii="Arial" w:hAnsi="Arial" w:cs="Arial"/>
          <w:sz w:val="22"/>
          <w:szCs w:val="22"/>
        </w:rPr>
        <w:t>Ojoxal</w:t>
      </w:r>
      <w:proofErr w:type="spellEnd"/>
      <w:r w:rsidRPr="002B25D3">
        <w:rPr>
          <w:rFonts w:ascii="Arial" w:hAnsi="Arial" w:cs="Arial"/>
          <w:sz w:val="22"/>
          <w:szCs w:val="22"/>
        </w:rPr>
        <w:t xml:space="preserve">, Chicozapote, Buena Vista Primera y Segunda Sección, Ranchería </w:t>
      </w:r>
      <w:proofErr w:type="spellStart"/>
      <w:r w:rsidRPr="002B25D3">
        <w:rPr>
          <w:rFonts w:ascii="Arial" w:hAnsi="Arial" w:cs="Arial"/>
          <w:sz w:val="22"/>
          <w:szCs w:val="22"/>
        </w:rPr>
        <w:t>Manatinero</w:t>
      </w:r>
      <w:proofErr w:type="spellEnd"/>
      <w:r w:rsidRPr="002B25D3">
        <w:rPr>
          <w:rFonts w:ascii="Arial" w:hAnsi="Arial" w:cs="Arial"/>
          <w:sz w:val="22"/>
          <w:szCs w:val="22"/>
        </w:rPr>
        <w:t>, San Ramón, Colonias Pailebot, el Retiro y Congregación el Yucateco, de Cárdenas, Tabasco, con sede en Villa la Venta, Huimanguillo, Tabasco.</w:t>
      </w:r>
    </w:p>
    <w:p w14:paraId="51A12241" w14:textId="77777777" w:rsidR="00AD5DA4" w:rsidRPr="002B25D3" w:rsidRDefault="00AD5DA4" w:rsidP="00AD5DA4">
      <w:pPr>
        <w:pStyle w:val="Prrafodelista"/>
        <w:numPr>
          <w:ilvl w:val="0"/>
          <w:numId w:val="5"/>
        </w:numPr>
        <w:spacing w:before="120" w:after="120"/>
        <w:ind w:left="510" w:hanging="510"/>
        <w:contextualSpacing w:val="0"/>
        <w:rPr>
          <w:rFonts w:ascii="Arial" w:hAnsi="Arial" w:cs="Arial"/>
          <w:sz w:val="22"/>
          <w:szCs w:val="22"/>
        </w:rPr>
      </w:pPr>
      <w:r w:rsidRPr="002B25D3">
        <w:rPr>
          <w:rFonts w:ascii="Arial" w:hAnsi="Arial" w:cs="Arial"/>
          <w:b/>
          <w:sz w:val="22"/>
          <w:szCs w:val="22"/>
        </w:rPr>
        <w:t>Décimo noveno distrito. -</w:t>
      </w:r>
      <w:r w:rsidRPr="002B25D3">
        <w:rPr>
          <w:rFonts w:ascii="Arial" w:hAnsi="Arial" w:cs="Arial"/>
          <w:sz w:val="22"/>
          <w:szCs w:val="22"/>
        </w:rPr>
        <w:t xml:space="preserve"> Las comunidades siguientes: Los </w:t>
      </w:r>
      <w:proofErr w:type="spellStart"/>
      <w:r w:rsidRPr="002B25D3">
        <w:rPr>
          <w:rFonts w:ascii="Arial" w:hAnsi="Arial" w:cs="Arial"/>
          <w:sz w:val="22"/>
          <w:szCs w:val="22"/>
        </w:rPr>
        <w:t>Bitzales</w:t>
      </w:r>
      <w:proofErr w:type="spellEnd"/>
      <w:r w:rsidRPr="002B25D3">
        <w:rPr>
          <w:rFonts w:ascii="Arial" w:hAnsi="Arial" w:cs="Arial"/>
          <w:sz w:val="22"/>
          <w:szCs w:val="22"/>
        </w:rPr>
        <w:t xml:space="preserve">, Los Naranjos, La Pitahaya, José Galeana, Santos Degollado, Miguel Hidalgo, Cuarta Sección, </w:t>
      </w:r>
      <w:r w:rsidRPr="002B25D3">
        <w:rPr>
          <w:rFonts w:ascii="Arial" w:hAnsi="Arial" w:cs="Arial"/>
          <w:sz w:val="22"/>
          <w:szCs w:val="22"/>
        </w:rPr>
        <w:lastRenderedPageBreak/>
        <w:t xml:space="preserve">Limón, Veinte de Noviembre, Galeana, </w:t>
      </w:r>
      <w:proofErr w:type="spellStart"/>
      <w:r w:rsidRPr="002B25D3">
        <w:rPr>
          <w:rFonts w:ascii="Arial" w:hAnsi="Arial" w:cs="Arial"/>
          <w:sz w:val="22"/>
          <w:szCs w:val="22"/>
        </w:rPr>
        <w:t>Cacahuatillo</w:t>
      </w:r>
      <w:proofErr w:type="spellEnd"/>
      <w:r w:rsidRPr="002B25D3">
        <w:rPr>
          <w:rFonts w:ascii="Arial" w:hAnsi="Arial" w:cs="Arial"/>
          <w:sz w:val="22"/>
          <w:szCs w:val="22"/>
        </w:rPr>
        <w:t xml:space="preserve">, José López Portillo, Monte Largo, Villa Benito Juárez, Los Vernet, El Congo, Aquiles Serdán, Villa </w:t>
      </w:r>
      <w:proofErr w:type="spellStart"/>
      <w:r w:rsidRPr="002B25D3">
        <w:rPr>
          <w:rFonts w:ascii="Arial" w:hAnsi="Arial" w:cs="Arial"/>
          <w:sz w:val="22"/>
          <w:szCs w:val="22"/>
        </w:rPr>
        <w:t>Tepetitán</w:t>
      </w:r>
      <w:proofErr w:type="spellEnd"/>
      <w:r w:rsidRPr="002B25D3">
        <w:rPr>
          <w:rFonts w:ascii="Arial" w:hAnsi="Arial" w:cs="Arial"/>
          <w:sz w:val="22"/>
          <w:szCs w:val="22"/>
        </w:rPr>
        <w:t xml:space="preserve">, El Triunfo, El </w:t>
      </w:r>
      <w:proofErr w:type="spellStart"/>
      <w:r w:rsidRPr="002B25D3">
        <w:rPr>
          <w:rFonts w:ascii="Arial" w:hAnsi="Arial" w:cs="Arial"/>
          <w:sz w:val="22"/>
          <w:szCs w:val="22"/>
        </w:rPr>
        <w:t>Chiquihuite</w:t>
      </w:r>
      <w:proofErr w:type="spellEnd"/>
      <w:r w:rsidRPr="002B25D3">
        <w:rPr>
          <w:rFonts w:ascii="Arial" w:hAnsi="Arial" w:cs="Arial"/>
          <w:sz w:val="22"/>
          <w:szCs w:val="22"/>
        </w:rPr>
        <w:t xml:space="preserve">, El Maluco, </w:t>
      </w:r>
      <w:proofErr w:type="spellStart"/>
      <w:r w:rsidRPr="002B25D3">
        <w:rPr>
          <w:rFonts w:ascii="Arial" w:hAnsi="Arial" w:cs="Arial"/>
          <w:sz w:val="22"/>
          <w:szCs w:val="22"/>
        </w:rPr>
        <w:t>Límbano</w:t>
      </w:r>
      <w:proofErr w:type="spellEnd"/>
      <w:r w:rsidRPr="002B25D3">
        <w:rPr>
          <w:rFonts w:ascii="Arial" w:hAnsi="Arial" w:cs="Arial"/>
          <w:sz w:val="22"/>
          <w:szCs w:val="22"/>
        </w:rPr>
        <w:t xml:space="preserve"> </w:t>
      </w:r>
      <w:proofErr w:type="spellStart"/>
      <w:r w:rsidRPr="002B25D3">
        <w:rPr>
          <w:rFonts w:ascii="Arial" w:hAnsi="Arial" w:cs="Arial"/>
          <w:sz w:val="22"/>
          <w:szCs w:val="22"/>
        </w:rPr>
        <w:t>Blandín</w:t>
      </w:r>
      <w:proofErr w:type="spellEnd"/>
      <w:r w:rsidRPr="002B25D3">
        <w:rPr>
          <w:rFonts w:ascii="Arial" w:hAnsi="Arial" w:cs="Arial"/>
          <w:sz w:val="22"/>
          <w:szCs w:val="22"/>
        </w:rPr>
        <w:t>, San Antonio y Ciudad Pemex; todos del municipio de Macuspana, Tabasco.</w:t>
      </w:r>
    </w:p>
    <w:p w14:paraId="2DABFF2A"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Regiones judiciales en materia laboral</w:t>
      </w:r>
    </w:p>
    <w:p w14:paraId="3A68C926" w14:textId="77777777" w:rsidR="00AD5DA4" w:rsidRPr="002B25D3" w:rsidRDefault="00AD5DA4" w:rsidP="00AD5DA4">
      <w:pPr>
        <w:rPr>
          <w:rFonts w:ascii="Arial" w:hAnsi="Arial" w:cs="Arial"/>
          <w:sz w:val="22"/>
          <w:szCs w:val="22"/>
        </w:rPr>
      </w:pPr>
      <w:r w:rsidRPr="002B25D3">
        <w:rPr>
          <w:rFonts w:ascii="Arial" w:hAnsi="Arial" w:cs="Arial"/>
          <w:sz w:val="22"/>
          <w:szCs w:val="22"/>
        </w:rPr>
        <w:t>Que, mediante acuerdo 07/2020, el Pleno del Consejo de la Judicatura del Poder Judicial del Estado de Tabasco, determinó que, para la impartición de justicia en materia laboral, se divide el estado en las tres regiones judiciales siguientes:</w:t>
      </w:r>
    </w:p>
    <w:p w14:paraId="60F976F1" w14:textId="77777777" w:rsidR="00AD5DA4" w:rsidRPr="002B25D3" w:rsidRDefault="00AD5DA4" w:rsidP="00AD5DA4">
      <w:pPr>
        <w:pStyle w:val="Prrafodelista"/>
        <w:numPr>
          <w:ilvl w:val="0"/>
          <w:numId w:val="6"/>
        </w:numPr>
        <w:spacing w:before="120" w:after="120"/>
        <w:ind w:left="510" w:hanging="510"/>
        <w:contextualSpacing w:val="0"/>
        <w:rPr>
          <w:rFonts w:ascii="Arial" w:hAnsi="Arial" w:cs="Arial"/>
          <w:sz w:val="22"/>
          <w:szCs w:val="22"/>
        </w:rPr>
      </w:pPr>
      <w:r w:rsidRPr="002B25D3">
        <w:rPr>
          <w:rFonts w:ascii="Arial" w:hAnsi="Arial" w:cs="Arial"/>
          <w:b/>
          <w:bCs/>
          <w:sz w:val="22"/>
          <w:szCs w:val="22"/>
        </w:rPr>
        <w:t>Región 1.</w:t>
      </w:r>
      <w:r w:rsidRPr="002B25D3">
        <w:rPr>
          <w:rFonts w:ascii="Arial" w:hAnsi="Arial" w:cs="Arial"/>
          <w:sz w:val="22"/>
          <w:szCs w:val="22"/>
        </w:rPr>
        <w:t xml:space="preserve"> Con sede en la ciudad de Villahermosa, cuya competencia territorial comprende los municipios de Centro, Centla, Jalapa, Nacajuca, Tacotalpa y Teapa.</w:t>
      </w:r>
    </w:p>
    <w:p w14:paraId="5D54E7F8" w14:textId="77777777" w:rsidR="00AD5DA4" w:rsidRPr="002B25D3" w:rsidRDefault="00AD5DA4" w:rsidP="00AD5DA4">
      <w:pPr>
        <w:pStyle w:val="Prrafodelista"/>
        <w:numPr>
          <w:ilvl w:val="0"/>
          <w:numId w:val="6"/>
        </w:numPr>
        <w:spacing w:before="120" w:after="120"/>
        <w:ind w:left="510" w:hanging="510"/>
        <w:contextualSpacing w:val="0"/>
        <w:rPr>
          <w:rFonts w:ascii="Arial" w:hAnsi="Arial" w:cs="Arial"/>
          <w:sz w:val="22"/>
          <w:szCs w:val="22"/>
        </w:rPr>
      </w:pPr>
      <w:r w:rsidRPr="002B25D3">
        <w:rPr>
          <w:rFonts w:ascii="Arial" w:hAnsi="Arial" w:cs="Arial"/>
          <w:b/>
          <w:bCs/>
          <w:sz w:val="22"/>
          <w:szCs w:val="22"/>
        </w:rPr>
        <w:t>Región 2.</w:t>
      </w:r>
      <w:r w:rsidRPr="002B25D3">
        <w:rPr>
          <w:rFonts w:ascii="Arial" w:hAnsi="Arial" w:cs="Arial"/>
          <w:sz w:val="22"/>
          <w:szCs w:val="22"/>
        </w:rPr>
        <w:t xml:space="preserve"> Con sede en Cunduacán; y cuya competencia territorial comprende los municipios de Cunduacán, Cárdenas, Comalcalco, Huimanguillo, Jalpa de Méndez y Paraíso.</w:t>
      </w:r>
    </w:p>
    <w:p w14:paraId="1D540EEE" w14:textId="77777777" w:rsidR="00AD5DA4" w:rsidRPr="002B25D3" w:rsidRDefault="00AD5DA4" w:rsidP="00AD5DA4">
      <w:pPr>
        <w:pStyle w:val="Prrafodelista"/>
        <w:numPr>
          <w:ilvl w:val="0"/>
          <w:numId w:val="6"/>
        </w:numPr>
        <w:spacing w:before="120" w:after="120"/>
        <w:ind w:left="510" w:hanging="510"/>
        <w:contextualSpacing w:val="0"/>
        <w:rPr>
          <w:rFonts w:ascii="Arial" w:hAnsi="Arial" w:cs="Arial"/>
          <w:sz w:val="22"/>
          <w:szCs w:val="22"/>
        </w:rPr>
      </w:pPr>
      <w:r w:rsidRPr="002B25D3">
        <w:rPr>
          <w:rFonts w:ascii="Arial" w:hAnsi="Arial" w:cs="Arial"/>
          <w:b/>
          <w:bCs/>
          <w:sz w:val="22"/>
          <w:szCs w:val="22"/>
        </w:rPr>
        <w:t>Región 3.</w:t>
      </w:r>
      <w:r w:rsidRPr="002B25D3">
        <w:rPr>
          <w:rFonts w:ascii="Arial" w:hAnsi="Arial" w:cs="Arial"/>
          <w:sz w:val="22"/>
          <w:szCs w:val="22"/>
        </w:rPr>
        <w:t xml:space="preserve"> Con sede en Macuspana y su competencia territorial comprende los municipios de Macuspana, Balancán, Emiliano Zapata, Jonuta y Tenosique.</w:t>
      </w:r>
    </w:p>
    <w:p w14:paraId="0B968BE7" w14:textId="77777777" w:rsidR="00265D6D" w:rsidRPr="002B25D3" w:rsidRDefault="00265D6D" w:rsidP="00AD5DA4">
      <w:pPr>
        <w:pStyle w:val="Ttulo2"/>
        <w:rPr>
          <w:rFonts w:ascii="Arial" w:hAnsi="Arial" w:cs="Arial"/>
          <w:sz w:val="22"/>
          <w:szCs w:val="22"/>
        </w:rPr>
      </w:pPr>
      <w:r w:rsidRPr="002B25D3">
        <w:rPr>
          <w:rFonts w:ascii="Arial" w:hAnsi="Arial" w:cs="Arial"/>
          <w:sz w:val="22"/>
          <w:szCs w:val="22"/>
        </w:rPr>
        <w:t>Proceso electoral de las personas juzgadoras</w:t>
      </w:r>
    </w:p>
    <w:p w14:paraId="2981E23A" w14:textId="77777777" w:rsidR="00265D6D" w:rsidRPr="002B25D3" w:rsidRDefault="00265D6D" w:rsidP="00265D6D">
      <w:pPr>
        <w:rPr>
          <w:rFonts w:ascii="Arial" w:hAnsi="Arial" w:cs="Arial"/>
          <w:sz w:val="22"/>
          <w:szCs w:val="22"/>
        </w:rPr>
      </w:pPr>
      <w:r w:rsidRPr="002B25D3">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354A74AA"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t>Derecho de la ciudadanía a participar en los procesos de selección y evaluación de candidaturas</w:t>
      </w:r>
    </w:p>
    <w:p w14:paraId="046A7FEB" w14:textId="77777777" w:rsidR="00AD5DA4" w:rsidRPr="002B25D3" w:rsidRDefault="00AD5DA4" w:rsidP="00AD5DA4">
      <w:pPr>
        <w:rPr>
          <w:rFonts w:ascii="Arial" w:hAnsi="Arial" w:cs="Arial"/>
          <w:sz w:val="22"/>
          <w:szCs w:val="22"/>
        </w:rPr>
      </w:pPr>
      <w:r w:rsidRPr="002B25D3">
        <w:rPr>
          <w:rFonts w:ascii="Arial" w:hAnsi="Arial" w:cs="Arial"/>
          <w:sz w:val="22"/>
          <w:szCs w:val="22"/>
        </w:rPr>
        <w:t>Que, de conformidad con el artículo 389 numeral 1 de la Ley Electoral, es derecho de la ciudadanía participar en igualdad de condiciones en los procesos de evaluación y selección de candidaturas para todos los cargos de elección del Poder Judicial. Dichos procesos serán públicos, abiertos, transparentes, inclusivos, accesibles y deberán garantizar la participación de todas las personas interesadas que cumplan con los requisitos, condiciones y términos que determine la Constitución Federal, la Constitución Local y la propia Ley Electoral.</w:t>
      </w:r>
    </w:p>
    <w:p w14:paraId="003AAE19"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lastRenderedPageBreak/>
        <w:t>Cargos por elegir en el Proceso Electoral Extraordinario</w:t>
      </w:r>
    </w:p>
    <w:p w14:paraId="66359599" w14:textId="77777777" w:rsidR="00AD5DA4" w:rsidRPr="002B25D3" w:rsidRDefault="00AD5DA4" w:rsidP="00AD5DA4">
      <w:pPr>
        <w:rPr>
          <w:rFonts w:ascii="Arial" w:hAnsi="Arial" w:cs="Arial"/>
          <w:sz w:val="22"/>
          <w:szCs w:val="22"/>
        </w:rPr>
      </w:pPr>
      <w:r w:rsidRPr="002B25D3">
        <w:rPr>
          <w:rFonts w:ascii="Arial" w:hAnsi="Arial" w:cs="Arial"/>
          <w:sz w:val="22"/>
          <w:szCs w:val="22"/>
        </w:rPr>
        <w:t>Que, de acuerdo con el Segundo Transitorio del Decreto 080 constitucional, en el Proceso Electoral Extraordinario se elegirán a las Magistradas y Magistrados integrantes del Tribunal de Disciplina Judicial, el cincuenta por ciento de las Magistradas y Magistrados integrantes del Pleno del Tribunal Superior de Justicia, así como el cincuenta por ciento de las Juezas y Jueces del Poder Judicial del Estado.</w:t>
      </w:r>
    </w:p>
    <w:p w14:paraId="30B90858" w14:textId="77777777" w:rsidR="00AD5DA4" w:rsidRPr="002B25D3" w:rsidRDefault="00AD5DA4" w:rsidP="00AD5DA4">
      <w:pPr>
        <w:rPr>
          <w:rFonts w:ascii="Arial" w:hAnsi="Arial" w:cs="Arial"/>
          <w:sz w:val="22"/>
          <w:szCs w:val="22"/>
        </w:rPr>
      </w:pPr>
      <w:r w:rsidRPr="002B25D3">
        <w:rPr>
          <w:rFonts w:ascii="Arial" w:hAnsi="Arial" w:cs="Arial"/>
          <w:sz w:val="22"/>
          <w:szCs w:val="22"/>
        </w:rPr>
        <w:t>En ese sentido, para el Proceso Electoral Extraordinario se elegirán 72 cargos de elección, distribuidos de acuerdo con la siguiente forma y especialidad:</w:t>
      </w:r>
    </w:p>
    <w:p w14:paraId="4581E033"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5 Magistraturas del Tribunal de Disciplina Judicial;</w:t>
      </w:r>
    </w:p>
    <w:p w14:paraId="2282E244"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12 Magistraturas del Pleno del Tribunal Superior de Justicia;</w:t>
      </w:r>
    </w:p>
    <w:p w14:paraId="122F0719"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19 juezas y jueces civiles;</w:t>
      </w:r>
    </w:p>
    <w:p w14:paraId="31300CFF"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27 juezas y jueces en materia de oralidad penal;</w:t>
      </w:r>
    </w:p>
    <w:p w14:paraId="1B6F4DFC"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3 juezas y jueces en materia familiar;</w:t>
      </w:r>
    </w:p>
    <w:p w14:paraId="180F6AA1"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1 jueza o juez en materia de oralidad mercantil; y</w:t>
      </w:r>
    </w:p>
    <w:p w14:paraId="227A712A" w14:textId="77777777" w:rsidR="00AD5DA4" w:rsidRPr="002B25D3" w:rsidRDefault="00AD5DA4" w:rsidP="00AD5DA4">
      <w:pPr>
        <w:pStyle w:val="Prrafodelista"/>
        <w:numPr>
          <w:ilvl w:val="0"/>
          <w:numId w:val="7"/>
        </w:numPr>
        <w:rPr>
          <w:rFonts w:ascii="Arial" w:hAnsi="Arial" w:cs="Arial"/>
          <w:sz w:val="22"/>
          <w:szCs w:val="22"/>
        </w:rPr>
      </w:pPr>
      <w:r w:rsidRPr="002B25D3">
        <w:rPr>
          <w:rFonts w:ascii="Arial" w:hAnsi="Arial" w:cs="Arial"/>
          <w:sz w:val="22"/>
          <w:szCs w:val="22"/>
        </w:rPr>
        <w:t>5 juezas y jueces en materia laboral.</w:t>
      </w:r>
    </w:p>
    <w:p w14:paraId="76D0A595" w14:textId="77777777" w:rsidR="00265D6D" w:rsidRPr="002B25D3" w:rsidRDefault="00265D6D" w:rsidP="00AD5DA4">
      <w:pPr>
        <w:pStyle w:val="Ttulo2"/>
        <w:rPr>
          <w:rFonts w:ascii="Arial" w:hAnsi="Arial" w:cs="Arial"/>
          <w:sz w:val="22"/>
          <w:szCs w:val="22"/>
        </w:rPr>
      </w:pPr>
      <w:r w:rsidRPr="002B25D3">
        <w:rPr>
          <w:rFonts w:ascii="Arial" w:hAnsi="Arial" w:cs="Arial"/>
          <w:sz w:val="22"/>
          <w:szCs w:val="22"/>
        </w:rPr>
        <w:t>Etapas del proceso electoral de las personas juzgadoras</w:t>
      </w:r>
    </w:p>
    <w:p w14:paraId="3D6D2F27" w14:textId="77777777" w:rsidR="00265D6D" w:rsidRPr="002B25D3" w:rsidRDefault="00265D6D" w:rsidP="00265D6D">
      <w:pPr>
        <w:rPr>
          <w:rFonts w:ascii="Arial" w:hAnsi="Arial" w:cs="Arial"/>
          <w:sz w:val="22"/>
          <w:szCs w:val="22"/>
        </w:rPr>
      </w:pPr>
      <w:r w:rsidRPr="002B25D3">
        <w:rPr>
          <w:rFonts w:ascii="Arial" w:hAnsi="Arial" w:cs="Arial"/>
          <w:sz w:val="22"/>
          <w:szCs w:val="22"/>
        </w:rPr>
        <w:t>Que, el artículo 387 numeral 1 de la Ley Electoral establece que, el proceso de elección de las personas juzgadoras del Poder Judicial comprende las siguientes etapas:</w:t>
      </w:r>
    </w:p>
    <w:p w14:paraId="20B6C5E9" w14:textId="7C04F39B"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Preparación de la elección;</w:t>
      </w:r>
    </w:p>
    <w:p w14:paraId="1ED32DD9" w14:textId="2E563418"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Convocatoria y postulación de candidaturas;</w:t>
      </w:r>
    </w:p>
    <w:p w14:paraId="2692AC22" w14:textId="73DBA9F8"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Jornada electoral;</w:t>
      </w:r>
    </w:p>
    <w:p w14:paraId="63E26712" w14:textId="4A9C6C0D"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Cómputos y sumatoria;</w:t>
      </w:r>
    </w:p>
    <w:p w14:paraId="7F990BC1" w14:textId="5EDCAD9B"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Asignación de cargos, y</w:t>
      </w:r>
    </w:p>
    <w:p w14:paraId="2D64F2BC" w14:textId="644C7AE9" w:rsidR="00265D6D" w:rsidRPr="002B25D3" w:rsidRDefault="00265D6D" w:rsidP="00AD5DA4">
      <w:pPr>
        <w:pStyle w:val="Prrafodelista"/>
        <w:numPr>
          <w:ilvl w:val="0"/>
          <w:numId w:val="4"/>
        </w:numPr>
        <w:rPr>
          <w:rFonts w:ascii="Arial" w:hAnsi="Arial" w:cs="Arial"/>
          <w:sz w:val="22"/>
          <w:szCs w:val="22"/>
        </w:rPr>
      </w:pPr>
      <w:r w:rsidRPr="002B25D3">
        <w:rPr>
          <w:rFonts w:ascii="Arial" w:hAnsi="Arial" w:cs="Arial"/>
          <w:sz w:val="22"/>
          <w:szCs w:val="22"/>
        </w:rPr>
        <w:t>La entrega de constancias de mayoría y declaración de validez de la elección.</w:t>
      </w:r>
    </w:p>
    <w:p w14:paraId="14C0E772" w14:textId="77777777" w:rsidR="00265D6D" w:rsidRPr="002B25D3" w:rsidRDefault="00265D6D" w:rsidP="00265D6D">
      <w:pPr>
        <w:rPr>
          <w:rFonts w:ascii="Arial" w:hAnsi="Arial" w:cs="Arial"/>
          <w:sz w:val="22"/>
          <w:szCs w:val="22"/>
        </w:rPr>
      </w:pPr>
      <w:r w:rsidRPr="002B25D3">
        <w:rPr>
          <w:rFonts w:ascii="Arial" w:hAnsi="Arial" w:cs="Arial"/>
          <w:sz w:val="22"/>
          <w:szCs w:val="22"/>
        </w:rPr>
        <w:t>En términos del numeral 2 del artículo en cita, la etapa de preparación de la elección inicia con la primera sesión que el Instituto celebre en los primeros siete días del mes de septiembre del año anterior a la elección, y concluye al iniciarse la jornada electoral.</w:t>
      </w:r>
    </w:p>
    <w:p w14:paraId="477BCF63" w14:textId="77777777" w:rsidR="00265D6D" w:rsidRPr="002B25D3" w:rsidRDefault="00265D6D" w:rsidP="00265D6D">
      <w:pPr>
        <w:rPr>
          <w:rFonts w:ascii="Arial" w:hAnsi="Arial" w:cs="Arial"/>
          <w:sz w:val="22"/>
          <w:szCs w:val="22"/>
        </w:rPr>
      </w:pPr>
      <w:r w:rsidRPr="002B25D3">
        <w:rPr>
          <w:rFonts w:ascii="Arial" w:hAnsi="Arial" w:cs="Arial"/>
          <w:sz w:val="22"/>
          <w:szCs w:val="22"/>
        </w:rPr>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73CFF409" w14:textId="77777777" w:rsidR="00265D6D" w:rsidRPr="002B25D3" w:rsidRDefault="00265D6D" w:rsidP="00265D6D">
      <w:pPr>
        <w:rPr>
          <w:rFonts w:ascii="Arial" w:hAnsi="Arial" w:cs="Arial"/>
          <w:sz w:val="22"/>
          <w:szCs w:val="22"/>
        </w:rPr>
      </w:pPr>
      <w:r w:rsidRPr="002B25D3">
        <w:rPr>
          <w:rFonts w:ascii="Arial" w:hAnsi="Arial" w:cs="Arial"/>
          <w:sz w:val="22"/>
          <w:szCs w:val="22"/>
        </w:rPr>
        <w:lastRenderedPageBreak/>
        <w:t>En el caso de la jornada electoral, ésta inicia a las 8:00 horas del primer domingo de junio del año que corresponda y concluye con el cómputo de los votos en casilla, de conformidad con el numeral 4 del artículo 387 de la Ley Electoral.</w:t>
      </w:r>
    </w:p>
    <w:p w14:paraId="0BD1ECC4" w14:textId="77777777" w:rsidR="00265D6D" w:rsidRPr="002B25D3" w:rsidRDefault="00265D6D" w:rsidP="00265D6D">
      <w:pPr>
        <w:rPr>
          <w:rFonts w:ascii="Arial" w:hAnsi="Arial" w:cs="Arial"/>
          <w:sz w:val="22"/>
          <w:szCs w:val="22"/>
        </w:rPr>
      </w:pPr>
      <w:r w:rsidRPr="002B25D3">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0F74D979" w14:textId="77777777" w:rsidR="00265D6D" w:rsidRPr="002B25D3" w:rsidRDefault="00265D6D" w:rsidP="00265D6D">
      <w:pPr>
        <w:rPr>
          <w:rFonts w:ascii="Arial" w:hAnsi="Arial" w:cs="Arial"/>
          <w:sz w:val="22"/>
          <w:szCs w:val="22"/>
        </w:rPr>
      </w:pPr>
      <w:r w:rsidRPr="002B25D3">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10C7A843" w14:textId="1993B90A" w:rsidR="00265D6D" w:rsidRPr="002B25D3" w:rsidRDefault="00265D6D" w:rsidP="00265D6D">
      <w:pPr>
        <w:rPr>
          <w:rFonts w:ascii="Arial" w:hAnsi="Arial" w:cs="Arial"/>
          <w:sz w:val="22"/>
          <w:szCs w:val="22"/>
        </w:rPr>
      </w:pPr>
      <w:r w:rsidRPr="002B25D3">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4BC4E83A" w14:textId="77777777" w:rsidR="000A19AD" w:rsidRPr="002B25D3" w:rsidRDefault="00AD5DA4" w:rsidP="00F70ECB">
      <w:pPr>
        <w:rPr>
          <w:rFonts w:ascii="Arial" w:hAnsi="Arial" w:cs="Arial"/>
          <w:sz w:val="22"/>
          <w:szCs w:val="22"/>
        </w:rPr>
      </w:pPr>
      <w:r w:rsidRPr="002B25D3">
        <w:rPr>
          <w:rFonts w:ascii="Arial" w:hAnsi="Arial" w:cs="Arial"/>
          <w:sz w:val="22"/>
          <w:szCs w:val="22"/>
        </w:rPr>
        <w:t xml:space="preserve">De conformidad con el artículo 402 numeral 3 de la Ley Electoral, una vez que inicie la producción de la documentación electoral no habrá modificación a las boletas y al número asignado a las personas candidatas. </w:t>
      </w:r>
    </w:p>
    <w:p w14:paraId="6949B98A" w14:textId="36EA0B6B" w:rsidR="0098688F" w:rsidRPr="002B25D3" w:rsidRDefault="0098688F" w:rsidP="000A19AD">
      <w:pPr>
        <w:pStyle w:val="Ttulo2"/>
        <w:rPr>
          <w:rFonts w:ascii="Arial" w:hAnsi="Arial" w:cs="Arial"/>
          <w:sz w:val="22"/>
          <w:szCs w:val="22"/>
        </w:rPr>
      </w:pPr>
      <w:r w:rsidRPr="002B25D3">
        <w:rPr>
          <w:rFonts w:ascii="Arial" w:hAnsi="Arial" w:cs="Arial"/>
          <w:sz w:val="22"/>
          <w:szCs w:val="22"/>
        </w:rPr>
        <w:t>Cómputos de la votación de las elecciones de personas juzgadoras</w:t>
      </w:r>
    </w:p>
    <w:p w14:paraId="4C5FD566" w14:textId="77777777" w:rsidR="0098688F" w:rsidRPr="002B25D3" w:rsidRDefault="0098688F" w:rsidP="0098688F">
      <w:pPr>
        <w:rPr>
          <w:rFonts w:ascii="Arial" w:hAnsi="Arial" w:cs="Arial"/>
          <w:sz w:val="22"/>
          <w:szCs w:val="22"/>
        </w:rPr>
      </w:pPr>
      <w:r w:rsidRPr="002B25D3">
        <w:rPr>
          <w:rFonts w:ascii="Arial" w:hAnsi="Arial" w:cs="Arial"/>
          <w:sz w:val="22"/>
          <w:szCs w:val="22"/>
        </w:rPr>
        <w:t>Que, de conformidad con los artículos 9 apartado C, inciso i) y 56 fracción IV de la Constitución Local, el Instituto tiene a su cargo de forma integral y directa, los escrutinios y cómputos en los términos que señale la ley; así como la organización, desarrollo, cómputo y declaración de resultados en los mecanismos de participación ciudadana que prevea la legislación local.</w:t>
      </w:r>
    </w:p>
    <w:p w14:paraId="138A83F9" w14:textId="77777777" w:rsidR="0098688F" w:rsidRPr="002B25D3" w:rsidRDefault="0098688F" w:rsidP="0098688F">
      <w:pPr>
        <w:rPr>
          <w:rFonts w:ascii="Arial" w:hAnsi="Arial" w:cs="Arial"/>
          <w:sz w:val="22"/>
          <w:szCs w:val="22"/>
        </w:rPr>
      </w:pPr>
      <w:r w:rsidRPr="002B25D3">
        <w:rPr>
          <w:rFonts w:ascii="Arial" w:hAnsi="Arial" w:cs="Arial"/>
          <w:sz w:val="22"/>
          <w:szCs w:val="22"/>
        </w:rPr>
        <w:t>Acorde a lo anterior, el artículo 415 numeral 1 de la Ley Electoral dispone que, los Consejos Distritales realizarán el cómputo de las boletas o las actas que contengan las votaciones de las elecciones de personas juzgadoras, a partir de la llegada del primer paquete y concluirá hasta que se reciba y compute el último paquete. Para tal efecto, el Consejo Estatal emitirá los lineamientos que regulen esta etapa, de conformidad con el numeral 2 del artículo mencionado.</w:t>
      </w:r>
    </w:p>
    <w:p w14:paraId="63F80746" w14:textId="77777777" w:rsidR="0098688F" w:rsidRPr="002B25D3" w:rsidRDefault="0098688F" w:rsidP="0098688F">
      <w:pPr>
        <w:pStyle w:val="Ttulo2"/>
        <w:rPr>
          <w:rFonts w:ascii="Arial" w:hAnsi="Arial" w:cs="Arial"/>
          <w:sz w:val="22"/>
          <w:szCs w:val="22"/>
        </w:rPr>
      </w:pPr>
      <w:r w:rsidRPr="002B25D3">
        <w:rPr>
          <w:rFonts w:ascii="Arial" w:hAnsi="Arial" w:cs="Arial"/>
          <w:sz w:val="22"/>
          <w:szCs w:val="22"/>
        </w:rPr>
        <w:lastRenderedPageBreak/>
        <w:t>Cómputo distrital</w:t>
      </w:r>
    </w:p>
    <w:p w14:paraId="3D3BF706" w14:textId="77777777" w:rsidR="0098688F" w:rsidRPr="002B25D3" w:rsidRDefault="0098688F" w:rsidP="0098688F">
      <w:pPr>
        <w:rPr>
          <w:rFonts w:ascii="Arial" w:hAnsi="Arial" w:cs="Arial"/>
          <w:sz w:val="22"/>
          <w:szCs w:val="22"/>
        </w:rPr>
      </w:pPr>
      <w:r w:rsidRPr="002B25D3">
        <w:rPr>
          <w:rFonts w:ascii="Arial" w:hAnsi="Arial" w:cs="Arial"/>
          <w:sz w:val="22"/>
          <w:szCs w:val="22"/>
        </w:rPr>
        <w:t>Que, de conformidad con los Lineamientos, el cómputo distrital es el obtenido de la elección de Magistraturas del Tribunal Superior de Justicia y del Tribunal de Disciplina Judicial, así como de las Juezas y Jueces, de las casillas seccionales únicas correspondientes a un Distrito. Estos a su vez son parciales y totales, el cómputo parcial distrito judicial es el de la elección de juezas y jueces por especialidad realizado por los Consejos Distritales del Instituto que comparten secciones electorales de un municipio o de una localidad; y  será cómputo total Distrito Judicial la sumatoria de los resultados de un Distrito Electoral Judicial conformado por uno o varios distritos Judiciales o de los parciales de la elección de Juezas y Jueces por especialidades enviados por los Consejos Distritales de los Distritos Judiciales Electorales Locales que comparten un Distrito Judicial.</w:t>
      </w:r>
    </w:p>
    <w:p w14:paraId="40807EEA" w14:textId="77777777" w:rsidR="0098688F" w:rsidRPr="002B25D3" w:rsidRDefault="0098688F" w:rsidP="0098688F">
      <w:pPr>
        <w:pStyle w:val="Ttulo2"/>
        <w:rPr>
          <w:rFonts w:ascii="Arial" w:hAnsi="Arial" w:cs="Arial"/>
          <w:sz w:val="22"/>
          <w:szCs w:val="22"/>
        </w:rPr>
      </w:pPr>
      <w:r w:rsidRPr="002B25D3">
        <w:rPr>
          <w:rFonts w:ascii="Arial" w:hAnsi="Arial" w:cs="Arial"/>
          <w:sz w:val="22"/>
          <w:szCs w:val="22"/>
        </w:rPr>
        <w:t>Cómputos de cabecera de distrito judicial</w:t>
      </w:r>
    </w:p>
    <w:p w14:paraId="1C91B9C4" w14:textId="77777777" w:rsidR="0098688F" w:rsidRPr="002B25D3" w:rsidRDefault="0098688F" w:rsidP="0098688F">
      <w:pPr>
        <w:rPr>
          <w:rFonts w:ascii="Arial" w:hAnsi="Arial" w:cs="Arial"/>
          <w:sz w:val="22"/>
          <w:szCs w:val="22"/>
        </w:rPr>
      </w:pPr>
      <w:r w:rsidRPr="002B25D3">
        <w:rPr>
          <w:rFonts w:ascii="Arial" w:hAnsi="Arial" w:cs="Arial"/>
          <w:sz w:val="22"/>
          <w:szCs w:val="22"/>
        </w:rPr>
        <w:t>Que, de acuerdo con el apartado 2.6.4 de los Lineamientos, el cómputo de cabecera de distrito judicial es la sumatoria de los resultados de un distrito electoral judicial conformado por uno o varios distritos Judiciales o de los parciales de la elección de Juezas y Jueces por especialidades enviados por los Consejos Distritales de los distritos judiciales electorales locales que comparten un distrito judicial.</w:t>
      </w:r>
    </w:p>
    <w:p w14:paraId="343D5B33" w14:textId="67F6598D" w:rsidR="00AD5DA4" w:rsidRPr="002B25D3" w:rsidRDefault="00AD5DA4" w:rsidP="00AD5DA4">
      <w:pPr>
        <w:pStyle w:val="Ttulo2"/>
        <w:rPr>
          <w:rFonts w:ascii="Arial" w:hAnsi="Arial" w:cs="Arial"/>
          <w:sz w:val="22"/>
          <w:szCs w:val="22"/>
        </w:rPr>
      </w:pPr>
      <w:r w:rsidRPr="002B25D3">
        <w:rPr>
          <w:rFonts w:ascii="Arial" w:hAnsi="Arial" w:cs="Arial"/>
          <w:sz w:val="22"/>
          <w:szCs w:val="22"/>
        </w:rPr>
        <w:t>Validez o nulidad de los votos</w:t>
      </w:r>
    </w:p>
    <w:p w14:paraId="30E0892C" w14:textId="77777777" w:rsidR="00AD5DA4" w:rsidRPr="002B25D3" w:rsidRDefault="00AD5DA4" w:rsidP="00AD5DA4">
      <w:pPr>
        <w:rPr>
          <w:rFonts w:ascii="Arial" w:hAnsi="Arial" w:cs="Arial"/>
          <w:sz w:val="22"/>
          <w:szCs w:val="22"/>
        </w:rPr>
      </w:pPr>
      <w:r w:rsidRPr="002B25D3">
        <w:rPr>
          <w:rFonts w:ascii="Arial" w:hAnsi="Arial" w:cs="Arial"/>
          <w:sz w:val="22"/>
          <w:szCs w:val="22"/>
        </w:rPr>
        <w:t>Que, de conformidad con el artículo 413, para determinar la validez o nulidad de los votos, se observarán las reglas siguientes:</w:t>
      </w:r>
    </w:p>
    <w:p w14:paraId="30FB2810" w14:textId="44CDB9ED" w:rsidR="00AD5DA4" w:rsidRPr="002B25D3" w:rsidRDefault="00AD5DA4" w:rsidP="00AA2E20">
      <w:pPr>
        <w:pStyle w:val="Prrafodelista"/>
        <w:numPr>
          <w:ilvl w:val="0"/>
          <w:numId w:val="11"/>
        </w:numPr>
        <w:ind w:left="1060" w:hanging="703"/>
        <w:contextualSpacing w:val="0"/>
        <w:rPr>
          <w:rFonts w:ascii="Arial" w:hAnsi="Arial" w:cs="Arial"/>
          <w:sz w:val="22"/>
          <w:szCs w:val="22"/>
        </w:rPr>
      </w:pPr>
      <w:r w:rsidRPr="002B25D3">
        <w:rPr>
          <w:rFonts w:ascii="Arial" w:hAnsi="Arial" w:cs="Arial"/>
          <w:sz w:val="22"/>
          <w:szCs w:val="22"/>
        </w:rPr>
        <w:t>Se contará un voto válido por la marca o asiento que realice la persona votante en un recuadro de una misma boleta en favor de una candidatura claramente identificable, con independencia de que puedan emitirse dos o más votos por diversas candidaturas contenidas en una misma boleta.</w:t>
      </w:r>
    </w:p>
    <w:p w14:paraId="2E3CC7CE" w14:textId="008C2B6B" w:rsidR="00AD5DA4" w:rsidRPr="002B25D3" w:rsidRDefault="00AD5DA4" w:rsidP="00AA2E20">
      <w:pPr>
        <w:pStyle w:val="Prrafodelista"/>
        <w:numPr>
          <w:ilvl w:val="0"/>
          <w:numId w:val="11"/>
        </w:numPr>
        <w:ind w:left="1060" w:hanging="703"/>
        <w:contextualSpacing w:val="0"/>
        <w:rPr>
          <w:rFonts w:ascii="Arial" w:hAnsi="Arial" w:cs="Arial"/>
          <w:sz w:val="22"/>
          <w:szCs w:val="22"/>
        </w:rPr>
      </w:pPr>
      <w:r w:rsidRPr="002B25D3">
        <w:rPr>
          <w:rFonts w:ascii="Arial" w:hAnsi="Arial" w:cs="Arial"/>
          <w:sz w:val="22"/>
          <w:szCs w:val="22"/>
        </w:rPr>
        <w:t>El Instituto determinará la cantidad de votos válidos que pueda emitir cada persona votante en una misma boleta, en función del tipo de elección y el número de candidaturas a elegir.</w:t>
      </w:r>
    </w:p>
    <w:p w14:paraId="6CC9E314" w14:textId="5B103EFC" w:rsidR="00AD5DA4" w:rsidRPr="002B25D3" w:rsidRDefault="00AD5DA4" w:rsidP="00AA2E20">
      <w:pPr>
        <w:pStyle w:val="Prrafodelista"/>
        <w:numPr>
          <w:ilvl w:val="0"/>
          <w:numId w:val="11"/>
        </w:numPr>
        <w:ind w:left="1060" w:hanging="703"/>
        <w:contextualSpacing w:val="0"/>
        <w:rPr>
          <w:rFonts w:ascii="Arial" w:hAnsi="Arial" w:cs="Arial"/>
          <w:sz w:val="22"/>
          <w:szCs w:val="22"/>
        </w:rPr>
      </w:pPr>
      <w:r w:rsidRPr="002B25D3">
        <w:rPr>
          <w:rFonts w:ascii="Arial" w:hAnsi="Arial" w:cs="Arial"/>
          <w:sz w:val="22"/>
          <w:szCs w:val="22"/>
        </w:rPr>
        <w:t>Se contará como nulo cualquier voto depositado en la urna sin haber marcado o asentado alguna opción, o se realice de tal forma que no permita identificar el sentido de un voto.</w:t>
      </w:r>
    </w:p>
    <w:p w14:paraId="4D8C8E7C" w14:textId="77777777" w:rsidR="00AD5DA4" w:rsidRPr="002B25D3" w:rsidRDefault="00AD5DA4" w:rsidP="00AD5DA4">
      <w:pPr>
        <w:pStyle w:val="Ttulo2"/>
        <w:rPr>
          <w:rFonts w:ascii="Arial" w:hAnsi="Arial" w:cs="Arial"/>
          <w:sz w:val="22"/>
          <w:szCs w:val="22"/>
        </w:rPr>
      </w:pPr>
      <w:r w:rsidRPr="002B25D3">
        <w:rPr>
          <w:rFonts w:ascii="Arial" w:hAnsi="Arial" w:cs="Arial"/>
          <w:sz w:val="22"/>
          <w:szCs w:val="22"/>
        </w:rPr>
        <w:lastRenderedPageBreak/>
        <w:t>Escrutinio y cómputo</w:t>
      </w:r>
    </w:p>
    <w:p w14:paraId="244304AA" w14:textId="77777777" w:rsidR="00AD5DA4" w:rsidRPr="002B25D3" w:rsidRDefault="00AD5DA4" w:rsidP="00AD5DA4">
      <w:pPr>
        <w:rPr>
          <w:rFonts w:ascii="Arial" w:hAnsi="Arial" w:cs="Arial"/>
          <w:sz w:val="22"/>
          <w:szCs w:val="22"/>
        </w:rPr>
      </w:pPr>
      <w:r w:rsidRPr="002B25D3">
        <w:rPr>
          <w:rFonts w:ascii="Arial" w:hAnsi="Arial" w:cs="Arial"/>
          <w:sz w:val="22"/>
          <w:szCs w:val="22"/>
        </w:rPr>
        <w:t>Que, el artículo 414 numeral 1 de la Ley Electoral dispone que, el escrutinio y cómputo de las votaciones en casilla para los cargos de elección del Poder Judicial se realizará de forma simultánea a los cómputos a que se refiere el artículo 239 de esta Ley, en el orden siguiente:</w:t>
      </w:r>
    </w:p>
    <w:p w14:paraId="3A16AA86" w14:textId="77777777" w:rsidR="00AD5DA4" w:rsidRPr="002B25D3" w:rsidRDefault="00AD5DA4" w:rsidP="00AD5DA4">
      <w:pPr>
        <w:pStyle w:val="Prrafodelista"/>
        <w:numPr>
          <w:ilvl w:val="0"/>
          <w:numId w:val="9"/>
        </w:numPr>
        <w:rPr>
          <w:rFonts w:ascii="Arial" w:hAnsi="Arial" w:cs="Arial"/>
          <w:sz w:val="22"/>
          <w:szCs w:val="22"/>
        </w:rPr>
      </w:pPr>
      <w:r w:rsidRPr="002B25D3">
        <w:rPr>
          <w:rFonts w:ascii="Arial" w:hAnsi="Arial" w:cs="Arial"/>
          <w:sz w:val="22"/>
          <w:szCs w:val="22"/>
        </w:rPr>
        <w:t>Personas magistradas integrantes del Tribunal de Disciplina Judicial;</w:t>
      </w:r>
    </w:p>
    <w:p w14:paraId="1298BC6F" w14:textId="77777777" w:rsidR="00AD5DA4" w:rsidRPr="002B25D3" w:rsidRDefault="00AD5DA4" w:rsidP="00AD5DA4">
      <w:pPr>
        <w:pStyle w:val="Prrafodelista"/>
        <w:numPr>
          <w:ilvl w:val="0"/>
          <w:numId w:val="9"/>
        </w:numPr>
        <w:rPr>
          <w:rFonts w:ascii="Arial" w:hAnsi="Arial" w:cs="Arial"/>
          <w:sz w:val="22"/>
          <w:szCs w:val="22"/>
        </w:rPr>
      </w:pPr>
      <w:r w:rsidRPr="002B25D3">
        <w:rPr>
          <w:rFonts w:ascii="Arial" w:hAnsi="Arial" w:cs="Arial"/>
          <w:sz w:val="22"/>
          <w:szCs w:val="22"/>
        </w:rPr>
        <w:t>Personas magistradas integrantes del Tribunal Superior de Justicia;</w:t>
      </w:r>
    </w:p>
    <w:p w14:paraId="0881BB6E" w14:textId="77777777" w:rsidR="00AD5DA4" w:rsidRPr="002B25D3" w:rsidRDefault="00AD5DA4" w:rsidP="00AD5DA4">
      <w:pPr>
        <w:pStyle w:val="Prrafodelista"/>
        <w:numPr>
          <w:ilvl w:val="0"/>
          <w:numId w:val="9"/>
        </w:numPr>
        <w:rPr>
          <w:rFonts w:ascii="Arial" w:hAnsi="Arial" w:cs="Arial"/>
          <w:sz w:val="22"/>
          <w:szCs w:val="22"/>
        </w:rPr>
      </w:pPr>
      <w:r w:rsidRPr="002B25D3">
        <w:rPr>
          <w:rFonts w:ascii="Arial" w:hAnsi="Arial" w:cs="Arial"/>
          <w:sz w:val="22"/>
          <w:szCs w:val="22"/>
        </w:rPr>
        <w:t>Personas juzgadoras en materia penal; y</w:t>
      </w:r>
    </w:p>
    <w:p w14:paraId="74001AEA" w14:textId="77777777" w:rsidR="00AD5DA4" w:rsidRPr="002B25D3" w:rsidRDefault="00AD5DA4" w:rsidP="00AD5DA4">
      <w:pPr>
        <w:pStyle w:val="Prrafodelista"/>
        <w:numPr>
          <w:ilvl w:val="0"/>
          <w:numId w:val="9"/>
        </w:numPr>
        <w:rPr>
          <w:rFonts w:ascii="Arial" w:hAnsi="Arial" w:cs="Arial"/>
          <w:sz w:val="22"/>
          <w:szCs w:val="22"/>
        </w:rPr>
      </w:pPr>
      <w:r w:rsidRPr="002B25D3">
        <w:rPr>
          <w:rFonts w:ascii="Arial" w:hAnsi="Arial" w:cs="Arial"/>
          <w:sz w:val="22"/>
          <w:szCs w:val="22"/>
        </w:rPr>
        <w:t>Personas juzgadoras civiles, familiares, mercantiles y laborales.</w:t>
      </w:r>
    </w:p>
    <w:p w14:paraId="19D5B15D" w14:textId="7C8312BB" w:rsidR="007B6DD1" w:rsidRPr="002B25D3" w:rsidRDefault="007B6DD1" w:rsidP="007B6DD1">
      <w:pPr>
        <w:pStyle w:val="Ttulo2"/>
        <w:rPr>
          <w:rFonts w:ascii="Arial" w:hAnsi="Arial" w:cs="Arial"/>
          <w:sz w:val="22"/>
          <w:szCs w:val="22"/>
        </w:rPr>
      </w:pPr>
      <w:r w:rsidRPr="002B25D3">
        <w:rPr>
          <w:rFonts w:ascii="Arial" w:hAnsi="Arial" w:cs="Arial"/>
          <w:sz w:val="22"/>
          <w:szCs w:val="22"/>
        </w:rPr>
        <w:t>Criterio para la validez o invalidez de la votación</w:t>
      </w:r>
    </w:p>
    <w:p w14:paraId="47C42486" w14:textId="0693A7FD" w:rsidR="000C66C5" w:rsidRPr="002B25D3" w:rsidRDefault="007B6DD1" w:rsidP="007B6DD1">
      <w:pPr>
        <w:rPr>
          <w:rFonts w:ascii="Arial" w:hAnsi="Arial" w:cs="Arial"/>
          <w:sz w:val="22"/>
          <w:szCs w:val="22"/>
        </w:rPr>
      </w:pPr>
      <w:r w:rsidRPr="002B25D3">
        <w:rPr>
          <w:rFonts w:ascii="Arial" w:hAnsi="Arial" w:cs="Arial"/>
          <w:sz w:val="22"/>
          <w:szCs w:val="22"/>
        </w:rPr>
        <w:t>Que, para</w:t>
      </w:r>
      <w:r w:rsidR="000C66C5" w:rsidRPr="002B25D3">
        <w:rPr>
          <w:rFonts w:ascii="Arial" w:hAnsi="Arial" w:cs="Arial"/>
          <w:sz w:val="22"/>
          <w:szCs w:val="22"/>
        </w:rPr>
        <w:t xml:space="preserve"> </w:t>
      </w:r>
      <w:r w:rsidRPr="002B25D3">
        <w:rPr>
          <w:rFonts w:ascii="Arial" w:hAnsi="Arial" w:cs="Arial"/>
          <w:sz w:val="22"/>
          <w:szCs w:val="22"/>
        </w:rPr>
        <w:t xml:space="preserve">el caso </w:t>
      </w:r>
      <w:r w:rsidR="000C66C5" w:rsidRPr="002B25D3">
        <w:rPr>
          <w:rFonts w:ascii="Arial" w:hAnsi="Arial" w:cs="Arial"/>
          <w:sz w:val="22"/>
          <w:szCs w:val="22"/>
        </w:rPr>
        <w:t xml:space="preserve">de </w:t>
      </w:r>
      <w:r w:rsidRPr="002B25D3">
        <w:rPr>
          <w:rFonts w:ascii="Arial" w:hAnsi="Arial" w:cs="Arial"/>
          <w:sz w:val="22"/>
          <w:szCs w:val="22"/>
        </w:rPr>
        <w:t>que</w:t>
      </w:r>
      <w:r w:rsidR="000C66C5" w:rsidRPr="002B25D3">
        <w:rPr>
          <w:rFonts w:ascii="Arial" w:hAnsi="Arial" w:cs="Arial"/>
          <w:sz w:val="22"/>
          <w:szCs w:val="22"/>
        </w:rPr>
        <w:t xml:space="preserve">, hasta antes de la jornada electoral del próximo 1 de junio del año en curso, </w:t>
      </w:r>
      <w:r w:rsidRPr="002B25D3">
        <w:rPr>
          <w:rFonts w:ascii="Arial" w:hAnsi="Arial" w:cs="Arial"/>
          <w:sz w:val="22"/>
          <w:szCs w:val="22"/>
        </w:rPr>
        <w:t xml:space="preserve">se presenten renuncias de </w:t>
      </w:r>
      <w:r w:rsidR="000C66C5" w:rsidRPr="002B25D3">
        <w:rPr>
          <w:rFonts w:ascii="Arial" w:hAnsi="Arial" w:cs="Arial"/>
          <w:sz w:val="22"/>
          <w:szCs w:val="22"/>
        </w:rPr>
        <w:t>candidatas y candidatos a cargos de elección en el Poder Judicial del Estado de Tabasco</w:t>
      </w:r>
      <w:r w:rsidRPr="002B25D3">
        <w:rPr>
          <w:rFonts w:ascii="Arial" w:hAnsi="Arial" w:cs="Arial"/>
          <w:sz w:val="22"/>
          <w:szCs w:val="22"/>
        </w:rPr>
        <w:t>, est</w:t>
      </w:r>
      <w:r w:rsidR="000C66C5" w:rsidRPr="002B25D3">
        <w:rPr>
          <w:rFonts w:ascii="Arial" w:hAnsi="Arial" w:cs="Arial"/>
          <w:sz w:val="22"/>
          <w:szCs w:val="22"/>
        </w:rPr>
        <w:t>e</w:t>
      </w:r>
      <w:r w:rsidRPr="002B25D3">
        <w:rPr>
          <w:rFonts w:ascii="Arial" w:hAnsi="Arial" w:cs="Arial"/>
          <w:sz w:val="22"/>
          <w:szCs w:val="22"/>
        </w:rPr>
        <w:t xml:space="preserve"> Consejo Estatal considera viable determinar </w:t>
      </w:r>
      <w:r w:rsidR="000C66C5" w:rsidRPr="002B25D3">
        <w:rPr>
          <w:rFonts w:ascii="Arial" w:hAnsi="Arial" w:cs="Arial"/>
          <w:sz w:val="22"/>
          <w:szCs w:val="22"/>
        </w:rPr>
        <w:t xml:space="preserve">el </w:t>
      </w:r>
      <w:r w:rsidRPr="002B25D3">
        <w:rPr>
          <w:rFonts w:ascii="Arial" w:hAnsi="Arial" w:cs="Arial"/>
          <w:sz w:val="22"/>
          <w:szCs w:val="22"/>
        </w:rPr>
        <w:t>criterio que debe imperar para el cómputo de los votos que obtengan aquell</w:t>
      </w:r>
      <w:r w:rsidR="000C66C5" w:rsidRPr="002B25D3">
        <w:rPr>
          <w:rFonts w:ascii="Arial" w:hAnsi="Arial" w:cs="Arial"/>
          <w:sz w:val="22"/>
          <w:szCs w:val="22"/>
        </w:rPr>
        <w:t>a</w:t>
      </w:r>
      <w:r w:rsidRPr="002B25D3">
        <w:rPr>
          <w:rFonts w:ascii="Arial" w:hAnsi="Arial" w:cs="Arial"/>
          <w:sz w:val="22"/>
          <w:szCs w:val="22"/>
        </w:rPr>
        <w:t xml:space="preserve">s </w:t>
      </w:r>
      <w:r w:rsidR="000C66C5" w:rsidRPr="002B25D3">
        <w:rPr>
          <w:rFonts w:ascii="Arial" w:hAnsi="Arial" w:cs="Arial"/>
          <w:sz w:val="22"/>
          <w:szCs w:val="22"/>
        </w:rPr>
        <w:t xml:space="preserve">candidaturas que se ubiquen en dicho supuesto. </w:t>
      </w:r>
    </w:p>
    <w:p w14:paraId="01A63697" w14:textId="6F139647" w:rsidR="002A03E8" w:rsidRPr="002B25D3" w:rsidRDefault="002A03E8" w:rsidP="002A03E8">
      <w:pPr>
        <w:rPr>
          <w:rFonts w:ascii="Arial" w:hAnsi="Arial" w:cs="Arial"/>
          <w:sz w:val="22"/>
          <w:szCs w:val="22"/>
        </w:rPr>
      </w:pPr>
      <w:r w:rsidRPr="002B25D3">
        <w:rPr>
          <w:rFonts w:ascii="Arial" w:hAnsi="Arial" w:cs="Arial"/>
          <w:sz w:val="22"/>
          <w:szCs w:val="22"/>
        </w:rPr>
        <w:t xml:space="preserve">Para tal efecto, </w:t>
      </w:r>
      <w:r w:rsidR="00814835" w:rsidRPr="002B25D3">
        <w:rPr>
          <w:rFonts w:ascii="Arial" w:hAnsi="Arial" w:cs="Arial"/>
          <w:sz w:val="22"/>
          <w:szCs w:val="22"/>
        </w:rPr>
        <w:t xml:space="preserve">conforme al </w:t>
      </w:r>
      <w:r w:rsidRPr="002B25D3">
        <w:rPr>
          <w:rFonts w:ascii="Arial" w:hAnsi="Arial" w:cs="Arial"/>
          <w:sz w:val="22"/>
          <w:szCs w:val="22"/>
        </w:rPr>
        <w:t xml:space="preserve">criterio establecido por la Sala Superior del Tribunal Electoral del Poder Judicial de la Federación en la tesis XIX/2017 de rubro: </w:t>
      </w:r>
      <w:r w:rsidRPr="002B25D3">
        <w:rPr>
          <w:rFonts w:ascii="Arial" w:hAnsi="Arial" w:cs="Arial"/>
          <w:b/>
          <w:bCs/>
          <w:sz w:val="22"/>
          <w:szCs w:val="22"/>
        </w:rPr>
        <w:t>“VOTOS INVÁLIDOS. SON AQUELLOS EMITIDOS A FAVOR DE UNA CANDIDATURA CUYO REGISTRO FUE CANCELADO (LEGISLACIÓN DE TLAXCALA Y SIMILARES)”</w:t>
      </w:r>
      <w:r w:rsidRPr="002B25D3">
        <w:rPr>
          <w:rFonts w:ascii="Arial" w:hAnsi="Arial" w:cs="Arial"/>
          <w:sz w:val="22"/>
          <w:szCs w:val="22"/>
        </w:rPr>
        <w:t xml:space="preserve"> aplicad</w:t>
      </w:r>
      <w:r w:rsidR="00814835" w:rsidRPr="002B25D3">
        <w:rPr>
          <w:rFonts w:ascii="Arial" w:hAnsi="Arial" w:cs="Arial"/>
          <w:sz w:val="22"/>
          <w:szCs w:val="22"/>
        </w:rPr>
        <w:t>o</w:t>
      </w:r>
      <w:r w:rsidRPr="002B25D3">
        <w:rPr>
          <w:rFonts w:ascii="Arial" w:hAnsi="Arial" w:cs="Arial"/>
          <w:sz w:val="22"/>
          <w:szCs w:val="22"/>
        </w:rPr>
        <w:t xml:space="preserve"> de manera análoga y </w:t>
      </w:r>
      <w:r w:rsidR="009B20D2" w:rsidRPr="002B25D3">
        <w:rPr>
          <w:rFonts w:ascii="Arial" w:hAnsi="Arial" w:cs="Arial"/>
          <w:sz w:val="22"/>
          <w:szCs w:val="22"/>
        </w:rPr>
        <w:t>de</w:t>
      </w:r>
      <w:r w:rsidR="00814835" w:rsidRPr="002B25D3">
        <w:rPr>
          <w:rFonts w:ascii="Arial" w:hAnsi="Arial" w:cs="Arial"/>
          <w:sz w:val="22"/>
          <w:szCs w:val="22"/>
        </w:rPr>
        <w:t xml:space="preserve">l que </w:t>
      </w:r>
      <w:r w:rsidR="009B20D2" w:rsidRPr="002B25D3">
        <w:rPr>
          <w:rFonts w:ascii="Arial" w:hAnsi="Arial" w:cs="Arial"/>
          <w:sz w:val="22"/>
          <w:szCs w:val="22"/>
        </w:rPr>
        <w:t xml:space="preserve">se desprende que, </w:t>
      </w:r>
      <w:r w:rsidRPr="002B25D3">
        <w:rPr>
          <w:rFonts w:ascii="Arial" w:hAnsi="Arial" w:cs="Arial"/>
          <w:sz w:val="22"/>
          <w:szCs w:val="22"/>
        </w:rPr>
        <w:t>conforme a la interpretación sistemática y funcional de los artículos 35, fracción II y 41, de la Constitución Federal, la cancelación del registro de una candidatura previamente a la jornada electoral, implica la nulidad de los votos emitidos a su favor, pues se trata de sufragios inválidos que se sumarán a los votos nulos, porque se emiten a favor de una candidatura que al día de la jornada electoral no cuenta con el registro legal correspondiente</w:t>
      </w:r>
      <w:r w:rsidR="00814835" w:rsidRPr="002B25D3">
        <w:rPr>
          <w:rFonts w:ascii="Arial" w:hAnsi="Arial" w:cs="Arial"/>
          <w:sz w:val="22"/>
          <w:szCs w:val="22"/>
        </w:rPr>
        <w:t>, este Consejo Estatal considera viable implementar dicho criterio para el Proceso Electoral Extraordinario.</w:t>
      </w:r>
    </w:p>
    <w:p w14:paraId="62EE019C" w14:textId="33E0D0ED" w:rsidR="002A03E8" w:rsidRPr="002B25D3" w:rsidRDefault="007B6DD1" w:rsidP="00814835">
      <w:pPr>
        <w:rPr>
          <w:rFonts w:ascii="Arial" w:hAnsi="Arial" w:cs="Arial"/>
          <w:sz w:val="22"/>
          <w:szCs w:val="22"/>
        </w:rPr>
      </w:pPr>
      <w:r w:rsidRPr="002B25D3">
        <w:rPr>
          <w:rFonts w:ascii="Arial" w:hAnsi="Arial" w:cs="Arial"/>
          <w:sz w:val="22"/>
          <w:szCs w:val="22"/>
        </w:rPr>
        <w:t xml:space="preserve">En ese sentido, cuando alguna de las candidaturas </w:t>
      </w:r>
      <w:r w:rsidR="000C66C5" w:rsidRPr="002B25D3">
        <w:rPr>
          <w:rFonts w:ascii="Arial" w:hAnsi="Arial" w:cs="Arial"/>
          <w:sz w:val="22"/>
          <w:szCs w:val="22"/>
        </w:rPr>
        <w:t xml:space="preserve">a los cargos de elección en el Poder Judicial del Estado de Tabasco </w:t>
      </w:r>
      <w:r w:rsidRPr="002B25D3">
        <w:rPr>
          <w:rFonts w:ascii="Arial" w:hAnsi="Arial" w:cs="Arial"/>
          <w:sz w:val="22"/>
          <w:szCs w:val="22"/>
        </w:rPr>
        <w:t xml:space="preserve">quede vacante en virtud de la renuncia, la consecuencia jurídica será la cancelación, lo que traerá como resultado que </w:t>
      </w:r>
      <w:r w:rsidR="002A2A38" w:rsidRPr="002B25D3">
        <w:rPr>
          <w:rFonts w:ascii="Arial" w:hAnsi="Arial" w:cs="Arial"/>
          <w:sz w:val="22"/>
          <w:szCs w:val="22"/>
        </w:rPr>
        <w:t>l</w:t>
      </w:r>
      <w:r w:rsidR="003733C4" w:rsidRPr="002B25D3">
        <w:rPr>
          <w:rFonts w:ascii="Arial" w:hAnsi="Arial" w:cs="Arial"/>
          <w:sz w:val="22"/>
          <w:szCs w:val="22"/>
        </w:rPr>
        <w:t>a</w:t>
      </w:r>
      <w:r w:rsidR="002A2A38" w:rsidRPr="002B25D3">
        <w:rPr>
          <w:rFonts w:ascii="Arial" w:hAnsi="Arial" w:cs="Arial"/>
          <w:sz w:val="22"/>
          <w:szCs w:val="22"/>
        </w:rPr>
        <w:t xml:space="preserve">s </w:t>
      </w:r>
      <w:r w:rsidR="003733C4" w:rsidRPr="002B25D3">
        <w:rPr>
          <w:rFonts w:ascii="Arial" w:hAnsi="Arial" w:cs="Arial"/>
          <w:sz w:val="22"/>
          <w:szCs w:val="22"/>
        </w:rPr>
        <w:t>marcas</w:t>
      </w:r>
      <w:r w:rsidR="002A2A38" w:rsidRPr="002B25D3">
        <w:rPr>
          <w:rFonts w:ascii="Arial" w:hAnsi="Arial" w:cs="Arial"/>
          <w:sz w:val="22"/>
          <w:szCs w:val="22"/>
        </w:rPr>
        <w:t xml:space="preserve">, o en su caso, </w:t>
      </w:r>
      <w:r w:rsidR="002B25D3" w:rsidRPr="002B25D3">
        <w:rPr>
          <w:rFonts w:ascii="Arial" w:hAnsi="Arial" w:cs="Arial"/>
          <w:sz w:val="22"/>
          <w:szCs w:val="22"/>
        </w:rPr>
        <w:t>los números registrados</w:t>
      </w:r>
      <w:r w:rsidR="003733C4" w:rsidRPr="002B25D3">
        <w:rPr>
          <w:rFonts w:ascii="Arial" w:hAnsi="Arial" w:cs="Arial"/>
          <w:sz w:val="22"/>
          <w:szCs w:val="22"/>
        </w:rPr>
        <w:t xml:space="preserve"> en los recuadros de votación o </w:t>
      </w:r>
      <w:r w:rsidRPr="002B25D3">
        <w:rPr>
          <w:rFonts w:ascii="Arial" w:hAnsi="Arial" w:cs="Arial"/>
          <w:sz w:val="22"/>
          <w:szCs w:val="22"/>
        </w:rPr>
        <w:t>en el espacio que originalmente se previó para la candidatura cancelada no tendrá</w:t>
      </w:r>
      <w:r w:rsidR="000C66C5" w:rsidRPr="002B25D3">
        <w:rPr>
          <w:rFonts w:ascii="Arial" w:hAnsi="Arial" w:cs="Arial"/>
          <w:sz w:val="22"/>
          <w:szCs w:val="22"/>
        </w:rPr>
        <w:t>n</w:t>
      </w:r>
      <w:r w:rsidRPr="002B25D3">
        <w:rPr>
          <w:rFonts w:ascii="Arial" w:hAnsi="Arial" w:cs="Arial"/>
          <w:sz w:val="22"/>
          <w:szCs w:val="22"/>
        </w:rPr>
        <w:t xml:space="preserve"> valor alguno.</w:t>
      </w:r>
      <w:r w:rsidR="00814835" w:rsidRPr="002B25D3">
        <w:rPr>
          <w:rFonts w:ascii="Arial" w:hAnsi="Arial" w:cs="Arial"/>
          <w:sz w:val="22"/>
          <w:szCs w:val="22"/>
        </w:rPr>
        <w:t xml:space="preserve"> El propósito de lo anterior es dar certeza y seguridad jurídica en la contienda electoral, garantizando con ello el derecho al voto. </w:t>
      </w:r>
    </w:p>
    <w:p w14:paraId="23623BE1" w14:textId="2408D5FB" w:rsidR="00817A3B" w:rsidRPr="002B25D3" w:rsidRDefault="00817A3B" w:rsidP="00817A3B">
      <w:pPr>
        <w:rPr>
          <w:rFonts w:ascii="Arial" w:hAnsi="Arial" w:cs="Arial"/>
          <w:sz w:val="22"/>
          <w:szCs w:val="22"/>
        </w:rPr>
      </w:pPr>
      <w:r w:rsidRPr="002B25D3">
        <w:rPr>
          <w:rFonts w:ascii="Arial" w:hAnsi="Arial" w:cs="Arial"/>
          <w:sz w:val="22"/>
          <w:szCs w:val="22"/>
        </w:rPr>
        <w:lastRenderedPageBreak/>
        <w:t xml:space="preserve">A partir de lo anterior, </w:t>
      </w:r>
      <w:r w:rsidR="00814835" w:rsidRPr="002B25D3">
        <w:rPr>
          <w:rFonts w:ascii="Arial" w:hAnsi="Arial" w:cs="Arial"/>
          <w:sz w:val="22"/>
          <w:szCs w:val="22"/>
        </w:rPr>
        <w:t xml:space="preserve">considerando que la producción de las boletas electorales es un acto definitivo, lo conducente será que, </w:t>
      </w:r>
      <w:r w:rsidRPr="002B25D3">
        <w:rPr>
          <w:rFonts w:ascii="Arial" w:hAnsi="Arial" w:cs="Arial"/>
          <w:sz w:val="22"/>
          <w:szCs w:val="22"/>
        </w:rPr>
        <w:t>aún y cuando la candidatura permanezca en la boleta, los votos recibidos habrán de calificarse como si el recuadro referido no existiera, pues esa es la consecuencia fáctica que derivaría de la conclusión jurídica relativa a la cancelación.</w:t>
      </w:r>
    </w:p>
    <w:p w14:paraId="3F86D65B" w14:textId="77777777" w:rsidR="00F4286D" w:rsidRPr="002B25D3" w:rsidRDefault="00F4286D" w:rsidP="00F4286D">
      <w:pPr>
        <w:rPr>
          <w:rFonts w:ascii="Arial" w:hAnsi="Arial" w:cs="Arial"/>
          <w:sz w:val="22"/>
          <w:szCs w:val="22"/>
        </w:rPr>
      </w:pPr>
      <w:r w:rsidRPr="002B25D3">
        <w:rPr>
          <w:rFonts w:ascii="Arial" w:hAnsi="Arial" w:cs="Arial"/>
          <w:sz w:val="22"/>
          <w:szCs w:val="22"/>
        </w:rPr>
        <w:t>Sobre la base de las consideraciones señaladas, este Consejo Estatal emite el siguiente:</w:t>
      </w:r>
    </w:p>
    <w:p w14:paraId="32DA3AE6" w14:textId="00B24C02" w:rsidR="00F4286D" w:rsidRPr="002B25D3" w:rsidRDefault="00F4286D" w:rsidP="00F4286D">
      <w:pPr>
        <w:pStyle w:val="Ttulo1"/>
        <w:rPr>
          <w:rFonts w:ascii="Arial" w:hAnsi="Arial" w:cs="Arial"/>
          <w:sz w:val="24"/>
        </w:rPr>
      </w:pPr>
      <w:r w:rsidRPr="002B25D3">
        <w:rPr>
          <w:rFonts w:ascii="Arial" w:hAnsi="Arial" w:cs="Arial"/>
          <w:sz w:val="24"/>
        </w:rPr>
        <w:t>Acuerdo</w:t>
      </w:r>
    </w:p>
    <w:p w14:paraId="2DA4D3A5" w14:textId="705DE0AA" w:rsidR="00F4286D" w:rsidRPr="002B25D3" w:rsidRDefault="00F4286D" w:rsidP="00F4286D">
      <w:pPr>
        <w:rPr>
          <w:rFonts w:ascii="Arial" w:hAnsi="Arial" w:cs="Arial"/>
          <w:sz w:val="22"/>
        </w:rPr>
      </w:pPr>
      <w:r w:rsidRPr="002B25D3">
        <w:rPr>
          <w:rFonts w:ascii="Arial" w:hAnsi="Arial" w:cs="Arial"/>
          <w:b/>
          <w:bCs/>
          <w:sz w:val="22"/>
        </w:rPr>
        <w:t>Primero.</w:t>
      </w:r>
      <w:r w:rsidRPr="002B25D3">
        <w:rPr>
          <w:rFonts w:ascii="Arial" w:hAnsi="Arial" w:cs="Arial"/>
          <w:sz w:val="22"/>
        </w:rPr>
        <w:t xml:space="preserve"> Se aprueba el criterio para la calificación de los votos que, en su caso, obtengan las personas que renunciaron a las candidaturas con motivo del Proceso Electoral Local Extraordinario para personas juzgadoras del Poder Judicial del Estado de Tabasco 2024 – 2025.</w:t>
      </w:r>
    </w:p>
    <w:p w14:paraId="54215D51" w14:textId="31B398CB" w:rsidR="00F4286D" w:rsidRPr="002B25D3" w:rsidRDefault="00F4286D" w:rsidP="00F4286D">
      <w:pPr>
        <w:rPr>
          <w:rFonts w:ascii="Arial" w:hAnsi="Arial" w:cs="Arial"/>
          <w:sz w:val="22"/>
        </w:rPr>
      </w:pPr>
      <w:r w:rsidRPr="002B25D3">
        <w:rPr>
          <w:rFonts w:ascii="Arial" w:hAnsi="Arial" w:cs="Arial"/>
          <w:sz w:val="22"/>
        </w:rPr>
        <w:t>En consecuencia, los votos que obtengan aquellas candidaturas que previo a la jornada electoral hayan renunciado, no tendrán valor alguno y se sumarán a los votos nulos.</w:t>
      </w:r>
    </w:p>
    <w:p w14:paraId="67B05F10" w14:textId="75356FB9" w:rsidR="00F4286D" w:rsidRPr="002B25D3" w:rsidRDefault="00F4286D" w:rsidP="00F4286D">
      <w:pPr>
        <w:rPr>
          <w:rFonts w:ascii="Arial" w:hAnsi="Arial" w:cs="Arial"/>
          <w:sz w:val="22"/>
        </w:rPr>
      </w:pPr>
      <w:r w:rsidRPr="002B25D3">
        <w:rPr>
          <w:rFonts w:ascii="Arial" w:hAnsi="Arial" w:cs="Arial"/>
          <w:b/>
          <w:bCs/>
          <w:sz w:val="22"/>
        </w:rPr>
        <w:t>Segundo.</w:t>
      </w:r>
      <w:r w:rsidRPr="002B25D3">
        <w:rPr>
          <w:rFonts w:ascii="Arial" w:hAnsi="Arial" w:cs="Arial"/>
          <w:sz w:val="22"/>
        </w:rPr>
        <w:t xml:space="preserve"> Se instruye a la Dirección de Organización Electoral y Educación Cívica que, en coordinación con la Unidad de Tecnologías de la Información y Comunicación (UNITIC) que, de darse alguno de los supuestos planteados en el presente acuerdo, realicen los ajustes necesarios al Sistema de Información Estatal Electoral (SIEE).</w:t>
      </w:r>
    </w:p>
    <w:p w14:paraId="57F25CC8" w14:textId="50873210" w:rsidR="00F4286D" w:rsidRPr="002B25D3" w:rsidRDefault="00F4286D" w:rsidP="00F4286D">
      <w:pPr>
        <w:rPr>
          <w:rFonts w:ascii="Arial" w:hAnsi="Arial" w:cs="Arial"/>
          <w:sz w:val="22"/>
        </w:rPr>
      </w:pPr>
      <w:r w:rsidRPr="002B25D3">
        <w:rPr>
          <w:rFonts w:ascii="Arial" w:hAnsi="Arial" w:cs="Arial"/>
          <w:b/>
          <w:bCs/>
          <w:sz w:val="22"/>
        </w:rPr>
        <w:t>Tercero.</w:t>
      </w:r>
      <w:r w:rsidRPr="002B25D3">
        <w:rPr>
          <w:rFonts w:ascii="Arial" w:hAnsi="Arial" w:cs="Arial"/>
          <w:sz w:val="22"/>
        </w:rPr>
        <w:t xml:space="preserve"> Asimismo, se instruye a la Secretaría Ejecutiva notifique el contenido del presente acuerdo, a las juntas electorales distritales del Instituto; y, en términos del artículo 387 numeral 9 de la Ley Electoral, a las personas candidatas a los cargos de elección del Poder Judicial del Estado de Tabasco.</w:t>
      </w:r>
    </w:p>
    <w:p w14:paraId="07DE45D8" w14:textId="7DB99E9A" w:rsidR="00F4286D" w:rsidRPr="002B25D3" w:rsidRDefault="00F4286D" w:rsidP="00F4286D">
      <w:pPr>
        <w:rPr>
          <w:rFonts w:ascii="Arial" w:hAnsi="Arial" w:cs="Arial"/>
          <w:sz w:val="22"/>
        </w:rPr>
      </w:pPr>
      <w:r w:rsidRPr="002B25D3">
        <w:rPr>
          <w:rFonts w:ascii="Arial" w:hAnsi="Arial" w:cs="Arial"/>
          <w:b/>
          <w:bCs/>
          <w:sz w:val="22"/>
        </w:rPr>
        <w:t>Cuarto.</w:t>
      </w:r>
      <w:r w:rsidRPr="002B25D3">
        <w:rPr>
          <w:rFonts w:ascii="Arial" w:hAnsi="Arial" w:cs="Arial"/>
          <w:sz w:val="22"/>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52A1322" w14:textId="03834CB5" w:rsidR="00F4286D" w:rsidRPr="002B25D3" w:rsidRDefault="00F4286D" w:rsidP="00F4286D">
      <w:pPr>
        <w:rPr>
          <w:rFonts w:ascii="Arial" w:hAnsi="Arial" w:cs="Arial"/>
          <w:sz w:val="22"/>
        </w:rPr>
      </w:pPr>
      <w:r w:rsidRPr="002B25D3">
        <w:rPr>
          <w:rFonts w:ascii="Arial" w:hAnsi="Arial" w:cs="Arial"/>
          <w:b/>
          <w:bCs/>
          <w:sz w:val="22"/>
        </w:rPr>
        <w:t>Quinto.</w:t>
      </w:r>
      <w:r w:rsidRPr="002B25D3">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D86359C" w14:textId="1DA638B5" w:rsidR="00F4286D" w:rsidRPr="002B25D3" w:rsidRDefault="00F4286D" w:rsidP="00F4286D">
      <w:pPr>
        <w:rPr>
          <w:rFonts w:ascii="Arial" w:hAnsi="Arial" w:cs="Arial"/>
          <w:sz w:val="22"/>
        </w:rPr>
      </w:pPr>
      <w:r w:rsidRPr="002B25D3">
        <w:rPr>
          <w:rFonts w:ascii="Arial" w:hAnsi="Arial" w:cs="Arial"/>
          <w:sz w:val="22"/>
        </w:rPr>
        <w:t xml:space="preserve">El presente acuerdo fue aprobado en sesión </w:t>
      </w:r>
      <w:r w:rsidR="002B25D3">
        <w:rPr>
          <w:rFonts w:ascii="Arial" w:hAnsi="Arial" w:cs="Arial"/>
          <w:sz w:val="22"/>
        </w:rPr>
        <w:t>extraordinaria</w:t>
      </w:r>
      <w:r w:rsidRPr="002B25D3">
        <w:rPr>
          <w:rFonts w:ascii="Arial" w:hAnsi="Arial" w:cs="Arial"/>
          <w:sz w:val="22"/>
        </w:rPr>
        <w:t xml:space="preserve"> efectuada el </w:t>
      </w:r>
      <w:r w:rsidR="002B25D3">
        <w:rPr>
          <w:rFonts w:ascii="Arial" w:hAnsi="Arial" w:cs="Arial"/>
          <w:sz w:val="22"/>
        </w:rPr>
        <w:t>día veintiuno</w:t>
      </w:r>
      <w:r w:rsidRPr="002B25D3">
        <w:rPr>
          <w:rFonts w:ascii="Arial" w:hAnsi="Arial" w:cs="Arial"/>
          <w:sz w:val="22"/>
        </w:rPr>
        <w:t xml:space="preserve"> de </w:t>
      </w:r>
      <w:r w:rsidR="002B25D3">
        <w:rPr>
          <w:rFonts w:ascii="Arial" w:hAnsi="Arial" w:cs="Arial"/>
          <w:sz w:val="22"/>
        </w:rPr>
        <w:t>mayo</w:t>
      </w:r>
      <w:r w:rsidRPr="002B25D3">
        <w:rPr>
          <w:rFonts w:ascii="Arial" w:hAnsi="Arial" w:cs="Arial"/>
          <w:sz w:val="22"/>
        </w:rPr>
        <w:t xml:space="preserve"> del año dos mil veinticinco, por votación </w:t>
      </w:r>
      <w:r w:rsidR="002B25D3">
        <w:rPr>
          <w:rFonts w:ascii="Arial" w:hAnsi="Arial" w:cs="Arial"/>
          <w:sz w:val="22"/>
        </w:rPr>
        <w:t>unánime</w:t>
      </w:r>
      <w:r w:rsidRPr="002B25D3">
        <w:rPr>
          <w:rFonts w:ascii="Arial" w:hAnsi="Arial" w:cs="Arial"/>
          <w:sz w:val="22"/>
        </w:rPr>
        <w:t xml:space="preserve"> de las y los Consejeros Electorales del Consejo Estatal del Instituto Electoral y de Participación Ciudadana de Tabasco: Licda. </w:t>
      </w:r>
      <w:r w:rsidRPr="002B25D3">
        <w:rPr>
          <w:rFonts w:ascii="Arial" w:hAnsi="Arial" w:cs="Arial"/>
          <w:sz w:val="22"/>
        </w:rPr>
        <w:lastRenderedPageBreak/>
        <w:t xml:space="preserve">María Elvia Magaña Sandoval, Lic. Hernán González Sala, Lic. Vladimir Hernández Venegas, Licda. Ángela Guadalupe Araujo Segura, Licda. Monserrat Martínez </w:t>
      </w:r>
      <w:proofErr w:type="spellStart"/>
      <w:r w:rsidRPr="002B25D3">
        <w:rPr>
          <w:rFonts w:ascii="Arial" w:hAnsi="Arial" w:cs="Arial"/>
          <w:sz w:val="22"/>
        </w:rPr>
        <w:t>Beaurregard</w:t>
      </w:r>
      <w:proofErr w:type="spellEnd"/>
      <w:r w:rsidRPr="002B25D3">
        <w:rPr>
          <w:rFonts w:ascii="Arial" w:hAnsi="Arial" w:cs="Arial"/>
          <w:sz w:val="22"/>
        </w:rPr>
        <w:t>, Mtra. Ruth Lizette Toledo Peral y la Consejera Presidenta, Mtra. Elizabeth Nava Gutiérrez.</w:t>
      </w:r>
    </w:p>
    <w:p w14:paraId="45239259" w14:textId="77777777" w:rsidR="00F4286D" w:rsidRPr="002B25D3" w:rsidRDefault="00F4286D" w:rsidP="00F4286D">
      <w:pPr>
        <w:rPr>
          <w:rFonts w:ascii="Arial" w:hAnsi="Arial" w:cs="Arial"/>
          <w:sz w:val="22"/>
        </w:rPr>
      </w:pPr>
    </w:p>
    <w:p w14:paraId="45FA4E66" w14:textId="2D6BE3E4" w:rsidR="002B25D3" w:rsidRPr="002B25D3" w:rsidRDefault="002B25D3" w:rsidP="002B25D3">
      <w:pPr>
        <w:ind w:right="49"/>
        <w:rPr>
          <w:rFonts w:ascii="Arial" w:hAnsi="Arial" w:cs="Arial"/>
          <w:sz w:val="22"/>
        </w:rPr>
      </w:pPr>
      <w:bookmarkStart w:id="1" w:name="_GoBack"/>
      <w:bookmarkEnd w:id="1"/>
    </w:p>
    <w:p w14:paraId="487038D8" w14:textId="77777777" w:rsidR="00CC2D26" w:rsidRPr="002B25D3" w:rsidRDefault="00CC2D26" w:rsidP="00F4286D">
      <w:pPr>
        <w:rPr>
          <w:rFonts w:ascii="Arial" w:hAnsi="Arial" w:cs="Arial"/>
          <w:sz w:val="22"/>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322"/>
      </w:tblGrid>
      <w:tr w:rsidR="002B25D3" w:rsidRPr="002B25D3" w14:paraId="03D65570" w14:textId="77777777" w:rsidTr="002B25D3">
        <w:trPr>
          <w:jc w:val="center"/>
        </w:trPr>
        <w:tc>
          <w:tcPr>
            <w:tcW w:w="2555" w:type="pct"/>
          </w:tcPr>
          <w:p w14:paraId="77B9EE6E" w14:textId="77777777" w:rsidR="002B25D3" w:rsidRPr="002B25D3" w:rsidRDefault="002B25D3" w:rsidP="00E07F4B">
            <w:pPr>
              <w:spacing w:before="0" w:after="0" w:line="264" w:lineRule="auto"/>
              <w:jc w:val="center"/>
              <w:rPr>
                <w:rFonts w:ascii="Arial" w:hAnsi="Arial" w:cs="Arial"/>
                <w:b/>
                <w:bCs/>
                <w:sz w:val="22"/>
              </w:rPr>
            </w:pPr>
            <w:r w:rsidRPr="002B25D3">
              <w:rPr>
                <w:rFonts w:ascii="Arial" w:hAnsi="Arial" w:cs="Arial"/>
                <w:b/>
                <w:bCs/>
                <w:sz w:val="22"/>
              </w:rPr>
              <w:t>MTRA. ELIZABETH NAVA GUTIÉRREZ</w:t>
            </w:r>
          </w:p>
          <w:p w14:paraId="32FCECEB" w14:textId="77777777" w:rsidR="002B25D3" w:rsidRPr="002B25D3" w:rsidRDefault="002B25D3" w:rsidP="00E07F4B">
            <w:pPr>
              <w:spacing w:before="0" w:after="0" w:line="264" w:lineRule="auto"/>
              <w:jc w:val="center"/>
              <w:rPr>
                <w:rFonts w:ascii="Arial" w:hAnsi="Arial" w:cs="Arial"/>
                <w:b/>
                <w:bCs/>
                <w:sz w:val="22"/>
              </w:rPr>
            </w:pPr>
            <w:r w:rsidRPr="002B25D3">
              <w:rPr>
                <w:rFonts w:ascii="Arial" w:hAnsi="Arial" w:cs="Arial"/>
                <w:b/>
                <w:bCs/>
                <w:sz w:val="22"/>
              </w:rPr>
              <w:t>CONSEJERA PRESIDENTA</w:t>
            </w:r>
          </w:p>
        </w:tc>
        <w:tc>
          <w:tcPr>
            <w:tcW w:w="2445" w:type="pct"/>
          </w:tcPr>
          <w:p w14:paraId="754F9D5F" w14:textId="77777777" w:rsidR="002B25D3" w:rsidRPr="002B25D3" w:rsidRDefault="002B25D3" w:rsidP="00E07F4B">
            <w:pPr>
              <w:spacing w:before="0" w:after="0" w:line="264" w:lineRule="auto"/>
              <w:jc w:val="center"/>
              <w:rPr>
                <w:rFonts w:ascii="Arial" w:hAnsi="Arial" w:cs="Arial"/>
                <w:b/>
                <w:bCs/>
                <w:sz w:val="22"/>
              </w:rPr>
            </w:pPr>
            <w:r w:rsidRPr="002B25D3">
              <w:rPr>
                <w:rFonts w:ascii="Arial" w:hAnsi="Arial" w:cs="Arial"/>
                <w:b/>
                <w:bCs/>
                <w:sz w:val="22"/>
              </w:rPr>
              <w:t>LIC. JORGE ALBERTO ZAVALA FRÍAS</w:t>
            </w:r>
          </w:p>
          <w:p w14:paraId="0A55421F" w14:textId="77777777" w:rsidR="002B25D3" w:rsidRPr="002B25D3" w:rsidRDefault="002B25D3" w:rsidP="00E07F4B">
            <w:pPr>
              <w:spacing w:before="0" w:after="0" w:line="264" w:lineRule="auto"/>
              <w:jc w:val="center"/>
              <w:rPr>
                <w:rFonts w:ascii="Arial" w:hAnsi="Arial" w:cs="Arial"/>
                <w:b/>
                <w:bCs/>
                <w:sz w:val="22"/>
              </w:rPr>
            </w:pPr>
            <w:r w:rsidRPr="002B25D3">
              <w:rPr>
                <w:rFonts w:ascii="Arial" w:hAnsi="Arial" w:cs="Arial"/>
                <w:b/>
                <w:bCs/>
                <w:sz w:val="22"/>
              </w:rPr>
              <w:t>SECRETARIO DEL CONSEJO</w:t>
            </w:r>
          </w:p>
        </w:tc>
      </w:tr>
    </w:tbl>
    <w:p w14:paraId="5967A1E0" w14:textId="77777777" w:rsidR="00CC2D26" w:rsidRPr="002B25D3" w:rsidRDefault="00CC2D26" w:rsidP="00F4286D">
      <w:pPr>
        <w:rPr>
          <w:rFonts w:ascii="Arial" w:hAnsi="Arial" w:cs="Arial"/>
          <w:sz w:val="22"/>
        </w:rPr>
      </w:pPr>
    </w:p>
    <w:sectPr w:rsidR="00CC2D26" w:rsidRPr="002B25D3" w:rsidSect="002B25D3">
      <w:headerReference w:type="default" r:id="rId8"/>
      <w:footerReference w:type="default" r:id="rId9"/>
      <w:pgSz w:w="12240" w:h="15840" w:code="1"/>
      <w:pgMar w:top="2836"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D999" w14:textId="77777777" w:rsidR="0039407D" w:rsidRDefault="0039407D" w:rsidP="00F4286D">
      <w:pPr>
        <w:spacing w:before="0" w:after="0" w:line="240" w:lineRule="auto"/>
      </w:pPr>
      <w:r>
        <w:separator/>
      </w:r>
    </w:p>
  </w:endnote>
  <w:endnote w:type="continuationSeparator" w:id="0">
    <w:p w14:paraId="2C40603C" w14:textId="77777777" w:rsidR="0039407D" w:rsidRDefault="0039407D" w:rsidP="00F42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embedRegular r:id="rId1" w:fontKey="{0A45D94F-4943-48C2-B8F4-3B9257DE673B}"/>
    <w:embedBold r:id="rId2" w:fontKey="{413DB82D-2A28-44B3-8B26-33EE4F2EC899}"/>
    <w:embedItalic r:id="rId3" w:fontKey="{FFED97C7-2697-43EB-897D-97770816D939}"/>
  </w:font>
  <w:font w:name="Exo">
    <w:altName w:val="Times New Roman"/>
    <w:charset w:val="00"/>
    <w:family w:val="auto"/>
    <w:pitch w:val="variable"/>
    <w:sig w:usb0="A00000FF" w:usb1="4000204B" w:usb2="00000000" w:usb3="00000000" w:csb0="00000193" w:csb1="00000000"/>
    <w:embedRegular r:id="rId4" w:fontKey="{5581CA83-EE4D-4AAE-A595-3E692EE53F90}"/>
    <w:embedBold r:id="rId5" w:fontKey="{7B9BCCD4-6D6A-4D72-960E-B30F0FBA7FCC}"/>
    <w:embedItalic r:id="rId6" w:fontKey="{B11613A7-2260-4310-899A-6E302294BE92}"/>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embedRegular r:id="rId7" w:fontKey="{6F71D194-C8E4-4D78-B067-8B4FDAEBCFE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233199330"/>
      <w:docPartObj>
        <w:docPartGallery w:val="Page Numbers (Top of Page)"/>
        <w:docPartUnique/>
      </w:docPartObj>
    </w:sdtPr>
    <w:sdtEndPr/>
    <w:sdtContent>
      <w:p w14:paraId="3A2433E7" w14:textId="2CC46DBF" w:rsidR="00CC2D26" w:rsidRPr="002B25D3" w:rsidRDefault="00CC2D26" w:rsidP="00CC2D26">
        <w:pPr>
          <w:pStyle w:val="Piedepgina"/>
          <w:jc w:val="right"/>
          <w:rPr>
            <w:rFonts w:ascii="Arial" w:hAnsi="Arial" w:cs="Arial"/>
            <w:color w:val="993366"/>
            <w:sz w:val="20"/>
            <w:szCs w:val="20"/>
          </w:rPr>
        </w:pPr>
        <w:r w:rsidRPr="002B25D3">
          <w:rPr>
            <w:rFonts w:ascii="Arial" w:hAnsi="Arial" w:cs="Arial"/>
            <w:b/>
            <w:bCs/>
            <w:color w:val="993366"/>
          </w:rPr>
          <w:t xml:space="preserve">Página </w:t>
        </w:r>
        <w:r w:rsidRPr="002B25D3">
          <w:rPr>
            <w:rFonts w:ascii="Arial" w:hAnsi="Arial" w:cs="Arial"/>
            <w:b/>
            <w:bCs/>
            <w:color w:val="993366"/>
          </w:rPr>
          <w:fldChar w:fldCharType="begin"/>
        </w:r>
        <w:r w:rsidRPr="002B25D3">
          <w:rPr>
            <w:rFonts w:ascii="Arial" w:hAnsi="Arial" w:cs="Arial"/>
            <w:b/>
            <w:bCs/>
            <w:color w:val="993366"/>
          </w:rPr>
          <w:instrText>PAGE</w:instrText>
        </w:r>
        <w:r w:rsidRPr="002B25D3">
          <w:rPr>
            <w:rFonts w:ascii="Arial" w:hAnsi="Arial" w:cs="Arial"/>
            <w:b/>
            <w:bCs/>
            <w:color w:val="993366"/>
          </w:rPr>
          <w:fldChar w:fldCharType="separate"/>
        </w:r>
        <w:r w:rsidR="002B25D3">
          <w:rPr>
            <w:rFonts w:ascii="Arial" w:hAnsi="Arial" w:cs="Arial"/>
            <w:b/>
            <w:bCs/>
            <w:noProof/>
            <w:color w:val="993366"/>
          </w:rPr>
          <w:t>14</w:t>
        </w:r>
        <w:r w:rsidRPr="002B25D3">
          <w:rPr>
            <w:rFonts w:ascii="Arial" w:hAnsi="Arial" w:cs="Arial"/>
            <w:b/>
            <w:bCs/>
            <w:color w:val="993366"/>
          </w:rPr>
          <w:fldChar w:fldCharType="end"/>
        </w:r>
        <w:r w:rsidRPr="002B25D3">
          <w:rPr>
            <w:rFonts w:ascii="Arial" w:hAnsi="Arial" w:cs="Arial"/>
            <w:b/>
            <w:bCs/>
            <w:color w:val="993366"/>
          </w:rPr>
          <w:t xml:space="preserve"> | </w:t>
        </w:r>
        <w:r w:rsidRPr="002B25D3">
          <w:rPr>
            <w:rFonts w:ascii="Arial" w:hAnsi="Arial" w:cs="Arial"/>
            <w:b/>
            <w:bCs/>
            <w:color w:val="993366"/>
          </w:rPr>
          <w:fldChar w:fldCharType="begin"/>
        </w:r>
        <w:r w:rsidRPr="002B25D3">
          <w:rPr>
            <w:rFonts w:ascii="Arial" w:hAnsi="Arial" w:cs="Arial"/>
            <w:b/>
            <w:bCs/>
            <w:color w:val="993366"/>
          </w:rPr>
          <w:instrText>NUMPAGES</w:instrText>
        </w:r>
        <w:r w:rsidRPr="002B25D3">
          <w:rPr>
            <w:rFonts w:ascii="Arial" w:hAnsi="Arial" w:cs="Arial"/>
            <w:b/>
            <w:bCs/>
            <w:color w:val="993366"/>
          </w:rPr>
          <w:fldChar w:fldCharType="separate"/>
        </w:r>
        <w:r w:rsidR="002B25D3">
          <w:rPr>
            <w:rFonts w:ascii="Arial" w:hAnsi="Arial" w:cs="Arial"/>
            <w:b/>
            <w:bCs/>
            <w:noProof/>
            <w:color w:val="993366"/>
          </w:rPr>
          <w:t>14</w:t>
        </w:r>
        <w:r w:rsidRPr="002B25D3">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3B166" w14:textId="77777777" w:rsidR="0039407D" w:rsidRDefault="0039407D" w:rsidP="00F4286D">
      <w:pPr>
        <w:spacing w:before="0" w:after="0" w:line="240" w:lineRule="auto"/>
      </w:pPr>
      <w:r>
        <w:separator/>
      </w:r>
    </w:p>
  </w:footnote>
  <w:footnote w:type="continuationSeparator" w:id="0">
    <w:p w14:paraId="25A89D4B" w14:textId="77777777" w:rsidR="0039407D" w:rsidRDefault="0039407D" w:rsidP="00F42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F4286D" w:rsidRPr="002B25D3" w14:paraId="5AF30DCF" w14:textId="77777777" w:rsidTr="00E07F4B">
      <w:tc>
        <w:tcPr>
          <w:tcW w:w="1813" w:type="dxa"/>
        </w:tcPr>
        <w:p w14:paraId="358DCBCB" w14:textId="77777777" w:rsidR="00F4286D" w:rsidRPr="002B25D3" w:rsidRDefault="00F4286D" w:rsidP="00F4286D">
          <w:pPr>
            <w:pStyle w:val="Encabezado"/>
            <w:rPr>
              <w:rFonts w:ascii="Arial" w:hAnsi="Arial" w:cs="Arial"/>
            </w:rPr>
          </w:pPr>
          <w:r w:rsidRPr="002B25D3">
            <w:rPr>
              <w:rFonts w:ascii="Arial" w:hAnsi="Arial" w:cs="Arial"/>
              <w:b/>
              <w:noProof/>
              <w:sz w:val="32"/>
              <w:lang w:eastAsia="es-MX"/>
            </w:rPr>
            <w:drawing>
              <wp:inline distT="0" distB="0" distL="0" distR="0" wp14:anchorId="3965AB38" wp14:editId="0C666833">
                <wp:extent cx="1014331" cy="1199403"/>
                <wp:effectExtent l="0" t="0" r="0" b="1270"/>
                <wp:docPr id="11" name="Imagen 1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1BCFF11B" w14:textId="77777777" w:rsidR="00F4286D" w:rsidRPr="002B25D3" w:rsidRDefault="00F4286D" w:rsidP="00F4286D">
          <w:pPr>
            <w:pStyle w:val="Encabezado"/>
            <w:spacing w:before="720"/>
            <w:jc w:val="center"/>
            <w:rPr>
              <w:rFonts w:ascii="Arial" w:hAnsi="Arial" w:cs="Arial"/>
              <w:b/>
              <w:bCs/>
              <w:spacing w:val="-10"/>
              <w:sz w:val="26"/>
              <w:szCs w:val="26"/>
            </w:rPr>
          </w:pPr>
          <w:r w:rsidRPr="002B25D3">
            <w:rPr>
              <w:rFonts w:ascii="Arial" w:hAnsi="Arial" w:cs="Arial"/>
              <w:b/>
              <w:bCs/>
              <w:spacing w:val="-10"/>
              <w:sz w:val="26"/>
              <w:szCs w:val="26"/>
            </w:rPr>
            <w:t>INSTITUTO ELECTORAL Y DE PARTICIPACIÓN CIUDADANA DE TABASCO</w:t>
          </w:r>
        </w:p>
        <w:p w14:paraId="136161CB" w14:textId="77777777" w:rsidR="00F4286D" w:rsidRPr="002B25D3" w:rsidRDefault="00F4286D" w:rsidP="00F4286D">
          <w:pPr>
            <w:pStyle w:val="Encabezado"/>
            <w:spacing w:before="60"/>
            <w:jc w:val="center"/>
            <w:rPr>
              <w:rFonts w:ascii="Arial" w:hAnsi="Arial" w:cs="Arial"/>
            </w:rPr>
          </w:pPr>
          <w:r w:rsidRPr="002B25D3">
            <w:rPr>
              <w:rFonts w:ascii="Arial" w:hAnsi="Arial" w:cs="Arial"/>
              <w:b/>
              <w:bCs/>
              <w:sz w:val="28"/>
              <w:szCs w:val="28"/>
            </w:rPr>
            <w:t>CONSEJO ESTATAL</w:t>
          </w:r>
        </w:p>
      </w:tc>
      <w:tc>
        <w:tcPr>
          <w:tcW w:w="1560" w:type="dxa"/>
        </w:tcPr>
        <w:p w14:paraId="19F15914" w14:textId="77777777" w:rsidR="00F4286D" w:rsidRPr="002B25D3" w:rsidRDefault="00F4286D" w:rsidP="00F4286D">
          <w:pPr>
            <w:pStyle w:val="Encabezado"/>
            <w:spacing w:before="480"/>
            <w:jc w:val="right"/>
            <w:rPr>
              <w:rFonts w:ascii="Arial" w:hAnsi="Arial" w:cs="Arial"/>
            </w:rPr>
          </w:pPr>
          <w:r w:rsidRPr="002B25D3">
            <w:rPr>
              <w:rFonts w:ascii="Arial" w:hAnsi="Arial" w:cs="Arial"/>
              <w:noProof/>
              <w:lang w:eastAsia="es-MX"/>
            </w:rPr>
            <w:drawing>
              <wp:inline distT="0" distB="0" distL="0" distR="0" wp14:anchorId="4FB832BC" wp14:editId="687F37B4">
                <wp:extent cx="921600" cy="756000"/>
                <wp:effectExtent l="0" t="0" r="0" b="6350"/>
                <wp:docPr id="1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926F96A" w14:textId="2EB99882" w:rsidR="00F4286D" w:rsidRPr="002B25D3" w:rsidRDefault="002B25D3" w:rsidP="002B25D3">
    <w:pPr>
      <w:pStyle w:val="Encabezado"/>
      <w:jc w:val="right"/>
      <w:rPr>
        <w:rFonts w:ascii="Arial" w:hAnsi="Arial" w:cs="Arial"/>
        <w:b/>
      </w:rPr>
    </w:pPr>
    <w:r w:rsidRPr="002B25D3">
      <w:rPr>
        <w:rFonts w:ascii="Arial" w:hAnsi="Arial" w:cs="Arial"/>
        <w:b/>
      </w:rPr>
      <w:t>CE/2025/063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DA2"/>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D290474"/>
    <w:multiLevelType w:val="hybridMultilevel"/>
    <w:tmpl w:val="7F38FFF8"/>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2284E"/>
    <w:multiLevelType w:val="hybridMultilevel"/>
    <w:tmpl w:val="5086B07A"/>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BD0B23"/>
    <w:multiLevelType w:val="hybridMultilevel"/>
    <w:tmpl w:val="9716A21A"/>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1546A"/>
    <w:multiLevelType w:val="hybridMultilevel"/>
    <w:tmpl w:val="3A52DCD0"/>
    <w:lvl w:ilvl="0" w:tplc="E304C2F6">
      <w:start w:val="1"/>
      <w:numFmt w:val="lowerLetter"/>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3824680"/>
    <w:multiLevelType w:val="hybridMultilevel"/>
    <w:tmpl w:val="D88874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B65A32"/>
    <w:multiLevelType w:val="hybridMultilevel"/>
    <w:tmpl w:val="F18C3CF2"/>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9E534C"/>
    <w:multiLevelType w:val="hybridMultilevel"/>
    <w:tmpl w:val="EBEA2E6A"/>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E549D"/>
    <w:multiLevelType w:val="hybridMultilevel"/>
    <w:tmpl w:val="CDBEA15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BA7D3D"/>
    <w:multiLevelType w:val="hybridMultilevel"/>
    <w:tmpl w:val="CAD0304C"/>
    <w:lvl w:ilvl="0" w:tplc="DC6EE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B2712D"/>
    <w:multiLevelType w:val="hybridMultilevel"/>
    <w:tmpl w:val="48FECEEE"/>
    <w:lvl w:ilvl="0" w:tplc="1BD666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86677F"/>
    <w:multiLevelType w:val="hybridMultilevel"/>
    <w:tmpl w:val="5C325E90"/>
    <w:lvl w:ilvl="0" w:tplc="DC6EE7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7"/>
  </w:num>
  <w:num w:numId="5">
    <w:abstractNumId w:val="8"/>
  </w:num>
  <w:num w:numId="6">
    <w:abstractNumId w:val="1"/>
  </w:num>
  <w:num w:numId="7">
    <w:abstractNumId w:val="4"/>
  </w:num>
  <w:num w:numId="8">
    <w:abstractNumId w:val="10"/>
  </w:num>
  <w:num w:numId="9">
    <w:abstractNumId w:val="3"/>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6D"/>
    <w:rsid w:val="000A19AD"/>
    <w:rsid w:val="000C66C5"/>
    <w:rsid w:val="00165B33"/>
    <w:rsid w:val="001D2AE8"/>
    <w:rsid w:val="00265D6D"/>
    <w:rsid w:val="002A03E8"/>
    <w:rsid w:val="002A2A38"/>
    <w:rsid w:val="002B25D3"/>
    <w:rsid w:val="003733C4"/>
    <w:rsid w:val="0039407D"/>
    <w:rsid w:val="005116A0"/>
    <w:rsid w:val="00632B9C"/>
    <w:rsid w:val="007B6DD1"/>
    <w:rsid w:val="00814835"/>
    <w:rsid w:val="00817A3B"/>
    <w:rsid w:val="008E2D3F"/>
    <w:rsid w:val="0098688F"/>
    <w:rsid w:val="009B20D2"/>
    <w:rsid w:val="00AA2E20"/>
    <w:rsid w:val="00AD5DA4"/>
    <w:rsid w:val="00AE0EF3"/>
    <w:rsid w:val="00B42207"/>
    <w:rsid w:val="00BF6634"/>
    <w:rsid w:val="00CC2D26"/>
    <w:rsid w:val="00CE51C6"/>
    <w:rsid w:val="00D130E4"/>
    <w:rsid w:val="00E76258"/>
    <w:rsid w:val="00F01C0B"/>
    <w:rsid w:val="00F4286D"/>
    <w:rsid w:val="00F70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C07B"/>
  <w15:chartTrackingRefBased/>
  <w15:docId w15:val="{C9393950-5840-475C-AC54-622E54AA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6D"/>
    <w:pPr>
      <w:spacing w:before="240" w:after="240" w:line="276" w:lineRule="auto"/>
      <w:jc w:val="both"/>
    </w:pPr>
    <w:rPr>
      <w:rFonts w:ascii="Exo" w:hAnsi="Exo"/>
    </w:rPr>
  </w:style>
  <w:style w:type="paragraph" w:styleId="Ttulo1">
    <w:name w:val="heading 1"/>
    <w:basedOn w:val="Normal"/>
    <w:next w:val="Normal"/>
    <w:link w:val="Ttulo1Car"/>
    <w:uiPriority w:val="9"/>
    <w:qFormat/>
    <w:rsid w:val="00265D6D"/>
    <w:pPr>
      <w:numPr>
        <w:numId w:val="12"/>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265D6D"/>
    <w:pPr>
      <w:numPr>
        <w:ilvl w:val="1"/>
        <w:numId w:val="12"/>
      </w:numPr>
      <w:spacing w:before="480"/>
      <w:outlineLvl w:val="1"/>
    </w:pPr>
    <w:rPr>
      <w:b/>
      <w:bCs/>
    </w:rPr>
  </w:style>
  <w:style w:type="paragraph" w:styleId="Ttulo3">
    <w:name w:val="heading 3"/>
    <w:basedOn w:val="Normal"/>
    <w:next w:val="Normal"/>
    <w:link w:val="Ttulo3Car"/>
    <w:uiPriority w:val="9"/>
    <w:semiHidden/>
    <w:unhideWhenUsed/>
    <w:qFormat/>
    <w:rsid w:val="00265D6D"/>
    <w:pPr>
      <w:keepNext/>
      <w:keepLines/>
      <w:numPr>
        <w:ilvl w:val="2"/>
        <w:numId w:val="12"/>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5D6D"/>
    <w:pPr>
      <w:keepNext/>
      <w:keepLines/>
      <w:numPr>
        <w:ilvl w:val="3"/>
        <w:numId w:val="12"/>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5D6D"/>
    <w:pPr>
      <w:keepNext/>
      <w:keepLines/>
      <w:numPr>
        <w:ilvl w:val="4"/>
        <w:numId w:val="12"/>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5D6D"/>
    <w:pPr>
      <w:keepNext/>
      <w:keepLines/>
      <w:numPr>
        <w:ilvl w:val="5"/>
        <w:numId w:val="12"/>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5D6D"/>
    <w:pPr>
      <w:keepNext/>
      <w:keepLines/>
      <w:numPr>
        <w:ilvl w:val="6"/>
        <w:numId w:val="12"/>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5D6D"/>
    <w:pPr>
      <w:keepNext/>
      <w:keepLines/>
      <w:numPr>
        <w:ilvl w:val="7"/>
        <w:numId w:val="12"/>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5D6D"/>
    <w:pPr>
      <w:keepNext/>
      <w:keepLines/>
      <w:numPr>
        <w:ilvl w:val="8"/>
        <w:numId w:val="12"/>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D6D"/>
    <w:rPr>
      <w:rFonts w:ascii="Exo" w:hAnsi="Exo"/>
      <w:b/>
      <w:bCs/>
      <w:sz w:val="28"/>
      <w:szCs w:val="28"/>
    </w:rPr>
  </w:style>
  <w:style w:type="character" w:customStyle="1" w:styleId="Ttulo2Car">
    <w:name w:val="Título 2 Car"/>
    <w:basedOn w:val="Fuentedeprrafopredeter"/>
    <w:link w:val="Ttulo2"/>
    <w:uiPriority w:val="9"/>
    <w:rsid w:val="00265D6D"/>
    <w:rPr>
      <w:rFonts w:ascii="Exo" w:hAnsi="Exo"/>
      <w:b/>
      <w:bCs/>
    </w:rPr>
  </w:style>
  <w:style w:type="character" w:customStyle="1" w:styleId="Ttulo3Car">
    <w:name w:val="Título 3 Car"/>
    <w:basedOn w:val="Fuentedeprrafopredeter"/>
    <w:link w:val="Ttulo3"/>
    <w:uiPriority w:val="9"/>
    <w:semiHidden/>
    <w:rsid w:val="00265D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D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D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D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D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D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D6D"/>
    <w:rPr>
      <w:rFonts w:eastAsiaTheme="majorEastAsia" w:cstheme="majorBidi"/>
      <w:color w:val="272727" w:themeColor="text1" w:themeTint="D8"/>
    </w:rPr>
  </w:style>
  <w:style w:type="paragraph" w:styleId="Ttulo">
    <w:name w:val="Title"/>
    <w:basedOn w:val="Normal"/>
    <w:next w:val="Normal"/>
    <w:link w:val="TtuloCar"/>
    <w:uiPriority w:val="10"/>
    <w:qFormat/>
    <w:rsid w:val="00265D6D"/>
    <w:rPr>
      <w:b/>
      <w:bCs/>
    </w:rPr>
  </w:style>
  <w:style w:type="character" w:customStyle="1" w:styleId="TtuloCar">
    <w:name w:val="Título Car"/>
    <w:basedOn w:val="Fuentedeprrafopredeter"/>
    <w:link w:val="Ttulo"/>
    <w:uiPriority w:val="10"/>
    <w:rsid w:val="00265D6D"/>
    <w:rPr>
      <w:rFonts w:ascii="Exo" w:hAnsi="Exo"/>
      <w:b/>
      <w:bCs/>
    </w:rPr>
  </w:style>
  <w:style w:type="paragraph" w:styleId="Subttulo">
    <w:name w:val="Subtitle"/>
    <w:basedOn w:val="Normal"/>
    <w:next w:val="Normal"/>
    <w:link w:val="SubttuloCar"/>
    <w:uiPriority w:val="11"/>
    <w:qFormat/>
    <w:rsid w:val="00265D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5D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D6D"/>
    <w:pPr>
      <w:spacing w:before="160"/>
      <w:jc w:val="center"/>
    </w:pPr>
    <w:rPr>
      <w:i/>
      <w:iCs/>
      <w:color w:val="404040" w:themeColor="text1" w:themeTint="BF"/>
    </w:rPr>
  </w:style>
  <w:style w:type="character" w:customStyle="1" w:styleId="CitaCar">
    <w:name w:val="Cita Car"/>
    <w:basedOn w:val="Fuentedeprrafopredeter"/>
    <w:link w:val="Cita"/>
    <w:uiPriority w:val="29"/>
    <w:rsid w:val="00265D6D"/>
    <w:rPr>
      <w:i/>
      <w:iCs/>
      <w:color w:val="404040" w:themeColor="text1" w:themeTint="BF"/>
    </w:rPr>
  </w:style>
  <w:style w:type="paragraph" w:styleId="Prrafodelista">
    <w:name w:val="List Paragraph"/>
    <w:basedOn w:val="Normal"/>
    <w:uiPriority w:val="34"/>
    <w:qFormat/>
    <w:rsid w:val="00265D6D"/>
    <w:pPr>
      <w:ind w:left="720"/>
      <w:contextualSpacing/>
    </w:pPr>
  </w:style>
  <w:style w:type="character" w:styleId="nfasisintenso">
    <w:name w:val="Intense Emphasis"/>
    <w:basedOn w:val="Fuentedeprrafopredeter"/>
    <w:uiPriority w:val="21"/>
    <w:qFormat/>
    <w:rsid w:val="00265D6D"/>
    <w:rPr>
      <w:i/>
      <w:iCs/>
      <w:color w:val="0F4761" w:themeColor="accent1" w:themeShade="BF"/>
    </w:rPr>
  </w:style>
  <w:style w:type="paragraph" w:styleId="Citadestacada">
    <w:name w:val="Intense Quote"/>
    <w:basedOn w:val="Normal"/>
    <w:next w:val="Normal"/>
    <w:link w:val="CitadestacadaCar"/>
    <w:uiPriority w:val="30"/>
    <w:qFormat/>
    <w:rsid w:val="00265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5D6D"/>
    <w:rPr>
      <w:i/>
      <w:iCs/>
      <w:color w:val="0F4761" w:themeColor="accent1" w:themeShade="BF"/>
    </w:rPr>
  </w:style>
  <w:style w:type="character" w:styleId="Referenciaintensa">
    <w:name w:val="Intense Reference"/>
    <w:basedOn w:val="Fuentedeprrafopredeter"/>
    <w:uiPriority w:val="32"/>
    <w:qFormat/>
    <w:rsid w:val="00265D6D"/>
    <w:rPr>
      <w:b/>
      <w:bCs/>
      <w:smallCaps/>
      <w:color w:val="0F4761" w:themeColor="accent1" w:themeShade="BF"/>
      <w:spacing w:val="5"/>
    </w:rPr>
  </w:style>
  <w:style w:type="paragraph" w:styleId="Encabezado">
    <w:name w:val="header"/>
    <w:basedOn w:val="Normal"/>
    <w:link w:val="EncabezadoCar"/>
    <w:uiPriority w:val="99"/>
    <w:unhideWhenUsed/>
    <w:rsid w:val="00F4286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4286D"/>
    <w:rPr>
      <w:rFonts w:ascii="Exo" w:hAnsi="Exo"/>
    </w:rPr>
  </w:style>
  <w:style w:type="paragraph" w:styleId="Piedepgina">
    <w:name w:val="footer"/>
    <w:basedOn w:val="Normal"/>
    <w:link w:val="PiedepginaCar"/>
    <w:uiPriority w:val="99"/>
    <w:unhideWhenUsed/>
    <w:rsid w:val="00F4286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4286D"/>
    <w:rPr>
      <w:rFonts w:ascii="Exo" w:hAnsi="Exo"/>
    </w:rPr>
  </w:style>
  <w:style w:type="table" w:styleId="Tablaconcuadrcula">
    <w:name w:val="Table Grid"/>
    <w:basedOn w:val="Tablanormal"/>
    <w:uiPriority w:val="39"/>
    <w:rsid w:val="00F4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8688F"/>
    <w:rPr>
      <w:sz w:val="16"/>
      <w:szCs w:val="16"/>
    </w:rPr>
  </w:style>
  <w:style w:type="paragraph" w:styleId="Textocomentario">
    <w:name w:val="annotation text"/>
    <w:basedOn w:val="Normal"/>
    <w:link w:val="TextocomentarioCar"/>
    <w:uiPriority w:val="99"/>
    <w:unhideWhenUsed/>
    <w:rsid w:val="0098688F"/>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98688F"/>
    <w:rPr>
      <w:rFonts w:ascii="Exo" w:hAnsi="Exo"/>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D577-7A0E-48BC-B18F-1BAD47BC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4391</Words>
  <Characters>24152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22</cp:revision>
  <dcterms:created xsi:type="dcterms:W3CDTF">2025-05-18T05:05:00Z</dcterms:created>
  <dcterms:modified xsi:type="dcterms:W3CDTF">2025-05-21T19:00:00Z</dcterms:modified>
</cp:coreProperties>
</file>