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E286D" w14:textId="28F171B8" w:rsidR="00BC1574" w:rsidRPr="00DA632C" w:rsidRDefault="00DA632C" w:rsidP="00BC1574">
      <w:pPr>
        <w:rPr>
          <w:rFonts w:ascii="Arial" w:hAnsi="Arial" w:cs="Arial"/>
          <w:b/>
          <w:bCs/>
          <w:color w:val="000000" w:themeColor="text1"/>
        </w:rPr>
      </w:pPr>
      <w:r w:rsidRPr="00DA632C">
        <w:rPr>
          <w:rFonts w:ascii="Arial" w:hAnsi="Arial" w:cs="Arial"/>
          <w:b/>
          <w:bCs/>
          <w:color w:val="000000" w:themeColor="text1"/>
        </w:rPr>
        <w:t>ACUERDO QUE EMITE EL CONSEJO ESTATAL DEL INSTITUTO ELECTORAL Y DE PARTICIPACIÓN CIUDADANA DE TABASCO POR EL QUE APRUEBA EL PLAN DE PROMOCIÓN DE LA PARTICIPACIÓN CIUDADANA PARA EL EJERCICIO DEL DERECHO AL SUFRAGIO INFORMADO CON MOTIVO DEL PROCESO ELECTORAL LOCAL EXTRAORDINARIO PARA PERSONAS JUZGADORAS DEL PODER JUDICIAL DEL ESTADO DE TABASCO 2024-2025</w:t>
      </w:r>
    </w:p>
    <w:p w14:paraId="616D4902"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DA632C" w:rsidRPr="00DA632C" w14:paraId="570D0E43" w14:textId="77777777" w:rsidTr="000B0588">
        <w:trPr>
          <w:trHeight w:val="624"/>
          <w:jc w:val="center"/>
        </w:trPr>
        <w:tc>
          <w:tcPr>
            <w:tcW w:w="2042" w:type="pct"/>
            <w:shd w:val="clear" w:color="auto" w:fill="auto"/>
            <w:vAlign w:val="center"/>
          </w:tcPr>
          <w:p w14:paraId="4C428392" w14:textId="77777777" w:rsidR="00BC1574" w:rsidRPr="00DA632C" w:rsidRDefault="00BC1574" w:rsidP="000B0588">
            <w:pPr>
              <w:widowControl w:val="0"/>
              <w:spacing w:before="120" w:after="120" w:line="264" w:lineRule="auto"/>
              <w:ind w:left="57"/>
              <w:jc w:val="right"/>
              <w:rPr>
                <w:rFonts w:ascii="Arial" w:hAnsi="Arial" w:cs="Arial"/>
                <w:b/>
                <w:color w:val="000000" w:themeColor="text1"/>
                <w:sz w:val="20"/>
                <w:szCs w:val="20"/>
              </w:rPr>
            </w:pPr>
            <w:bookmarkStart w:id="0" w:name="_Hlk186652747"/>
            <w:r w:rsidRPr="00DA632C">
              <w:rPr>
                <w:rFonts w:ascii="Arial" w:hAnsi="Arial" w:cs="Arial"/>
                <w:b/>
                <w:color w:val="000000" w:themeColor="text1"/>
                <w:sz w:val="20"/>
                <w:szCs w:val="20"/>
              </w:rPr>
              <w:t>Consejo Estatal:</w:t>
            </w:r>
          </w:p>
        </w:tc>
        <w:tc>
          <w:tcPr>
            <w:tcW w:w="2958" w:type="pct"/>
            <w:shd w:val="clear" w:color="auto" w:fill="auto"/>
            <w:vAlign w:val="center"/>
          </w:tcPr>
          <w:p w14:paraId="2EBE569A" w14:textId="77777777" w:rsidR="00BC1574" w:rsidRPr="00DA632C" w:rsidRDefault="00BC1574" w:rsidP="000B0588">
            <w:pPr>
              <w:widowControl w:val="0"/>
              <w:spacing w:before="120" w:after="120" w:line="264" w:lineRule="auto"/>
              <w:ind w:left="57"/>
              <w:rPr>
                <w:rFonts w:ascii="Arial" w:hAnsi="Arial" w:cs="Arial"/>
                <w:color w:val="000000" w:themeColor="text1"/>
                <w:sz w:val="20"/>
                <w:szCs w:val="20"/>
              </w:rPr>
            </w:pPr>
            <w:r w:rsidRPr="00DA632C">
              <w:rPr>
                <w:rFonts w:ascii="Arial" w:hAnsi="Arial" w:cs="Arial"/>
                <w:color w:val="000000" w:themeColor="text1"/>
                <w:sz w:val="20"/>
                <w:szCs w:val="20"/>
              </w:rPr>
              <w:t>Consejo Estatal del Instituto Electoral y de Participación Ciudadana de Tabasco.</w:t>
            </w:r>
          </w:p>
        </w:tc>
      </w:tr>
      <w:tr w:rsidR="00DA632C" w:rsidRPr="00DA632C" w14:paraId="5D2CE205" w14:textId="77777777" w:rsidTr="000B0588">
        <w:trPr>
          <w:trHeight w:val="624"/>
          <w:jc w:val="center"/>
        </w:trPr>
        <w:tc>
          <w:tcPr>
            <w:tcW w:w="2042" w:type="pct"/>
            <w:shd w:val="clear" w:color="auto" w:fill="auto"/>
            <w:vAlign w:val="center"/>
          </w:tcPr>
          <w:p w14:paraId="00C7756A" w14:textId="77777777" w:rsidR="00BC1574" w:rsidRPr="00DA632C" w:rsidRDefault="00BC1574" w:rsidP="000B0588">
            <w:pPr>
              <w:widowControl w:val="0"/>
              <w:spacing w:before="120" w:after="120" w:line="264" w:lineRule="auto"/>
              <w:ind w:left="57"/>
              <w:jc w:val="right"/>
              <w:rPr>
                <w:rFonts w:ascii="Arial" w:hAnsi="Arial" w:cs="Arial"/>
                <w:b/>
                <w:color w:val="000000" w:themeColor="text1"/>
                <w:sz w:val="20"/>
                <w:szCs w:val="20"/>
              </w:rPr>
            </w:pPr>
            <w:r w:rsidRPr="00DA632C">
              <w:rPr>
                <w:rFonts w:ascii="Arial" w:hAnsi="Arial" w:cs="Arial"/>
                <w:b/>
                <w:color w:val="000000" w:themeColor="text1"/>
                <w:sz w:val="20"/>
                <w:szCs w:val="20"/>
              </w:rPr>
              <w:t>Constitución Federal:</w:t>
            </w:r>
          </w:p>
        </w:tc>
        <w:tc>
          <w:tcPr>
            <w:tcW w:w="2958" w:type="pct"/>
            <w:shd w:val="clear" w:color="auto" w:fill="auto"/>
            <w:vAlign w:val="center"/>
          </w:tcPr>
          <w:p w14:paraId="7EF020F2" w14:textId="77777777" w:rsidR="00BC1574" w:rsidRPr="00DA632C" w:rsidRDefault="00BC1574" w:rsidP="000B0588">
            <w:pPr>
              <w:widowControl w:val="0"/>
              <w:spacing w:before="120" w:after="120" w:line="264" w:lineRule="auto"/>
              <w:ind w:left="57"/>
              <w:rPr>
                <w:rFonts w:ascii="Arial" w:hAnsi="Arial" w:cs="Arial"/>
                <w:color w:val="000000" w:themeColor="text1"/>
                <w:sz w:val="20"/>
                <w:szCs w:val="20"/>
              </w:rPr>
            </w:pPr>
            <w:r w:rsidRPr="00DA632C">
              <w:rPr>
                <w:rFonts w:ascii="Arial" w:hAnsi="Arial" w:cs="Arial"/>
                <w:color w:val="000000" w:themeColor="text1"/>
                <w:sz w:val="20"/>
                <w:szCs w:val="20"/>
              </w:rPr>
              <w:t>Constitución Política de los Estados Unidos Mexicanos.</w:t>
            </w:r>
          </w:p>
        </w:tc>
      </w:tr>
      <w:tr w:rsidR="00DA632C" w:rsidRPr="00DA632C" w14:paraId="0F487791" w14:textId="77777777" w:rsidTr="000B0588">
        <w:trPr>
          <w:trHeight w:val="624"/>
          <w:jc w:val="center"/>
        </w:trPr>
        <w:tc>
          <w:tcPr>
            <w:tcW w:w="2042" w:type="pct"/>
            <w:shd w:val="clear" w:color="auto" w:fill="auto"/>
            <w:vAlign w:val="center"/>
          </w:tcPr>
          <w:p w14:paraId="1DE7B3CF" w14:textId="77777777" w:rsidR="00BC1574" w:rsidRPr="00DA632C" w:rsidRDefault="00BC1574" w:rsidP="000B0588">
            <w:pPr>
              <w:widowControl w:val="0"/>
              <w:spacing w:before="120" w:after="120" w:line="264" w:lineRule="auto"/>
              <w:ind w:left="57"/>
              <w:jc w:val="right"/>
              <w:rPr>
                <w:rFonts w:ascii="Arial" w:hAnsi="Arial" w:cs="Arial"/>
                <w:b/>
                <w:color w:val="000000" w:themeColor="text1"/>
                <w:sz w:val="20"/>
                <w:szCs w:val="20"/>
              </w:rPr>
            </w:pPr>
            <w:r w:rsidRPr="00DA632C">
              <w:rPr>
                <w:rFonts w:ascii="Arial" w:hAnsi="Arial" w:cs="Arial"/>
                <w:b/>
                <w:color w:val="000000" w:themeColor="text1"/>
                <w:sz w:val="20"/>
                <w:szCs w:val="20"/>
              </w:rPr>
              <w:t>Constitución Local:</w:t>
            </w:r>
          </w:p>
        </w:tc>
        <w:tc>
          <w:tcPr>
            <w:tcW w:w="2958" w:type="pct"/>
            <w:shd w:val="clear" w:color="auto" w:fill="auto"/>
            <w:vAlign w:val="center"/>
          </w:tcPr>
          <w:p w14:paraId="5CE9C571" w14:textId="77777777" w:rsidR="00BC1574" w:rsidRPr="00DA632C" w:rsidRDefault="00BC1574" w:rsidP="000B0588">
            <w:pPr>
              <w:widowControl w:val="0"/>
              <w:spacing w:before="120" w:after="120" w:line="264" w:lineRule="auto"/>
              <w:ind w:left="57"/>
              <w:rPr>
                <w:rFonts w:ascii="Arial" w:hAnsi="Arial" w:cs="Arial"/>
                <w:color w:val="000000" w:themeColor="text1"/>
                <w:sz w:val="20"/>
                <w:szCs w:val="20"/>
              </w:rPr>
            </w:pPr>
            <w:r w:rsidRPr="00DA632C">
              <w:rPr>
                <w:rFonts w:ascii="Arial" w:hAnsi="Arial" w:cs="Arial"/>
                <w:color w:val="000000" w:themeColor="text1"/>
                <w:sz w:val="20"/>
                <w:szCs w:val="20"/>
              </w:rPr>
              <w:t>Constitución Política del Estado Libre y Soberano de Tabasco.</w:t>
            </w:r>
          </w:p>
        </w:tc>
      </w:tr>
      <w:tr w:rsidR="00DA632C" w:rsidRPr="00DA632C" w14:paraId="09C92D5A" w14:textId="77777777" w:rsidTr="000B0588">
        <w:trPr>
          <w:trHeight w:val="624"/>
          <w:jc w:val="center"/>
        </w:trPr>
        <w:tc>
          <w:tcPr>
            <w:tcW w:w="2042" w:type="pct"/>
            <w:shd w:val="clear" w:color="auto" w:fill="auto"/>
            <w:vAlign w:val="center"/>
          </w:tcPr>
          <w:p w14:paraId="6A1F9E49" w14:textId="77777777" w:rsidR="00BC1574" w:rsidRPr="00DA632C" w:rsidRDefault="00BC1574" w:rsidP="000B0588">
            <w:pPr>
              <w:widowControl w:val="0"/>
              <w:spacing w:before="120" w:after="120" w:line="264" w:lineRule="auto"/>
              <w:ind w:left="57"/>
              <w:jc w:val="right"/>
              <w:rPr>
                <w:rFonts w:ascii="Arial" w:hAnsi="Arial" w:cs="Arial"/>
                <w:b/>
                <w:color w:val="000000" w:themeColor="text1"/>
                <w:sz w:val="20"/>
                <w:szCs w:val="20"/>
              </w:rPr>
            </w:pPr>
            <w:r w:rsidRPr="00DA632C">
              <w:rPr>
                <w:rFonts w:ascii="Arial" w:hAnsi="Arial" w:cs="Arial"/>
                <w:b/>
                <w:color w:val="000000" w:themeColor="text1"/>
                <w:sz w:val="20"/>
                <w:szCs w:val="20"/>
              </w:rPr>
              <w:t>INE:</w:t>
            </w:r>
          </w:p>
        </w:tc>
        <w:tc>
          <w:tcPr>
            <w:tcW w:w="2958" w:type="pct"/>
            <w:shd w:val="clear" w:color="auto" w:fill="auto"/>
            <w:vAlign w:val="center"/>
          </w:tcPr>
          <w:p w14:paraId="5A084197" w14:textId="77777777" w:rsidR="00BC1574" w:rsidRPr="00DA632C" w:rsidRDefault="00BC1574" w:rsidP="000B0588">
            <w:pPr>
              <w:widowControl w:val="0"/>
              <w:spacing w:before="120" w:after="120" w:line="264" w:lineRule="auto"/>
              <w:ind w:left="57"/>
              <w:rPr>
                <w:rFonts w:ascii="Arial" w:hAnsi="Arial" w:cs="Arial"/>
                <w:color w:val="000000" w:themeColor="text1"/>
                <w:sz w:val="20"/>
                <w:szCs w:val="20"/>
              </w:rPr>
            </w:pPr>
            <w:r w:rsidRPr="00DA632C">
              <w:rPr>
                <w:rFonts w:ascii="Arial" w:hAnsi="Arial" w:cs="Arial"/>
                <w:color w:val="000000" w:themeColor="text1"/>
                <w:sz w:val="20"/>
                <w:szCs w:val="20"/>
              </w:rPr>
              <w:t>Instituto Nacional Electoral.</w:t>
            </w:r>
          </w:p>
        </w:tc>
      </w:tr>
      <w:tr w:rsidR="00DA632C" w:rsidRPr="00DA632C" w14:paraId="3A7A4CAD" w14:textId="77777777" w:rsidTr="000B0588">
        <w:trPr>
          <w:trHeight w:val="624"/>
          <w:jc w:val="center"/>
        </w:trPr>
        <w:tc>
          <w:tcPr>
            <w:tcW w:w="2042" w:type="pct"/>
            <w:shd w:val="clear" w:color="auto" w:fill="auto"/>
            <w:vAlign w:val="center"/>
          </w:tcPr>
          <w:p w14:paraId="05DD93F7" w14:textId="77777777" w:rsidR="00BC1574" w:rsidRPr="00DA632C" w:rsidRDefault="00BC1574" w:rsidP="000B0588">
            <w:pPr>
              <w:widowControl w:val="0"/>
              <w:spacing w:before="120" w:after="120" w:line="264" w:lineRule="auto"/>
              <w:ind w:left="57"/>
              <w:jc w:val="right"/>
              <w:rPr>
                <w:rFonts w:ascii="Arial" w:hAnsi="Arial" w:cs="Arial"/>
                <w:b/>
                <w:color w:val="000000" w:themeColor="text1"/>
                <w:sz w:val="20"/>
                <w:szCs w:val="20"/>
              </w:rPr>
            </w:pPr>
            <w:r w:rsidRPr="00DA632C">
              <w:rPr>
                <w:rFonts w:ascii="Arial" w:hAnsi="Arial" w:cs="Arial"/>
                <w:b/>
                <w:color w:val="000000" w:themeColor="text1"/>
                <w:sz w:val="20"/>
                <w:szCs w:val="20"/>
              </w:rPr>
              <w:t>Instituto:</w:t>
            </w:r>
          </w:p>
        </w:tc>
        <w:tc>
          <w:tcPr>
            <w:tcW w:w="2958" w:type="pct"/>
            <w:shd w:val="clear" w:color="auto" w:fill="auto"/>
          </w:tcPr>
          <w:p w14:paraId="20821C09" w14:textId="77777777" w:rsidR="00BC1574" w:rsidRPr="00DA632C" w:rsidRDefault="00BC1574" w:rsidP="000B0588">
            <w:pPr>
              <w:widowControl w:val="0"/>
              <w:spacing w:before="120" w:after="120" w:line="264" w:lineRule="auto"/>
              <w:ind w:left="57"/>
              <w:rPr>
                <w:rFonts w:ascii="Arial" w:hAnsi="Arial" w:cs="Arial"/>
                <w:color w:val="000000" w:themeColor="text1"/>
                <w:sz w:val="20"/>
                <w:szCs w:val="20"/>
              </w:rPr>
            </w:pPr>
            <w:r w:rsidRPr="00DA632C">
              <w:rPr>
                <w:rFonts w:ascii="Arial" w:hAnsi="Arial" w:cs="Arial"/>
                <w:color w:val="000000" w:themeColor="text1"/>
                <w:sz w:val="20"/>
                <w:szCs w:val="20"/>
              </w:rPr>
              <w:t>Instituto Electoral y de Participación Ciudadana de Tabasco.</w:t>
            </w:r>
          </w:p>
        </w:tc>
      </w:tr>
      <w:tr w:rsidR="00DA632C" w:rsidRPr="00DA632C" w14:paraId="1D9DE545" w14:textId="77777777" w:rsidTr="000B0588">
        <w:trPr>
          <w:trHeight w:val="624"/>
          <w:jc w:val="center"/>
        </w:trPr>
        <w:tc>
          <w:tcPr>
            <w:tcW w:w="2042" w:type="pct"/>
            <w:shd w:val="clear" w:color="auto" w:fill="auto"/>
            <w:vAlign w:val="center"/>
          </w:tcPr>
          <w:p w14:paraId="00DC66A9" w14:textId="77777777" w:rsidR="00BC1574" w:rsidRPr="00DA632C" w:rsidRDefault="00BC1574" w:rsidP="000B0588">
            <w:pPr>
              <w:widowControl w:val="0"/>
              <w:spacing w:before="120" w:after="120" w:line="264" w:lineRule="auto"/>
              <w:ind w:left="57"/>
              <w:jc w:val="right"/>
              <w:rPr>
                <w:rFonts w:ascii="Arial" w:hAnsi="Arial" w:cs="Arial"/>
                <w:b/>
                <w:color w:val="000000" w:themeColor="text1"/>
                <w:sz w:val="20"/>
                <w:szCs w:val="20"/>
              </w:rPr>
            </w:pPr>
            <w:r w:rsidRPr="00DA632C">
              <w:rPr>
                <w:rFonts w:ascii="Arial" w:hAnsi="Arial" w:cs="Arial"/>
                <w:b/>
                <w:color w:val="000000" w:themeColor="text1"/>
                <w:sz w:val="20"/>
                <w:szCs w:val="20"/>
              </w:rPr>
              <w:t>Ley Electoral:</w:t>
            </w:r>
          </w:p>
        </w:tc>
        <w:tc>
          <w:tcPr>
            <w:tcW w:w="2958" w:type="pct"/>
            <w:shd w:val="clear" w:color="auto" w:fill="auto"/>
            <w:vAlign w:val="center"/>
          </w:tcPr>
          <w:p w14:paraId="225B24C2" w14:textId="77777777" w:rsidR="00BC1574" w:rsidRPr="00DA632C" w:rsidRDefault="00BC1574" w:rsidP="000B0588">
            <w:pPr>
              <w:widowControl w:val="0"/>
              <w:spacing w:before="120" w:after="120" w:line="264" w:lineRule="auto"/>
              <w:ind w:left="57"/>
              <w:rPr>
                <w:rFonts w:ascii="Arial" w:hAnsi="Arial" w:cs="Arial"/>
                <w:color w:val="000000" w:themeColor="text1"/>
                <w:sz w:val="20"/>
                <w:szCs w:val="20"/>
              </w:rPr>
            </w:pPr>
            <w:r w:rsidRPr="00DA632C">
              <w:rPr>
                <w:rFonts w:ascii="Arial" w:hAnsi="Arial" w:cs="Arial"/>
                <w:color w:val="000000" w:themeColor="text1"/>
                <w:sz w:val="20"/>
                <w:szCs w:val="20"/>
              </w:rPr>
              <w:t>Ley Electoral y de Partidos Políticos del Estado de Tabasco.</w:t>
            </w:r>
          </w:p>
        </w:tc>
      </w:tr>
      <w:tr w:rsidR="00DA632C" w:rsidRPr="00DA632C" w14:paraId="61E0EA29" w14:textId="77777777" w:rsidTr="000B0588">
        <w:trPr>
          <w:trHeight w:val="624"/>
          <w:jc w:val="center"/>
        </w:trPr>
        <w:tc>
          <w:tcPr>
            <w:tcW w:w="2042" w:type="pct"/>
            <w:shd w:val="clear" w:color="auto" w:fill="auto"/>
            <w:vAlign w:val="center"/>
          </w:tcPr>
          <w:p w14:paraId="4D714F49" w14:textId="77777777" w:rsidR="00BC1574" w:rsidRPr="00DA632C" w:rsidRDefault="00BC1574" w:rsidP="000B0588">
            <w:pPr>
              <w:widowControl w:val="0"/>
              <w:spacing w:before="120" w:after="120" w:line="264" w:lineRule="auto"/>
              <w:ind w:left="57"/>
              <w:jc w:val="right"/>
              <w:rPr>
                <w:rFonts w:ascii="Arial" w:hAnsi="Arial" w:cs="Arial"/>
                <w:b/>
                <w:color w:val="000000" w:themeColor="text1"/>
                <w:sz w:val="20"/>
                <w:szCs w:val="20"/>
              </w:rPr>
            </w:pPr>
            <w:r w:rsidRPr="00DA632C">
              <w:rPr>
                <w:rFonts w:ascii="Arial" w:hAnsi="Arial" w:cs="Arial"/>
                <w:b/>
                <w:color w:val="000000" w:themeColor="text1"/>
                <w:sz w:val="20"/>
                <w:szCs w:val="20"/>
              </w:rPr>
              <w:t>Ley General:</w:t>
            </w:r>
          </w:p>
        </w:tc>
        <w:tc>
          <w:tcPr>
            <w:tcW w:w="2958" w:type="pct"/>
            <w:shd w:val="clear" w:color="auto" w:fill="auto"/>
            <w:vAlign w:val="center"/>
          </w:tcPr>
          <w:p w14:paraId="0EFB8318" w14:textId="77777777" w:rsidR="00BC1574" w:rsidRPr="00DA632C" w:rsidRDefault="00BC1574" w:rsidP="000B0588">
            <w:pPr>
              <w:widowControl w:val="0"/>
              <w:spacing w:before="120" w:after="120" w:line="264" w:lineRule="auto"/>
              <w:ind w:left="57"/>
              <w:rPr>
                <w:rFonts w:ascii="Arial" w:hAnsi="Arial" w:cs="Arial"/>
                <w:color w:val="000000" w:themeColor="text1"/>
                <w:sz w:val="20"/>
                <w:szCs w:val="20"/>
              </w:rPr>
            </w:pPr>
            <w:r w:rsidRPr="00DA632C">
              <w:rPr>
                <w:rFonts w:ascii="Arial" w:hAnsi="Arial" w:cs="Arial"/>
                <w:color w:val="000000" w:themeColor="text1"/>
                <w:sz w:val="20"/>
                <w:szCs w:val="20"/>
              </w:rPr>
              <w:t>Ley General de Instituciones y Procedimientos Electorales.</w:t>
            </w:r>
          </w:p>
        </w:tc>
      </w:tr>
      <w:tr w:rsidR="00DA632C" w:rsidRPr="00DA632C" w14:paraId="3DFFDE6F" w14:textId="77777777" w:rsidTr="000B0588">
        <w:trPr>
          <w:trHeight w:val="624"/>
          <w:jc w:val="center"/>
        </w:trPr>
        <w:tc>
          <w:tcPr>
            <w:tcW w:w="2042" w:type="pct"/>
            <w:shd w:val="clear" w:color="auto" w:fill="auto"/>
            <w:vAlign w:val="center"/>
          </w:tcPr>
          <w:p w14:paraId="0C841AD0" w14:textId="77777777" w:rsidR="00BC1574" w:rsidRPr="00DA632C" w:rsidRDefault="00BC1574" w:rsidP="000B0588">
            <w:pPr>
              <w:widowControl w:val="0"/>
              <w:spacing w:before="120" w:after="120" w:line="264" w:lineRule="auto"/>
              <w:ind w:left="57"/>
              <w:jc w:val="right"/>
              <w:rPr>
                <w:rFonts w:ascii="Arial" w:hAnsi="Arial" w:cs="Arial"/>
                <w:b/>
                <w:color w:val="000000" w:themeColor="text1"/>
                <w:sz w:val="20"/>
                <w:szCs w:val="20"/>
              </w:rPr>
            </w:pPr>
            <w:r w:rsidRPr="00DA632C">
              <w:rPr>
                <w:rFonts w:ascii="Arial" w:hAnsi="Arial" w:cs="Arial"/>
                <w:b/>
                <w:color w:val="000000" w:themeColor="text1"/>
                <w:sz w:val="20"/>
                <w:szCs w:val="20"/>
              </w:rPr>
              <w:t>Organismo electoral:</w:t>
            </w:r>
          </w:p>
        </w:tc>
        <w:tc>
          <w:tcPr>
            <w:tcW w:w="2958" w:type="pct"/>
            <w:shd w:val="clear" w:color="auto" w:fill="auto"/>
            <w:vAlign w:val="center"/>
          </w:tcPr>
          <w:p w14:paraId="430550F7" w14:textId="77777777" w:rsidR="00BC1574" w:rsidRPr="00DA632C" w:rsidRDefault="00BC1574" w:rsidP="000B0588">
            <w:pPr>
              <w:widowControl w:val="0"/>
              <w:spacing w:before="120" w:after="120" w:line="264" w:lineRule="auto"/>
              <w:ind w:left="57"/>
              <w:rPr>
                <w:rFonts w:ascii="Arial" w:hAnsi="Arial" w:cs="Arial"/>
                <w:color w:val="000000" w:themeColor="text1"/>
                <w:sz w:val="20"/>
                <w:szCs w:val="20"/>
              </w:rPr>
            </w:pPr>
            <w:r w:rsidRPr="00DA632C">
              <w:rPr>
                <w:rFonts w:ascii="Arial" w:hAnsi="Arial" w:cs="Arial"/>
                <w:color w:val="000000" w:themeColor="text1"/>
                <w:sz w:val="20"/>
                <w:szCs w:val="20"/>
              </w:rPr>
              <w:t xml:space="preserve">Organismo(s) público(s) local(es) electoral(es). </w:t>
            </w:r>
          </w:p>
        </w:tc>
      </w:tr>
      <w:tr w:rsidR="00DA632C" w:rsidRPr="00DA632C" w14:paraId="0AE5A67F" w14:textId="77777777" w:rsidTr="000B0588">
        <w:trPr>
          <w:trHeight w:val="624"/>
          <w:jc w:val="center"/>
        </w:trPr>
        <w:tc>
          <w:tcPr>
            <w:tcW w:w="2042" w:type="pct"/>
            <w:shd w:val="clear" w:color="auto" w:fill="auto"/>
            <w:vAlign w:val="center"/>
          </w:tcPr>
          <w:p w14:paraId="1C0525D6" w14:textId="77777777" w:rsidR="00BC1574" w:rsidRPr="00DA632C" w:rsidRDefault="00BC1574" w:rsidP="000B0588">
            <w:pPr>
              <w:widowControl w:val="0"/>
              <w:spacing w:before="120" w:after="120" w:line="264" w:lineRule="auto"/>
              <w:ind w:left="57"/>
              <w:jc w:val="right"/>
              <w:rPr>
                <w:rFonts w:ascii="Arial" w:hAnsi="Arial" w:cs="Arial"/>
                <w:b/>
                <w:color w:val="000000" w:themeColor="text1"/>
                <w:sz w:val="20"/>
                <w:szCs w:val="20"/>
              </w:rPr>
            </w:pPr>
            <w:r w:rsidRPr="00DA632C">
              <w:rPr>
                <w:rFonts w:ascii="Arial" w:hAnsi="Arial" w:cs="Arial"/>
                <w:b/>
                <w:color w:val="000000" w:themeColor="text1"/>
                <w:sz w:val="20"/>
                <w:szCs w:val="20"/>
              </w:rPr>
              <w:t>Proceso Electoral Extraordinario:</w:t>
            </w:r>
          </w:p>
        </w:tc>
        <w:tc>
          <w:tcPr>
            <w:tcW w:w="2958" w:type="pct"/>
            <w:shd w:val="clear" w:color="auto" w:fill="auto"/>
            <w:vAlign w:val="center"/>
          </w:tcPr>
          <w:p w14:paraId="0C895099" w14:textId="77777777" w:rsidR="00BC1574" w:rsidRPr="00DA632C" w:rsidRDefault="00BC1574" w:rsidP="000B0588">
            <w:pPr>
              <w:widowControl w:val="0"/>
              <w:spacing w:before="120" w:after="120" w:line="264" w:lineRule="auto"/>
              <w:ind w:left="57"/>
              <w:rPr>
                <w:rFonts w:ascii="Arial" w:hAnsi="Arial" w:cs="Arial"/>
                <w:color w:val="000000" w:themeColor="text1"/>
                <w:sz w:val="20"/>
                <w:szCs w:val="20"/>
              </w:rPr>
            </w:pPr>
            <w:r w:rsidRPr="00DA632C">
              <w:rPr>
                <w:rFonts w:ascii="Arial" w:hAnsi="Arial" w:cs="Arial"/>
                <w:color w:val="000000" w:themeColor="text1"/>
                <w:sz w:val="20"/>
                <w:szCs w:val="20"/>
              </w:rPr>
              <w:t>Proceso Electoral Local Extraordinario para personas juzgadoras del Poder Judicial del Estado de Tabasco 2024 – 2025.</w:t>
            </w:r>
          </w:p>
        </w:tc>
      </w:tr>
      <w:tr w:rsidR="00DA632C" w:rsidRPr="00DA632C" w14:paraId="027AACF0" w14:textId="77777777" w:rsidTr="000B0588">
        <w:trPr>
          <w:trHeight w:val="624"/>
          <w:jc w:val="center"/>
        </w:trPr>
        <w:tc>
          <w:tcPr>
            <w:tcW w:w="2042" w:type="pct"/>
            <w:shd w:val="clear" w:color="auto" w:fill="auto"/>
            <w:vAlign w:val="center"/>
          </w:tcPr>
          <w:p w14:paraId="5AE045EA" w14:textId="77777777" w:rsidR="00BC1574" w:rsidRPr="00DA632C" w:rsidRDefault="00BC1574" w:rsidP="000B0588">
            <w:pPr>
              <w:widowControl w:val="0"/>
              <w:spacing w:before="120" w:after="120" w:line="264" w:lineRule="auto"/>
              <w:ind w:left="57"/>
              <w:jc w:val="right"/>
              <w:rPr>
                <w:rFonts w:ascii="Arial" w:hAnsi="Arial" w:cs="Arial"/>
                <w:b/>
                <w:color w:val="000000" w:themeColor="text1"/>
                <w:sz w:val="20"/>
                <w:szCs w:val="20"/>
              </w:rPr>
            </w:pPr>
            <w:r w:rsidRPr="00DA632C">
              <w:rPr>
                <w:rFonts w:ascii="Arial" w:hAnsi="Arial" w:cs="Arial"/>
                <w:b/>
                <w:color w:val="000000" w:themeColor="text1"/>
                <w:sz w:val="20"/>
                <w:szCs w:val="20"/>
              </w:rPr>
              <w:t>Secretaría Ejecutiva:</w:t>
            </w:r>
          </w:p>
        </w:tc>
        <w:tc>
          <w:tcPr>
            <w:tcW w:w="2958" w:type="pct"/>
            <w:shd w:val="clear" w:color="auto" w:fill="auto"/>
            <w:vAlign w:val="center"/>
          </w:tcPr>
          <w:p w14:paraId="68E70A15" w14:textId="77777777" w:rsidR="00BC1574" w:rsidRPr="00DA632C" w:rsidRDefault="00BC1574" w:rsidP="000B0588">
            <w:pPr>
              <w:widowControl w:val="0"/>
              <w:spacing w:before="120" w:after="120" w:line="264" w:lineRule="auto"/>
              <w:ind w:left="57"/>
              <w:rPr>
                <w:rFonts w:ascii="Arial" w:hAnsi="Arial" w:cs="Arial"/>
                <w:color w:val="000000" w:themeColor="text1"/>
                <w:sz w:val="20"/>
                <w:szCs w:val="20"/>
              </w:rPr>
            </w:pPr>
            <w:r w:rsidRPr="00DA632C">
              <w:rPr>
                <w:rFonts w:ascii="Arial" w:hAnsi="Arial" w:cs="Arial"/>
                <w:color w:val="000000" w:themeColor="text1"/>
                <w:sz w:val="20"/>
                <w:szCs w:val="20"/>
              </w:rPr>
              <w:t>Secretaría Ejecutiva del Instituto Electoral y de Participación Ciudadana de Tabasco.</w:t>
            </w:r>
          </w:p>
        </w:tc>
      </w:tr>
    </w:tbl>
    <w:bookmarkEnd w:id="0"/>
    <w:p w14:paraId="3749167B" w14:textId="77777777" w:rsidR="00BC1574" w:rsidRPr="00DA632C" w:rsidRDefault="00BC1574" w:rsidP="00184C77">
      <w:pPr>
        <w:pStyle w:val="Ttulo1"/>
        <w:rPr>
          <w:rFonts w:ascii="Arial" w:hAnsi="Arial" w:cs="Arial"/>
          <w:color w:val="000000" w:themeColor="text1"/>
          <w:sz w:val="24"/>
          <w:szCs w:val="24"/>
        </w:rPr>
      </w:pPr>
      <w:r w:rsidRPr="00DA632C">
        <w:rPr>
          <w:rFonts w:ascii="Arial" w:hAnsi="Arial" w:cs="Arial"/>
          <w:color w:val="000000" w:themeColor="text1"/>
          <w:sz w:val="24"/>
          <w:szCs w:val="24"/>
        </w:rPr>
        <w:lastRenderedPageBreak/>
        <w:t>Antecedentes</w:t>
      </w:r>
    </w:p>
    <w:p w14:paraId="09F0355F" w14:textId="77777777" w:rsidR="00BC1574" w:rsidRPr="00DA632C" w:rsidRDefault="00BC1574" w:rsidP="00BC1574">
      <w:pPr>
        <w:pStyle w:val="Ttulo2"/>
        <w:rPr>
          <w:rFonts w:ascii="Arial" w:hAnsi="Arial" w:cs="Arial"/>
          <w:color w:val="000000" w:themeColor="text1"/>
          <w:sz w:val="22"/>
          <w:szCs w:val="22"/>
        </w:rPr>
      </w:pPr>
      <w:r w:rsidRPr="00DA632C">
        <w:rPr>
          <w:rFonts w:ascii="Arial" w:hAnsi="Arial" w:cs="Arial"/>
          <w:color w:val="000000" w:themeColor="text1"/>
          <w:sz w:val="22"/>
          <w:szCs w:val="22"/>
        </w:rPr>
        <w:t>Fines del Instituto</w:t>
      </w:r>
    </w:p>
    <w:p w14:paraId="5F3C28F8"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21FC996C"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72968A37"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144152D9" w14:textId="77777777" w:rsidR="00BC1574" w:rsidRPr="00DA632C" w:rsidRDefault="00BC1574" w:rsidP="00BC1574">
      <w:pPr>
        <w:pStyle w:val="Ttulo2"/>
        <w:rPr>
          <w:rFonts w:ascii="Arial" w:hAnsi="Arial" w:cs="Arial"/>
          <w:color w:val="000000" w:themeColor="text1"/>
          <w:sz w:val="22"/>
          <w:szCs w:val="22"/>
        </w:rPr>
      </w:pPr>
      <w:r w:rsidRPr="00DA632C">
        <w:rPr>
          <w:rFonts w:ascii="Arial" w:hAnsi="Arial" w:cs="Arial"/>
          <w:color w:val="000000" w:themeColor="text1"/>
          <w:sz w:val="22"/>
          <w:szCs w:val="22"/>
        </w:rPr>
        <w:t>Integración del órgano superior de dirección</w:t>
      </w:r>
    </w:p>
    <w:p w14:paraId="291413D8"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024A041D"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 xml:space="preserve">Dicho órgano electoral, de conformidad con los artículos 99 de la Ley General y 107 numeral 1 de la Ley Electoral, se integrará por una Consejera o un Consejero Presidente y seis consejeras y consejeros electorales, con voz y voto; la Secretaria o el Secretario Ejecutivo </w:t>
      </w:r>
      <w:r w:rsidRPr="00DA632C">
        <w:rPr>
          <w:rFonts w:ascii="Arial" w:hAnsi="Arial" w:cs="Arial"/>
          <w:color w:val="000000" w:themeColor="text1"/>
          <w:sz w:val="22"/>
          <w:szCs w:val="22"/>
        </w:rPr>
        <w:lastRenderedPageBreak/>
        <w:t>y una o un representante por cada partido político con registro nacional o estatal, quienes concurrirán a las sesiones sólo con derecho a voz.</w:t>
      </w:r>
    </w:p>
    <w:p w14:paraId="6C8C7A50"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643D4E97" w14:textId="77777777" w:rsidR="00BC1574" w:rsidRPr="00DA632C" w:rsidRDefault="00BC1574" w:rsidP="00BC1574">
      <w:pPr>
        <w:pStyle w:val="Ttulo2"/>
        <w:rPr>
          <w:rFonts w:ascii="Arial" w:hAnsi="Arial" w:cs="Arial"/>
          <w:color w:val="000000" w:themeColor="text1"/>
          <w:sz w:val="22"/>
          <w:szCs w:val="22"/>
        </w:rPr>
      </w:pPr>
      <w:r w:rsidRPr="00DA632C">
        <w:rPr>
          <w:rFonts w:ascii="Arial" w:hAnsi="Arial" w:cs="Arial"/>
          <w:color w:val="000000" w:themeColor="text1"/>
          <w:sz w:val="22"/>
          <w:szCs w:val="22"/>
        </w:rPr>
        <w:t>Órganos centrales del Instituto</w:t>
      </w:r>
    </w:p>
    <w:p w14:paraId="1EFCED9F"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De acuerdo con el artículo 105 numeral 1 de la Ley Electoral los órganos centrales del Instituto son los siguientes:</w:t>
      </w:r>
    </w:p>
    <w:p w14:paraId="68349C6A" w14:textId="77777777" w:rsidR="00BC1574" w:rsidRPr="00DA632C" w:rsidRDefault="00BC1574" w:rsidP="00BC1574">
      <w:pPr>
        <w:pStyle w:val="Prrafodelista"/>
        <w:widowControl w:val="0"/>
        <w:numPr>
          <w:ilvl w:val="0"/>
          <w:numId w:val="1"/>
        </w:numPr>
        <w:spacing w:line="264" w:lineRule="auto"/>
        <w:ind w:left="703" w:hanging="703"/>
        <w:rPr>
          <w:rFonts w:ascii="Arial" w:hAnsi="Arial" w:cs="Arial"/>
          <w:color w:val="000000" w:themeColor="text1"/>
          <w:sz w:val="22"/>
          <w:szCs w:val="22"/>
        </w:rPr>
      </w:pPr>
      <w:r w:rsidRPr="00DA632C">
        <w:rPr>
          <w:rFonts w:ascii="Arial" w:hAnsi="Arial" w:cs="Arial"/>
          <w:color w:val="000000" w:themeColor="text1"/>
          <w:sz w:val="22"/>
          <w:szCs w:val="22"/>
        </w:rPr>
        <w:t>Consejo Estatal;</w:t>
      </w:r>
    </w:p>
    <w:p w14:paraId="45617C6D" w14:textId="77777777" w:rsidR="00BC1574" w:rsidRPr="00DA632C" w:rsidRDefault="00BC1574" w:rsidP="00BC1574">
      <w:pPr>
        <w:pStyle w:val="Prrafodelista"/>
        <w:widowControl w:val="0"/>
        <w:numPr>
          <w:ilvl w:val="0"/>
          <w:numId w:val="1"/>
        </w:numPr>
        <w:spacing w:line="264" w:lineRule="auto"/>
        <w:ind w:left="703" w:hanging="703"/>
        <w:rPr>
          <w:rFonts w:ascii="Arial" w:hAnsi="Arial" w:cs="Arial"/>
          <w:color w:val="000000" w:themeColor="text1"/>
          <w:sz w:val="22"/>
          <w:szCs w:val="22"/>
        </w:rPr>
      </w:pPr>
      <w:r w:rsidRPr="00DA632C">
        <w:rPr>
          <w:rFonts w:ascii="Arial" w:hAnsi="Arial" w:cs="Arial"/>
          <w:color w:val="000000" w:themeColor="text1"/>
          <w:sz w:val="22"/>
          <w:szCs w:val="22"/>
        </w:rPr>
        <w:t>Presidencia del Consejo Estatal;</w:t>
      </w:r>
    </w:p>
    <w:p w14:paraId="47EF4D58" w14:textId="77777777" w:rsidR="00BC1574" w:rsidRPr="00DA632C" w:rsidRDefault="00BC1574" w:rsidP="00BC1574">
      <w:pPr>
        <w:pStyle w:val="Prrafodelista"/>
        <w:widowControl w:val="0"/>
        <w:numPr>
          <w:ilvl w:val="0"/>
          <w:numId w:val="1"/>
        </w:numPr>
        <w:spacing w:line="264" w:lineRule="auto"/>
        <w:ind w:left="703" w:hanging="703"/>
        <w:rPr>
          <w:rFonts w:ascii="Arial" w:hAnsi="Arial" w:cs="Arial"/>
          <w:color w:val="000000" w:themeColor="text1"/>
          <w:sz w:val="22"/>
          <w:szCs w:val="22"/>
        </w:rPr>
      </w:pPr>
      <w:r w:rsidRPr="00DA632C">
        <w:rPr>
          <w:rFonts w:ascii="Arial" w:hAnsi="Arial" w:cs="Arial"/>
          <w:color w:val="000000" w:themeColor="text1"/>
          <w:sz w:val="22"/>
          <w:szCs w:val="22"/>
        </w:rPr>
        <w:t>Junta Estatal Ejecutiva;</w:t>
      </w:r>
    </w:p>
    <w:p w14:paraId="42770A73" w14:textId="77777777" w:rsidR="00BC1574" w:rsidRPr="00DA632C" w:rsidRDefault="00BC1574" w:rsidP="00BC1574">
      <w:pPr>
        <w:pStyle w:val="Prrafodelista"/>
        <w:widowControl w:val="0"/>
        <w:numPr>
          <w:ilvl w:val="0"/>
          <w:numId w:val="1"/>
        </w:numPr>
        <w:spacing w:line="264" w:lineRule="auto"/>
        <w:ind w:left="703" w:hanging="703"/>
        <w:rPr>
          <w:rFonts w:ascii="Arial" w:hAnsi="Arial" w:cs="Arial"/>
          <w:color w:val="000000" w:themeColor="text1"/>
          <w:sz w:val="22"/>
          <w:szCs w:val="22"/>
        </w:rPr>
      </w:pPr>
      <w:r w:rsidRPr="00DA632C">
        <w:rPr>
          <w:rFonts w:ascii="Arial" w:hAnsi="Arial" w:cs="Arial"/>
          <w:color w:val="000000" w:themeColor="text1"/>
          <w:sz w:val="22"/>
          <w:szCs w:val="22"/>
        </w:rPr>
        <w:t>Secretaría Ejecutiva, y</w:t>
      </w:r>
    </w:p>
    <w:p w14:paraId="6BD8C3AD" w14:textId="77777777" w:rsidR="00BC1574" w:rsidRPr="00DA632C" w:rsidRDefault="00BC1574" w:rsidP="00BC1574">
      <w:pPr>
        <w:pStyle w:val="Prrafodelista"/>
        <w:widowControl w:val="0"/>
        <w:numPr>
          <w:ilvl w:val="0"/>
          <w:numId w:val="1"/>
        </w:numPr>
        <w:spacing w:line="264" w:lineRule="auto"/>
        <w:ind w:left="703" w:hanging="703"/>
        <w:rPr>
          <w:rFonts w:ascii="Arial" w:hAnsi="Arial" w:cs="Arial"/>
          <w:color w:val="000000" w:themeColor="text1"/>
          <w:sz w:val="22"/>
          <w:szCs w:val="22"/>
        </w:rPr>
      </w:pPr>
      <w:r w:rsidRPr="00DA632C">
        <w:rPr>
          <w:rFonts w:ascii="Arial" w:hAnsi="Arial" w:cs="Arial"/>
          <w:color w:val="000000" w:themeColor="text1"/>
          <w:sz w:val="22"/>
          <w:szCs w:val="22"/>
        </w:rPr>
        <w:t>Órgano Técnico de Fiscalización.</w:t>
      </w:r>
    </w:p>
    <w:p w14:paraId="75D7C53F" w14:textId="77777777" w:rsidR="00BC1574" w:rsidRPr="00DA632C" w:rsidRDefault="00BC1574" w:rsidP="00BC1574">
      <w:pPr>
        <w:pStyle w:val="Ttulo2"/>
        <w:rPr>
          <w:rFonts w:ascii="Arial" w:hAnsi="Arial" w:cs="Arial"/>
          <w:color w:val="000000" w:themeColor="text1"/>
          <w:sz w:val="22"/>
          <w:szCs w:val="22"/>
        </w:rPr>
      </w:pPr>
      <w:r w:rsidRPr="00DA632C">
        <w:rPr>
          <w:rFonts w:ascii="Arial" w:hAnsi="Arial" w:cs="Arial"/>
          <w:color w:val="000000" w:themeColor="text1"/>
          <w:sz w:val="22"/>
          <w:szCs w:val="22"/>
        </w:rPr>
        <w:t xml:space="preserve">Reforma Constitucional </w:t>
      </w:r>
    </w:p>
    <w:p w14:paraId="71B6F666"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13179248"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0A5384F0" w14:textId="77777777" w:rsidR="00BC1574" w:rsidRPr="00DA632C" w:rsidRDefault="00BC1574" w:rsidP="00BC1574">
      <w:pPr>
        <w:pStyle w:val="Ttulo2"/>
        <w:rPr>
          <w:rFonts w:ascii="Arial" w:hAnsi="Arial" w:cs="Arial"/>
          <w:color w:val="000000" w:themeColor="text1"/>
          <w:sz w:val="22"/>
          <w:szCs w:val="22"/>
        </w:rPr>
      </w:pPr>
      <w:r w:rsidRPr="00DA632C">
        <w:rPr>
          <w:rFonts w:ascii="Arial" w:hAnsi="Arial" w:cs="Arial"/>
          <w:color w:val="000000" w:themeColor="text1"/>
          <w:sz w:val="22"/>
          <w:szCs w:val="22"/>
        </w:rPr>
        <w:lastRenderedPageBreak/>
        <w:t>Inicio del Proceso Electoral Extraordinario</w:t>
      </w:r>
    </w:p>
    <w:p w14:paraId="411FA82E"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7683C101" w14:textId="77777777" w:rsidR="00BC1574" w:rsidRPr="00DA632C" w:rsidRDefault="00BC1574" w:rsidP="00BC1574">
      <w:pPr>
        <w:pStyle w:val="Ttulo2"/>
        <w:rPr>
          <w:rFonts w:ascii="Arial" w:hAnsi="Arial" w:cs="Arial"/>
          <w:color w:val="000000" w:themeColor="text1"/>
          <w:sz w:val="22"/>
          <w:szCs w:val="22"/>
        </w:rPr>
      </w:pPr>
      <w:r w:rsidRPr="00DA632C">
        <w:rPr>
          <w:rFonts w:ascii="Arial" w:hAnsi="Arial" w:cs="Arial"/>
          <w:color w:val="000000" w:themeColor="text1"/>
          <w:sz w:val="22"/>
          <w:szCs w:val="22"/>
        </w:rPr>
        <w:t>Reforma a la Ley Electoral</w:t>
      </w:r>
    </w:p>
    <w:p w14:paraId="37902A77"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359C2E10" w14:textId="77777777" w:rsidR="00BC1574" w:rsidRPr="00DA632C" w:rsidRDefault="00BC1574" w:rsidP="00BC1574">
      <w:pPr>
        <w:pStyle w:val="Ttulo2"/>
        <w:rPr>
          <w:rFonts w:ascii="Arial" w:hAnsi="Arial" w:cs="Arial"/>
          <w:color w:val="000000" w:themeColor="text1"/>
          <w:sz w:val="22"/>
          <w:szCs w:val="22"/>
        </w:rPr>
      </w:pPr>
      <w:r w:rsidRPr="00DA632C">
        <w:rPr>
          <w:rFonts w:ascii="Arial" w:hAnsi="Arial" w:cs="Arial"/>
          <w:color w:val="000000" w:themeColor="text1"/>
          <w:sz w:val="22"/>
          <w:szCs w:val="22"/>
        </w:rPr>
        <w:t>Jornada electoral</w:t>
      </w:r>
    </w:p>
    <w:p w14:paraId="439FE458"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73002105" w14:textId="77777777" w:rsidR="00BC1574" w:rsidRPr="00DA632C" w:rsidRDefault="00BC1574" w:rsidP="00BC1574">
      <w:pPr>
        <w:pStyle w:val="Ttulo1"/>
        <w:rPr>
          <w:rFonts w:ascii="Arial" w:hAnsi="Arial" w:cs="Arial"/>
          <w:color w:val="000000" w:themeColor="text1"/>
          <w:sz w:val="24"/>
          <w:szCs w:val="24"/>
        </w:rPr>
      </w:pPr>
      <w:r w:rsidRPr="00DA632C">
        <w:rPr>
          <w:rFonts w:ascii="Arial" w:hAnsi="Arial" w:cs="Arial"/>
          <w:color w:val="000000" w:themeColor="text1"/>
          <w:sz w:val="24"/>
          <w:szCs w:val="24"/>
        </w:rPr>
        <w:t>Considerando</w:t>
      </w:r>
    </w:p>
    <w:p w14:paraId="66FFB6CC" w14:textId="77777777" w:rsidR="00BC1574" w:rsidRPr="00DA632C" w:rsidRDefault="00BC1574" w:rsidP="00BC1574">
      <w:pPr>
        <w:pStyle w:val="Ttulo2"/>
        <w:rPr>
          <w:rFonts w:ascii="Arial" w:hAnsi="Arial" w:cs="Arial"/>
          <w:color w:val="000000" w:themeColor="text1"/>
          <w:sz w:val="22"/>
          <w:szCs w:val="22"/>
        </w:rPr>
      </w:pPr>
      <w:r w:rsidRPr="00DA632C">
        <w:rPr>
          <w:rFonts w:ascii="Arial" w:hAnsi="Arial" w:cs="Arial"/>
          <w:color w:val="000000" w:themeColor="text1"/>
          <w:sz w:val="22"/>
          <w:szCs w:val="22"/>
        </w:rPr>
        <w:t>Competencia del Consejo Estatal</w:t>
      </w:r>
    </w:p>
    <w:p w14:paraId="7B14A538"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Que, de conformidad con los artículos 115 numeral 1, fracción XL y 393 numeral 1, fracción II de la Ley Electoral, el Consejo Estatal es competente para organizar el proceso electivo de las personas juzgadoras, su jornada electoral y los cómputos de los resultados electorales, en los términos que determine la Ley General y la Ley Electoral; así como, para aprobar los lineamientos o acuerdos necesarios para llevar a cabo la organización, desarrollo y cómputo de la elección.</w:t>
      </w:r>
    </w:p>
    <w:p w14:paraId="621351DF"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lastRenderedPageBreak/>
        <w:t>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w:t>
      </w:r>
    </w:p>
    <w:p w14:paraId="28B8C12F" w14:textId="77777777" w:rsidR="00BC1574" w:rsidRPr="00DA632C" w:rsidRDefault="00BC1574" w:rsidP="00BC1574">
      <w:pPr>
        <w:pStyle w:val="Ttulo2"/>
        <w:rPr>
          <w:rFonts w:ascii="Arial" w:hAnsi="Arial" w:cs="Arial"/>
          <w:color w:val="000000" w:themeColor="text1"/>
          <w:sz w:val="22"/>
          <w:szCs w:val="22"/>
        </w:rPr>
      </w:pPr>
      <w:r w:rsidRPr="00DA632C">
        <w:rPr>
          <w:rFonts w:ascii="Arial" w:hAnsi="Arial" w:cs="Arial"/>
          <w:color w:val="000000" w:themeColor="text1"/>
          <w:sz w:val="22"/>
          <w:szCs w:val="22"/>
        </w:rPr>
        <w:t>Proceso electoral de las personas juzgadoras</w:t>
      </w:r>
    </w:p>
    <w:p w14:paraId="52D7E152"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Que, el artículo 386 numeral 1 de la Ley Electoral dispone que, el proceso electoral de las personas juzgadoras del Poder Judicial es el conjunto de actos ordenados por la Constitución Local y la Ley Electoral, realizado por las autoridades electorales, el Congreso del Estado, así como la ciudadanía, que tiene por objeto la renovación periódica de las personas juzgadoras que integran el Poder Judicial.</w:t>
      </w:r>
    </w:p>
    <w:p w14:paraId="3EEBD7F0" w14:textId="77777777" w:rsidR="00BC1574" w:rsidRPr="00DA632C" w:rsidRDefault="00BC1574" w:rsidP="00BC1574">
      <w:pPr>
        <w:pStyle w:val="Ttulo2"/>
        <w:rPr>
          <w:rFonts w:ascii="Arial" w:hAnsi="Arial" w:cs="Arial"/>
          <w:color w:val="000000" w:themeColor="text1"/>
          <w:sz w:val="22"/>
          <w:szCs w:val="22"/>
        </w:rPr>
      </w:pPr>
      <w:r w:rsidRPr="00DA632C">
        <w:rPr>
          <w:rFonts w:ascii="Arial" w:hAnsi="Arial" w:cs="Arial"/>
          <w:color w:val="000000" w:themeColor="text1"/>
          <w:sz w:val="22"/>
          <w:szCs w:val="22"/>
        </w:rPr>
        <w:t>Etapas del proceso electoral de las personas juzgadoras</w:t>
      </w:r>
    </w:p>
    <w:p w14:paraId="78C7E129"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Que, el artículo 387 numeral 1 de la Ley Electoral establece que, el proceso de elección de las personas juzgadoras del Poder Judicial comprende las siguientes etapas:</w:t>
      </w:r>
    </w:p>
    <w:p w14:paraId="2715CCF8" w14:textId="77777777" w:rsidR="00BC1574" w:rsidRPr="00DA632C" w:rsidRDefault="00BC1574" w:rsidP="00BC1574">
      <w:pPr>
        <w:pStyle w:val="Prrafodelista"/>
        <w:widowControl w:val="0"/>
        <w:numPr>
          <w:ilvl w:val="0"/>
          <w:numId w:val="2"/>
        </w:numPr>
        <w:spacing w:line="264" w:lineRule="auto"/>
        <w:ind w:left="703" w:hanging="703"/>
        <w:rPr>
          <w:rFonts w:ascii="Arial" w:hAnsi="Arial" w:cs="Arial"/>
          <w:color w:val="000000" w:themeColor="text1"/>
          <w:sz w:val="22"/>
          <w:szCs w:val="22"/>
        </w:rPr>
      </w:pPr>
      <w:r w:rsidRPr="00DA632C">
        <w:rPr>
          <w:rFonts w:ascii="Arial" w:hAnsi="Arial" w:cs="Arial"/>
          <w:color w:val="000000" w:themeColor="text1"/>
          <w:sz w:val="22"/>
          <w:szCs w:val="22"/>
        </w:rPr>
        <w:t>Preparación de la elección;</w:t>
      </w:r>
    </w:p>
    <w:p w14:paraId="0A650F4D" w14:textId="77777777" w:rsidR="00BC1574" w:rsidRPr="00DA632C" w:rsidRDefault="00BC1574" w:rsidP="00BC1574">
      <w:pPr>
        <w:pStyle w:val="Prrafodelista"/>
        <w:widowControl w:val="0"/>
        <w:numPr>
          <w:ilvl w:val="0"/>
          <w:numId w:val="2"/>
        </w:numPr>
        <w:spacing w:line="264" w:lineRule="auto"/>
        <w:ind w:left="703" w:hanging="703"/>
        <w:rPr>
          <w:rFonts w:ascii="Arial" w:hAnsi="Arial" w:cs="Arial"/>
          <w:color w:val="000000" w:themeColor="text1"/>
          <w:sz w:val="22"/>
          <w:szCs w:val="22"/>
        </w:rPr>
      </w:pPr>
      <w:r w:rsidRPr="00DA632C">
        <w:rPr>
          <w:rFonts w:ascii="Arial" w:hAnsi="Arial" w:cs="Arial"/>
          <w:color w:val="000000" w:themeColor="text1"/>
          <w:sz w:val="22"/>
          <w:szCs w:val="22"/>
        </w:rPr>
        <w:t>Convocatoria y postulación de candidaturas;</w:t>
      </w:r>
    </w:p>
    <w:p w14:paraId="6208C234" w14:textId="77777777" w:rsidR="00BC1574" w:rsidRPr="00DA632C" w:rsidRDefault="00BC1574" w:rsidP="00BC1574">
      <w:pPr>
        <w:pStyle w:val="Prrafodelista"/>
        <w:widowControl w:val="0"/>
        <w:numPr>
          <w:ilvl w:val="0"/>
          <w:numId w:val="2"/>
        </w:numPr>
        <w:spacing w:line="264" w:lineRule="auto"/>
        <w:ind w:left="703" w:hanging="703"/>
        <w:rPr>
          <w:rFonts w:ascii="Arial" w:hAnsi="Arial" w:cs="Arial"/>
          <w:color w:val="000000" w:themeColor="text1"/>
          <w:sz w:val="22"/>
          <w:szCs w:val="22"/>
        </w:rPr>
      </w:pPr>
      <w:r w:rsidRPr="00DA632C">
        <w:rPr>
          <w:rFonts w:ascii="Arial" w:hAnsi="Arial" w:cs="Arial"/>
          <w:color w:val="000000" w:themeColor="text1"/>
          <w:sz w:val="22"/>
          <w:szCs w:val="22"/>
        </w:rPr>
        <w:t>Jornada electoral;</w:t>
      </w:r>
    </w:p>
    <w:p w14:paraId="050F3ECE" w14:textId="77777777" w:rsidR="00BC1574" w:rsidRPr="00DA632C" w:rsidRDefault="00BC1574" w:rsidP="00BC1574">
      <w:pPr>
        <w:pStyle w:val="Prrafodelista"/>
        <w:widowControl w:val="0"/>
        <w:numPr>
          <w:ilvl w:val="0"/>
          <w:numId w:val="2"/>
        </w:numPr>
        <w:spacing w:line="264" w:lineRule="auto"/>
        <w:ind w:left="703" w:hanging="703"/>
        <w:rPr>
          <w:rFonts w:ascii="Arial" w:hAnsi="Arial" w:cs="Arial"/>
          <w:color w:val="000000" w:themeColor="text1"/>
          <w:sz w:val="22"/>
          <w:szCs w:val="22"/>
        </w:rPr>
      </w:pPr>
      <w:r w:rsidRPr="00DA632C">
        <w:rPr>
          <w:rFonts w:ascii="Arial" w:hAnsi="Arial" w:cs="Arial"/>
          <w:color w:val="000000" w:themeColor="text1"/>
          <w:sz w:val="22"/>
          <w:szCs w:val="22"/>
        </w:rPr>
        <w:t>Cómputos y sumatoria;</w:t>
      </w:r>
    </w:p>
    <w:p w14:paraId="34E90641" w14:textId="77777777" w:rsidR="00BC1574" w:rsidRPr="00DA632C" w:rsidRDefault="00BC1574" w:rsidP="00BC1574">
      <w:pPr>
        <w:pStyle w:val="Prrafodelista"/>
        <w:widowControl w:val="0"/>
        <w:numPr>
          <w:ilvl w:val="0"/>
          <w:numId w:val="2"/>
        </w:numPr>
        <w:spacing w:line="264" w:lineRule="auto"/>
        <w:ind w:left="703" w:hanging="703"/>
        <w:rPr>
          <w:rFonts w:ascii="Arial" w:hAnsi="Arial" w:cs="Arial"/>
          <w:color w:val="000000" w:themeColor="text1"/>
          <w:sz w:val="22"/>
          <w:szCs w:val="22"/>
        </w:rPr>
      </w:pPr>
      <w:r w:rsidRPr="00DA632C">
        <w:rPr>
          <w:rFonts w:ascii="Arial" w:hAnsi="Arial" w:cs="Arial"/>
          <w:color w:val="000000" w:themeColor="text1"/>
          <w:sz w:val="22"/>
          <w:szCs w:val="22"/>
        </w:rPr>
        <w:t>Asignación de cargos, y</w:t>
      </w:r>
    </w:p>
    <w:p w14:paraId="6AA1C5E6" w14:textId="77777777" w:rsidR="00BC1574" w:rsidRPr="00DA632C" w:rsidRDefault="00BC1574" w:rsidP="00BC1574">
      <w:pPr>
        <w:pStyle w:val="Prrafodelista"/>
        <w:widowControl w:val="0"/>
        <w:numPr>
          <w:ilvl w:val="0"/>
          <w:numId w:val="2"/>
        </w:numPr>
        <w:spacing w:line="264" w:lineRule="auto"/>
        <w:ind w:left="703" w:hanging="703"/>
        <w:rPr>
          <w:rFonts w:ascii="Arial" w:hAnsi="Arial" w:cs="Arial"/>
          <w:color w:val="000000" w:themeColor="text1"/>
          <w:sz w:val="22"/>
          <w:szCs w:val="22"/>
        </w:rPr>
      </w:pPr>
      <w:r w:rsidRPr="00DA632C">
        <w:rPr>
          <w:rFonts w:ascii="Arial" w:hAnsi="Arial" w:cs="Arial"/>
          <w:color w:val="000000" w:themeColor="text1"/>
          <w:sz w:val="22"/>
          <w:szCs w:val="22"/>
        </w:rPr>
        <w:t>La entrega de constancias de mayoría y declaración de validez de la elección.</w:t>
      </w:r>
    </w:p>
    <w:p w14:paraId="5B320409"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En términos del numeral 2 del artículo en cita, la etapa de preparación de la elección inicia con la primera sesión que el Instituto celebre en los primeros siete días del mes de septiembre del año anterior a la elección, y concluye al iniciarse la jornada electoral.</w:t>
      </w:r>
    </w:p>
    <w:p w14:paraId="28D1B44C"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Por su parte, el numeral 3 del artículo 387 de la Ley Electoral refiere que, la etapa de convocatoria y postulación de candidaturas inicia con la publicación de la convocatoria que emita el Congreso Local conforme a la fracción I del primer párrafo del artículo 56 de la Constitución Local, y concluye con la remisión por dicho órgano legislativo del listado de candidaturas al Instituto.</w:t>
      </w:r>
    </w:p>
    <w:p w14:paraId="0FFE9816"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 xml:space="preserve">En el caso de la jornada electoral, ésta inicia a las 8:00 horas del primer domingo de junio del año que corresponda y concluye con el cómputo de los votos en casilla, de conformidad </w:t>
      </w:r>
      <w:r w:rsidRPr="00DA632C">
        <w:rPr>
          <w:rFonts w:ascii="Arial" w:hAnsi="Arial" w:cs="Arial"/>
          <w:color w:val="000000" w:themeColor="text1"/>
          <w:sz w:val="22"/>
          <w:szCs w:val="22"/>
        </w:rPr>
        <w:lastRenderedPageBreak/>
        <w:t>con el numeral 4 del artículo 387 de la Ley Electoral.</w:t>
      </w:r>
    </w:p>
    <w:p w14:paraId="351D3A9E"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De acuerdo con el numeral 5 del artículo referido, la etapa de cómputos y sumatoria inicia con la remisión de la documentación y los expedientes electorales a los Consejos Distritales y concluye con la sumatoria de los cómputos de la elección que realice el Consejo Estatal.</w:t>
      </w:r>
    </w:p>
    <w:p w14:paraId="3D5E82D6"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Respecto a la etapa de asignación de cargos, conforme al numeral 6 del artículo 387 de la Ley Electoral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w:t>
      </w:r>
    </w:p>
    <w:p w14:paraId="6DCE117F"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Finalmente, en términos del numeral 7 del artículo citado, la etapa de calificación y declaración de validez inicia al resolverse el último de los medios de impugnación que se hubiesen interpuesto en contra de las elecciones respectivas o cuando se tenga constancia de que no se presentó ninguno, y concluye al aprobar el Tribunal Electoral el dictamen que contenga el cómputo final de la elección.</w:t>
      </w:r>
    </w:p>
    <w:p w14:paraId="15823977" w14:textId="77777777" w:rsidR="00BC1574" w:rsidRPr="00DA632C" w:rsidRDefault="00BC1574" w:rsidP="00BC1574">
      <w:pPr>
        <w:pStyle w:val="Ttulo2"/>
        <w:rPr>
          <w:rFonts w:ascii="Arial" w:hAnsi="Arial" w:cs="Arial"/>
          <w:color w:val="000000" w:themeColor="text1"/>
          <w:sz w:val="22"/>
          <w:szCs w:val="22"/>
        </w:rPr>
      </w:pPr>
      <w:r w:rsidRPr="00DA632C">
        <w:rPr>
          <w:rFonts w:ascii="Arial" w:hAnsi="Arial" w:cs="Arial"/>
          <w:color w:val="000000" w:themeColor="text1"/>
          <w:sz w:val="22"/>
          <w:szCs w:val="22"/>
        </w:rPr>
        <w:t>Derecho de la ciudadanía a participar en los procesos de selección y evaluación de candidaturas</w:t>
      </w:r>
    </w:p>
    <w:p w14:paraId="3FE33551" w14:textId="77777777"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Que, de conformidad con el artículo 389 numeral 1 de la Ley Electoral, es derecho de la ciudadanía participar en igualdad de condiciones en los procesos de evaluación y selección de candidaturas para todos los cargos de elección del Poder Judicial. Dichos procesos serán públicos, abiertos, transparentes, inclusivos, accesibles y deberán garantizar la participación de todas las personas interesadas que cumplan con los requisitos, condiciones y términos que determine la Constitución Federal, la Constitución Local y la propia Ley Electoral.</w:t>
      </w:r>
    </w:p>
    <w:p w14:paraId="7221D7AC" w14:textId="6EA45F01" w:rsidR="00BC1574" w:rsidRPr="00DA632C" w:rsidRDefault="00BC1574" w:rsidP="00BC1574">
      <w:pPr>
        <w:pStyle w:val="Ttulo2"/>
        <w:rPr>
          <w:rFonts w:ascii="Arial" w:hAnsi="Arial" w:cs="Arial"/>
          <w:color w:val="000000" w:themeColor="text1"/>
          <w:sz w:val="22"/>
          <w:szCs w:val="22"/>
        </w:rPr>
      </w:pPr>
      <w:r w:rsidRPr="00DA632C">
        <w:rPr>
          <w:rFonts w:ascii="Arial" w:hAnsi="Arial" w:cs="Arial"/>
          <w:color w:val="000000" w:themeColor="text1"/>
          <w:sz w:val="22"/>
          <w:szCs w:val="22"/>
        </w:rPr>
        <w:t>Promoción de la participación ciudadana</w:t>
      </w:r>
    </w:p>
    <w:p w14:paraId="175BD76D" w14:textId="6560F5C2" w:rsidR="00BC1574"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 xml:space="preserve">Que, el artículo 410 numeral </w:t>
      </w:r>
      <w:r w:rsidR="00B17B1E" w:rsidRPr="00DA632C">
        <w:rPr>
          <w:rFonts w:ascii="Arial" w:hAnsi="Arial" w:cs="Arial"/>
          <w:color w:val="000000" w:themeColor="text1"/>
          <w:sz w:val="22"/>
          <w:szCs w:val="22"/>
        </w:rPr>
        <w:t>1</w:t>
      </w:r>
      <w:r w:rsidRPr="00DA632C">
        <w:rPr>
          <w:rFonts w:ascii="Arial" w:hAnsi="Arial" w:cs="Arial"/>
          <w:color w:val="000000" w:themeColor="text1"/>
          <w:sz w:val="22"/>
          <w:szCs w:val="22"/>
        </w:rPr>
        <w:t xml:space="preserve"> de la Ley Electoral establece que, el Consejo Estatal aprobará la metodología para la difusión y promoción de la participación ciudadana en el proceso de elección de personas juzgadoras, privilegiando el uso de las tecnologías de la información y observando al efecto los principios de austeridad, eficacia y eficiencia del gasto público.</w:t>
      </w:r>
    </w:p>
    <w:p w14:paraId="53C10405" w14:textId="77777777" w:rsidR="00DA632C" w:rsidRPr="00DA632C" w:rsidRDefault="00DA632C" w:rsidP="00BC1574">
      <w:pPr>
        <w:widowControl w:val="0"/>
        <w:spacing w:line="264" w:lineRule="auto"/>
        <w:rPr>
          <w:rFonts w:ascii="Arial" w:hAnsi="Arial" w:cs="Arial"/>
          <w:color w:val="000000" w:themeColor="text1"/>
          <w:sz w:val="22"/>
          <w:szCs w:val="22"/>
        </w:rPr>
      </w:pPr>
    </w:p>
    <w:p w14:paraId="3964207A" w14:textId="2F8FCFD6"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lastRenderedPageBreak/>
        <w:t>Para tal efecto, de acuerdo con el numeral 2 del artículo en cita, la metodología deberá ser imparcial, objetiva y con fines informativos, y contemplará por lo menos la creación de un micrositio en la página de Internet oficial del Instituto para informar a la ciudadanía sobre el proceso electivo y dar a conocer las candidaturas registradas.</w:t>
      </w:r>
    </w:p>
    <w:p w14:paraId="513EC4C8" w14:textId="5357D50A"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En ese tenor, el micrositio que el Consejo Estatal determine tendrá por objeto difundir la identidad, perfil e información curricular de las personas candidatas, así como información relativa al proceso electivo, ajustándose al menos a lo siguiente:</w:t>
      </w:r>
    </w:p>
    <w:p w14:paraId="70100C0A" w14:textId="636A76D2" w:rsidR="00BC1574" w:rsidRPr="00DA632C" w:rsidRDefault="00BC1574" w:rsidP="00BC1574">
      <w:pPr>
        <w:pStyle w:val="Prrafodelista"/>
        <w:widowControl w:val="0"/>
        <w:numPr>
          <w:ilvl w:val="0"/>
          <w:numId w:val="4"/>
        </w:numPr>
        <w:spacing w:line="264" w:lineRule="auto"/>
        <w:ind w:left="703" w:hanging="703"/>
        <w:contextualSpacing w:val="0"/>
        <w:rPr>
          <w:rFonts w:ascii="Arial" w:hAnsi="Arial" w:cs="Arial"/>
          <w:color w:val="000000" w:themeColor="text1"/>
          <w:sz w:val="22"/>
          <w:szCs w:val="22"/>
        </w:rPr>
      </w:pPr>
      <w:r w:rsidRPr="00DA632C">
        <w:rPr>
          <w:rFonts w:ascii="Arial" w:hAnsi="Arial" w:cs="Arial"/>
          <w:color w:val="000000" w:themeColor="text1"/>
          <w:sz w:val="22"/>
          <w:szCs w:val="22"/>
        </w:rPr>
        <w:t>No será un medio de propaganda política;</w:t>
      </w:r>
    </w:p>
    <w:p w14:paraId="32AABE3D" w14:textId="44F365DC" w:rsidR="00BC1574" w:rsidRPr="00DA632C" w:rsidRDefault="00BC1574" w:rsidP="00BC1574">
      <w:pPr>
        <w:pStyle w:val="Prrafodelista"/>
        <w:widowControl w:val="0"/>
        <w:numPr>
          <w:ilvl w:val="0"/>
          <w:numId w:val="4"/>
        </w:numPr>
        <w:spacing w:line="264" w:lineRule="auto"/>
        <w:ind w:left="703" w:hanging="703"/>
        <w:contextualSpacing w:val="0"/>
        <w:rPr>
          <w:rFonts w:ascii="Arial" w:hAnsi="Arial" w:cs="Arial"/>
          <w:color w:val="000000" w:themeColor="text1"/>
          <w:sz w:val="22"/>
          <w:szCs w:val="22"/>
        </w:rPr>
      </w:pPr>
      <w:r w:rsidRPr="00DA632C">
        <w:rPr>
          <w:rFonts w:ascii="Arial" w:hAnsi="Arial" w:cs="Arial"/>
          <w:color w:val="000000" w:themeColor="text1"/>
          <w:sz w:val="22"/>
          <w:szCs w:val="22"/>
        </w:rPr>
        <w:t>Proporcionará a la ciudadanía información suficiente y relevante relacionada con el proceso electivo, e incluirá como mínimo el perfil personal, fotografía, medios de contacto público, trayectoria académica e historial profesional y laboral de cada candidatura, así como demás datos que acrediten su elegibilidad e idoneidad para el cargo que se trate;</w:t>
      </w:r>
    </w:p>
    <w:p w14:paraId="5B51057F" w14:textId="575E8BF8" w:rsidR="00BC1574" w:rsidRPr="00DA632C" w:rsidRDefault="00BC1574" w:rsidP="00BC1574">
      <w:pPr>
        <w:pStyle w:val="Prrafodelista"/>
        <w:widowControl w:val="0"/>
        <w:numPr>
          <w:ilvl w:val="0"/>
          <w:numId w:val="4"/>
        </w:numPr>
        <w:spacing w:line="264" w:lineRule="auto"/>
        <w:ind w:left="703" w:hanging="703"/>
        <w:contextualSpacing w:val="0"/>
        <w:rPr>
          <w:rFonts w:ascii="Arial" w:hAnsi="Arial" w:cs="Arial"/>
          <w:color w:val="000000" w:themeColor="text1"/>
          <w:sz w:val="22"/>
          <w:szCs w:val="22"/>
        </w:rPr>
      </w:pPr>
      <w:r w:rsidRPr="00DA632C">
        <w:rPr>
          <w:rFonts w:ascii="Arial" w:hAnsi="Arial" w:cs="Arial"/>
          <w:color w:val="000000" w:themeColor="text1"/>
          <w:sz w:val="22"/>
          <w:szCs w:val="22"/>
        </w:rPr>
        <w:t>Incorporará las visiones de las personas candidatas acerca de la función jurisdiccional y la impartición de justicia, así como sus propuestas de mejora;</w:t>
      </w:r>
    </w:p>
    <w:p w14:paraId="4E4CC316" w14:textId="7ACB10FC" w:rsidR="00BC1574" w:rsidRPr="00DA632C" w:rsidRDefault="00BC1574" w:rsidP="00BC1574">
      <w:pPr>
        <w:pStyle w:val="Prrafodelista"/>
        <w:widowControl w:val="0"/>
        <w:numPr>
          <w:ilvl w:val="0"/>
          <w:numId w:val="4"/>
        </w:numPr>
        <w:spacing w:line="264" w:lineRule="auto"/>
        <w:ind w:left="703" w:hanging="703"/>
        <w:contextualSpacing w:val="0"/>
        <w:rPr>
          <w:rFonts w:ascii="Arial" w:hAnsi="Arial" w:cs="Arial"/>
          <w:color w:val="000000" w:themeColor="text1"/>
          <w:sz w:val="22"/>
          <w:szCs w:val="22"/>
        </w:rPr>
      </w:pPr>
      <w:r w:rsidRPr="00DA632C">
        <w:rPr>
          <w:rFonts w:ascii="Arial" w:hAnsi="Arial" w:cs="Arial"/>
          <w:color w:val="000000" w:themeColor="text1"/>
          <w:sz w:val="22"/>
          <w:szCs w:val="22"/>
        </w:rPr>
        <w:t>La Información de las candidaturas será proporcionada por las personas candidatas y autorizada por el Instituto Estatal, que deberá supervisar que se ajuste a esta Ley y los parámetros que al efecto determine el Consejo Estatal, y</w:t>
      </w:r>
    </w:p>
    <w:p w14:paraId="71E4F6AF" w14:textId="3D3D7821" w:rsidR="00BC1574" w:rsidRPr="00DA632C" w:rsidRDefault="00BC1574" w:rsidP="00BC1574">
      <w:pPr>
        <w:pStyle w:val="Prrafodelista"/>
        <w:widowControl w:val="0"/>
        <w:numPr>
          <w:ilvl w:val="0"/>
          <w:numId w:val="4"/>
        </w:numPr>
        <w:spacing w:line="264" w:lineRule="auto"/>
        <w:ind w:left="703" w:hanging="703"/>
        <w:contextualSpacing w:val="0"/>
        <w:rPr>
          <w:rFonts w:ascii="Arial" w:hAnsi="Arial" w:cs="Arial"/>
          <w:color w:val="000000" w:themeColor="text1"/>
          <w:sz w:val="22"/>
          <w:szCs w:val="22"/>
        </w:rPr>
      </w:pPr>
      <w:r w:rsidRPr="00DA632C">
        <w:rPr>
          <w:rFonts w:ascii="Arial" w:hAnsi="Arial" w:cs="Arial"/>
          <w:color w:val="000000" w:themeColor="text1"/>
          <w:sz w:val="22"/>
          <w:szCs w:val="22"/>
        </w:rPr>
        <w:t>La información deberá estar disponible de manera clara, completa y accesible a más tardar en la fecha de inicio del periodo de campañas y hasta el día de la jornada electoral.</w:t>
      </w:r>
    </w:p>
    <w:p w14:paraId="6E208617" w14:textId="6E22BC5E" w:rsidR="00BC1574" w:rsidRPr="00DA632C" w:rsidRDefault="00BC1574" w:rsidP="00BC1574">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Asimismo, para efectos de las actividades que realice el Instituto para la promoción de la participación ciudadana en el proceso de elección, se privilegiará el uso de medios electrónicos, entre ellos, la página de Internet del Instituto, medios electrónicos o digitales institucionales y periódicos de mayor circulación y cobertura en la entidad que corresponda, entre otros.</w:t>
      </w:r>
    </w:p>
    <w:p w14:paraId="59BA3A4A" w14:textId="7A9848FA" w:rsidR="00B17B1E" w:rsidRPr="00DA632C" w:rsidRDefault="00B17B1E" w:rsidP="00B17B1E">
      <w:pPr>
        <w:pStyle w:val="Ttulo2"/>
        <w:rPr>
          <w:rFonts w:ascii="Arial" w:hAnsi="Arial" w:cs="Arial"/>
          <w:color w:val="000000" w:themeColor="text1"/>
          <w:sz w:val="22"/>
          <w:szCs w:val="22"/>
        </w:rPr>
      </w:pPr>
      <w:r w:rsidRPr="00DA632C">
        <w:rPr>
          <w:rFonts w:ascii="Arial" w:hAnsi="Arial" w:cs="Arial"/>
          <w:color w:val="000000" w:themeColor="text1"/>
          <w:sz w:val="22"/>
          <w:szCs w:val="22"/>
        </w:rPr>
        <w:t>Plan de promoción de la participación ciudadana</w:t>
      </w:r>
    </w:p>
    <w:p w14:paraId="24CD538B" w14:textId="16A0B21F" w:rsidR="00B17B1E" w:rsidRPr="00DA632C" w:rsidRDefault="00B17B1E" w:rsidP="00B17B1E">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Que, conforme a las disposiciones señaladas y para efectos de dar cumplimiento a lo establecido en el artículo 410 numeral 1 de la Ley Electoral, este órgano electoral propone la implementación del Plan de promoción de la participación ciudadana que tiene como propósito el ejercicio del derecho al sufragio informado de la ciudadanía para el Proceso Electoral Extraordinario en curso.</w:t>
      </w:r>
    </w:p>
    <w:p w14:paraId="34FD1FDF" w14:textId="51A66D1F" w:rsidR="00B17B1E" w:rsidRPr="00DA632C" w:rsidRDefault="00B17B1E" w:rsidP="00B17B1E">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lastRenderedPageBreak/>
        <w:t>De manera general, el Plan señalado contiene las acciones que este Instituto implementará en materia de democracia, cultura cívica, así como de comunicación que fomenten el conocimiento de los derechos político-electorales y la importancia de ejercer el derecho al sufragio informado. Lo anterior, con el propósito de garantizar la participación ciudadana en la entidad.</w:t>
      </w:r>
    </w:p>
    <w:p w14:paraId="00B86092" w14:textId="66B850E6" w:rsidR="00B17B1E" w:rsidRPr="00DA632C" w:rsidRDefault="00B17B1E" w:rsidP="00B17B1E">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Además, siguiendo los parámetros determinados por el Consejo General del INE, mediante acuerdo INE/CG189/2025, el Plan establece las acciones, líneas temáticas y los períodos de difusión de los promocionales genéricos, conforme al modelo de cobertura de la entidad.</w:t>
      </w:r>
    </w:p>
    <w:p w14:paraId="06EB311C" w14:textId="4B6E85DF" w:rsidR="00B17B1E" w:rsidRPr="00DA632C" w:rsidRDefault="00E913B9" w:rsidP="00B17B1E">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E</w:t>
      </w:r>
      <w:r w:rsidR="00B17B1E" w:rsidRPr="00DA632C">
        <w:rPr>
          <w:rFonts w:ascii="Arial" w:hAnsi="Arial" w:cs="Arial"/>
          <w:color w:val="000000" w:themeColor="text1"/>
          <w:sz w:val="22"/>
          <w:szCs w:val="22"/>
        </w:rPr>
        <w:t>l Plan de promoción de la participación ciudadana, parte de las siguientes cuatro líneas temáticas de difusión para las candidaturas durante el Proceso Electoral Extraordinario: a) Posicionamiento de la elección y cargos por elegir, b) Conocer las funciones de los cargos a elegir y su relevancia para el acceso y la aplicación de justicia en la entidad, c) Conocer las candidaturas, y d) Llamar a la participación ciudadana para el ejercicio del voto.</w:t>
      </w:r>
    </w:p>
    <w:p w14:paraId="34BDD726" w14:textId="79D3D74C" w:rsidR="00E913B9" w:rsidRPr="00DA632C" w:rsidRDefault="00E913B9" w:rsidP="00E913B9">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Para desarrollar las líneas temáticas mencionadas en medios distintos a la radio, televisión y redes sociales se establece la división de dichas acciones en dos rubros: 1) Democracia y Cultura Cívica y 2) Comunicación institucional; está última implementada desde el 20 de diciembre del 2024 con el inicio del referido Proceso Electoral, hasta el 1 de junio, día de la Jornada Electoral.</w:t>
      </w:r>
    </w:p>
    <w:p w14:paraId="64B86D20" w14:textId="70CCD019" w:rsidR="00E913B9" w:rsidRPr="00DA632C" w:rsidRDefault="00E913B9" w:rsidP="00E913B9">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En ese contexto y en consideración de este órgano electoral, el Plan de promoción de la participación ciudadana para el Proceso Electoral Extraordinario, cumple con la finalidad de promover el voto y coadyuva en la difusión de la educación cívica y de la cultura democrática.</w:t>
      </w:r>
    </w:p>
    <w:p w14:paraId="114DB0BE" w14:textId="77777777" w:rsidR="009007B9" w:rsidRPr="00DA632C" w:rsidRDefault="009007B9" w:rsidP="009007B9">
      <w:pPr>
        <w:widowControl w:val="0"/>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Sobre la base de las consideraciones señaladas, este Consejo Estatal emite el siguiente:</w:t>
      </w:r>
    </w:p>
    <w:p w14:paraId="6C82165A" w14:textId="0CFCE92E" w:rsidR="009007B9" w:rsidRPr="00DA632C" w:rsidRDefault="009007B9" w:rsidP="009007B9">
      <w:pPr>
        <w:pStyle w:val="Ttulo1"/>
        <w:rPr>
          <w:rFonts w:ascii="Arial" w:hAnsi="Arial" w:cs="Arial"/>
          <w:color w:val="000000" w:themeColor="text1"/>
          <w:sz w:val="24"/>
          <w:szCs w:val="24"/>
        </w:rPr>
      </w:pPr>
      <w:r w:rsidRPr="00DA632C">
        <w:rPr>
          <w:rFonts w:ascii="Arial" w:hAnsi="Arial" w:cs="Arial"/>
          <w:color w:val="000000" w:themeColor="text1"/>
          <w:sz w:val="24"/>
          <w:szCs w:val="24"/>
        </w:rPr>
        <w:t>Acuerdo</w:t>
      </w:r>
    </w:p>
    <w:p w14:paraId="55A076C7" w14:textId="07AF2AB1" w:rsidR="009007B9" w:rsidRPr="00DA632C" w:rsidRDefault="009007B9" w:rsidP="009007B9">
      <w:pPr>
        <w:rPr>
          <w:rFonts w:ascii="Arial" w:hAnsi="Arial" w:cs="Arial"/>
          <w:color w:val="000000" w:themeColor="text1"/>
          <w:sz w:val="22"/>
          <w:szCs w:val="22"/>
        </w:rPr>
      </w:pPr>
      <w:r w:rsidRPr="00DA632C">
        <w:rPr>
          <w:rFonts w:ascii="Arial" w:hAnsi="Arial" w:cs="Arial"/>
          <w:b/>
          <w:bCs/>
          <w:color w:val="000000" w:themeColor="text1"/>
          <w:sz w:val="22"/>
          <w:szCs w:val="22"/>
        </w:rPr>
        <w:t>Primero.</w:t>
      </w:r>
      <w:r w:rsidRPr="00DA632C">
        <w:rPr>
          <w:rFonts w:ascii="Arial" w:hAnsi="Arial" w:cs="Arial"/>
          <w:color w:val="000000" w:themeColor="text1"/>
          <w:sz w:val="22"/>
          <w:szCs w:val="22"/>
        </w:rPr>
        <w:t xml:space="preserve"> Se aprueba el Plan de promoción de la participación ciudadana para el ejercicio del derecho al sufragio informado con motivo del Proceso Electoral Local Extraordinario para personas juzgadoras del Poder Judicial del Estado de Tabasco 2024-2025 anexo al presente acuerdo.</w:t>
      </w:r>
    </w:p>
    <w:p w14:paraId="07F98258" w14:textId="06C6318A" w:rsidR="009007B9" w:rsidRPr="00DA632C" w:rsidRDefault="009007B9" w:rsidP="009007B9">
      <w:pPr>
        <w:widowControl w:val="0"/>
        <w:spacing w:line="264" w:lineRule="auto"/>
        <w:rPr>
          <w:rFonts w:ascii="Arial" w:hAnsi="Arial" w:cs="Arial"/>
          <w:color w:val="000000" w:themeColor="text1"/>
          <w:sz w:val="22"/>
          <w:szCs w:val="22"/>
        </w:rPr>
      </w:pPr>
      <w:r w:rsidRPr="00DA632C">
        <w:rPr>
          <w:rFonts w:ascii="Arial" w:hAnsi="Arial" w:cs="Arial"/>
          <w:b/>
          <w:bCs/>
          <w:color w:val="000000" w:themeColor="text1"/>
          <w:sz w:val="22"/>
          <w:szCs w:val="22"/>
        </w:rPr>
        <w:t>Segundo.</w:t>
      </w:r>
      <w:r w:rsidRPr="00DA632C">
        <w:rPr>
          <w:rFonts w:ascii="Arial" w:hAnsi="Arial" w:cs="Arial"/>
          <w:color w:val="000000" w:themeColor="text1"/>
          <w:sz w:val="22"/>
          <w:szCs w:val="22"/>
        </w:rPr>
        <w:t xml:space="preserve"> Se instruye al Secretario Ejecutivo para que, en términos de lo dispuesto por el artículo 117 numeral 2 fracción XVIII de la Ley Electoral, provea de los elementos primordiales para el cumplimiento de las actividades que conforman el </w:t>
      </w:r>
      <w:r w:rsidR="00C11A50" w:rsidRPr="00DA632C">
        <w:rPr>
          <w:rFonts w:ascii="Arial" w:hAnsi="Arial" w:cs="Arial"/>
          <w:color w:val="000000" w:themeColor="text1"/>
          <w:sz w:val="22"/>
          <w:szCs w:val="22"/>
        </w:rPr>
        <w:t>Plan</w:t>
      </w:r>
      <w:r w:rsidRPr="00DA632C">
        <w:rPr>
          <w:rFonts w:ascii="Arial" w:hAnsi="Arial" w:cs="Arial"/>
          <w:color w:val="000000" w:themeColor="text1"/>
          <w:sz w:val="22"/>
          <w:szCs w:val="22"/>
        </w:rPr>
        <w:t xml:space="preserve"> aprobado.</w:t>
      </w:r>
    </w:p>
    <w:p w14:paraId="0A0A197A" w14:textId="77777777" w:rsidR="009007B9" w:rsidRPr="00DA632C" w:rsidRDefault="009007B9" w:rsidP="009007B9">
      <w:pPr>
        <w:widowControl w:val="0"/>
        <w:spacing w:line="264" w:lineRule="auto"/>
        <w:rPr>
          <w:rFonts w:ascii="Arial" w:hAnsi="Arial" w:cs="Arial"/>
          <w:color w:val="000000" w:themeColor="text1"/>
          <w:sz w:val="22"/>
          <w:szCs w:val="22"/>
        </w:rPr>
      </w:pPr>
      <w:r w:rsidRPr="00DA632C">
        <w:rPr>
          <w:rFonts w:ascii="Arial" w:hAnsi="Arial" w:cs="Arial"/>
          <w:b/>
          <w:bCs/>
          <w:color w:val="000000" w:themeColor="text1"/>
          <w:sz w:val="22"/>
          <w:szCs w:val="22"/>
        </w:rPr>
        <w:lastRenderedPageBreak/>
        <w:t xml:space="preserve">Tercero. </w:t>
      </w:r>
      <w:r w:rsidRPr="00DA632C">
        <w:rPr>
          <w:rFonts w:ascii="Arial" w:hAnsi="Arial" w:cs="Arial"/>
          <w:color w:val="000000" w:themeColor="text1"/>
          <w:sz w:val="22"/>
          <w:szCs w:val="22"/>
        </w:rPr>
        <w:t>Asimismo, se instruye a la Secretaría Ejecutiva para que, por conducto de la Coordinación de Vinculación con el INE notifique el presente acuerdo al citado organismo nacional, a través de su Unidad Técnica de Vinculación con los Organismos Públicos Locales, para los efectos correspondientes.</w:t>
      </w:r>
    </w:p>
    <w:p w14:paraId="63597017" w14:textId="408016F1" w:rsidR="00E913B9" w:rsidRPr="00DA632C" w:rsidRDefault="009007B9" w:rsidP="009007B9">
      <w:pPr>
        <w:widowControl w:val="0"/>
        <w:spacing w:line="264" w:lineRule="auto"/>
        <w:rPr>
          <w:rFonts w:ascii="Arial" w:hAnsi="Arial" w:cs="Arial"/>
          <w:color w:val="000000" w:themeColor="text1"/>
          <w:sz w:val="22"/>
          <w:szCs w:val="22"/>
        </w:rPr>
      </w:pPr>
      <w:r w:rsidRPr="00DA632C">
        <w:rPr>
          <w:rFonts w:ascii="Arial" w:hAnsi="Arial" w:cs="Arial"/>
          <w:b/>
          <w:bCs/>
          <w:color w:val="000000" w:themeColor="text1"/>
          <w:sz w:val="22"/>
          <w:szCs w:val="22"/>
        </w:rPr>
        <w:t>Cuarto.</w:t>
      </w:r>
      <w:r w:rsidRPr="00DA632C">
        <w:rPr>
          <w:rFonts w:ascii="Arial" w:hAnsi="Arial" w:cs="Arial"/>
          <w:color w:val="000000" w:themeColor="text1"/>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1C997BF5" w14:textId="14317AF3" w:rsidR="005339DD" w:rsidRPr="00DA632C" w:rsidRDefault="005339DD" w:rsidP="005339DD">
      <w:pPr>
        <w:spacing w:line="264" w:lineRule="auto"/>
        <w:rPr>
          <w:rFonts w:ascii="Arial" w:hAnsi="Arial" w:cs="Arial"/>
          <w:color w:val="000000" w:themeColor="text1"/>
          <w:sz w:val="22"/>
          <w:szCs w:val="22"/>
        </w:rPr>
      </w:pPr>
      <w:r w:rsidRPr="00DA632C">
        <w:rPr>
          <w:rFonts w:ascii="Arial" w:hAnsi="Arial" w:cs="Arial"/>
          <w:color w:val="000000" w:themeColor="text1"/>
          <w:sz w:val="22"/>
          <w:szCs w:val="22"/>
        </w:rPr>
        <w:t xml:space="preserve">El presente acuerdo fue aprobado en sesión </w:t>
      </w:r>
      <w:r w:rsidR="00DA632C">
        <w:rPr>
          <w:rFonts w:ascii="Arial" w:hAnsi="Arial" w:cs="Arial"/>
          <w:color w:val="000000" w:themeColor="text1"/>
          <w:sz w:val="22"/>
          <w:szCs w:val="22"/>
        </w:rPr>
        <w:t>extraordinaria</w:t>
      </w:r>
      <w:r w:rsidRPr="00DA632C">
        <w:rPr>
          <w:rFonts w:ascii="Arial" w:hAnsi="Arial" w:cs="Arial"/>
          <w:color w:val="000000" w:themeColor="text1"/>
          <w:sz w:val="22"/>
          <w:szCs w:val="22"/>
        </w:rPr>
        <w:t xml:space="preserve"> efectuada el</w:t>
      </w:r>
      <w:r w:rsidR="00DA632C">
        <w:rPr>
          <w:rFonts w:ascii="Arial" w:hAnsi="Arial" w:cs="Arial"/>
          <w:color w:val="000000" w:themeColor="text1"/>
          <w:sz w:val="22"/>
          <w:szCs w:val="22"/>
        </w:rPr>
        <w:t xml:space="preserve"> día veintiuno</w:t>
      </w:r>
      <w:r w:rsidRPr="00DA632C">
        <w:rPr>
          <w:rFonts w:ascii="Arial" w:hAnsi="Arial" w:cs="Arial"/>
          <w:color w:val="000000" w:themeColor="text1"/>
          <w:sz w:val="22"/>
          <w:szCs w:val="22"/>
        </w:rPr>
        <w:t xml:space="preserve"> de </w:t>
      </w:r>
      <w:r w:rsidR="00DA632C">
        <w:rPr>
          <w:rFonts w:ascii="Arial" w:hAnsi="Arial" w:cs="Arial"/>
          <w:color w:val="000000" w:themeColor="text1"/>
          <w:sz w:val="22"/>
          <w:szCs w:val="22"/>
        </w:rPr>
        <w:t>abril</w:t>
      </w:r>
      <w:r w:rsidRPr="00DA632C">
        <w:rPr>
          <w:rFonts w:ascii="Arial" w:hAnsi="Arial" w:cs="Arial"/>
          <w:color w:val="000000" w:themeColor="text1"/>
          <w:sz w:val="22"/>
          <w:szCs w:val="22"/>
        </w:rPr>
        <w:t xml:space="preserve"> del año dos mil veinticinco, por votación </w:t>
      </w:r>
      <w:r w:rsidR="00DA632C">
        <w:rPr>
          <w:rFonts w:ascii="Arial" w:hAnsi="Arial" w:cs="Arial"/>
          <w:color w:val="000000" w:themeColor="text1"/>
          <w:sz w:val="22"/>
          <w:szCs w:val="22"/>
        </w:rPr>
        <w:t>unánime</w:t>
      </w:r>
      <w:r w:rsidRPr="00DA632C">
        <w:rPr>
          <w:rFonts w:ascii="Arial" w:hAnsi="Arial" w:cs="Arial"/>
          <w:color w:val="000000" w:themeColor="text1"/>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Consejera Presidenta, Mtra. Elizabeth Nava Gutiérrez.</w:t>
      </w:r>
    </w:p>
    <w:p w14:paraId="47353248" w14:textId="77777777" w:rsidR="005339DD" w:rsidRPr="00DA632C" w:rsidRDefault="005339DD" w:rsidP="005339DD">
      <w:pPr>
        <w:spacing w:line="264" w:lineRule="auto"/>
        <w:rPr>
          <w:rFonts w:ascii="Arial" w:hAnsi="Arial" w:cs="Arial"/>
          <w:color w:val="000000" w:themeColor="text1"/>
          <w:sz w:val="22"/>
          <w:szCs w:val="22"/>
        </w:rPr>
      </w:pPr>
    </w:p>
    <w:p w14:paraId="5ED6CA8C" w14:textId="6F869323" w:rsidR="005339DD" w:rsidRDefault="005339DD" w:rsidP="005339DD">
      <w:pPr>
        <w:spacing w:line="264" w:lineRule="auto"/>
        <w:rPr>
          <w:rFonts w:ascii="Arial" w:hAnsi="Arial" w:cs="Arial"/>
          <w:color w:val="000000" w:themeColor="text1"/>
          <w:sz w:val="22"/>
          <w:szCs w:val="22"/>
        </w:rPr>
      </w:pPr>
    </w:p>
    <w:p w14:paraId="18C7A027" w14:textId="77777777" w:rsidR="00DA632C" w:rsidRPr="00DA632C" w:rsidRDefault="00DA632C" w:rsidP="005339DD">
      <w:pPr>
        <w:spacing w:line="264" w:lineRule="auto"/>
        <w:rPr>
          <w:rFonts w:ascii="Arial" w:hAnsi="Arial" w:cs="Arial"/>
          <w:color w:val="000000" w:themeColor="text1"/>
          <w:sz w:val="22"/>
          <w:szCs w:val="22"/>
        </w:rPr>
      </w:pPr>
    </w:p>
    <w:tbl>
      <w:tblPr>
        <w:tblStyle w:val="Tablaconcuadrcula"/>
        <w:tblW w:w="9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4"/>
        <w:gridCol w:w="244"/>
        <w:gridCol w:w="4359"/>
      </w:tblGrid>
      <w:tr w:rsidR="00DA632C" w:rsidRPr="00DA632C" w14:paraId="15391F53" w14:textId="77777777" w:rsidTr="00DA632C">
        <w:trPr>
          <w:trHeight w:val="840"/>
        </w:trPr>
        <w:tc>
          <w:tcPr>
            <w:tcW w:w="4554" w:type="dxa"/>
          </w:tcPr>
          <w:p w14:paraId="71254741" w14:textId="77777777" w:rsidR="005339DD" w:rsidRPr="00DA632C" w:rsidRDefault="005339DD" w:rsidP="000B0588">
            <w:pPr>
              <w:spacing w:before="0" w:after="0" w:line="264" w:lineRule="auto"/>
              <w:jc w:val="center"/>
              <w:rPr>
                <w:rFonts w:ascii="Arial" w:hAnsi="Arial" w:cs="Arial"/>
                <w:b/>
                <w:bCs/>
                <w:color w:val="000000" w:themeColor="text1"/>
                <w:sz w:val="22"/>
                <w:szCs w:val="22"/>
              </w:rPr>
            </w:pPr>
            <w:r w:rsidRPr="00DA632C">
              <w:rPr>
                <w:rFonts w:ascii="Arial" w:hAnsi="Arial" w:cs="Arial"/>
                <w:b/>
                <w:bCs/>
                <w:color w:val="000000" w:themeColor="text1"/>
                <w:sz w:val="22"/>
                <w:szCs w:val="22"/>
              </w:rPr>
              <w:t>MTRA. ELIZABETH NAVA GUTIÉRREZ</w:t>
            </w:r>
          </w:p>
          <w:p w14:paraId="3E2B861E" w14:textId="77777777" w:rsidR="005339DD" w:rsidRPr="00DA632C" w:rsidRDefault="005339DD" w:rsidP="000B0588">
            <w:pPr>
              <w:spacing w:before="0" w:after="0" w:line="264" w:lineRule="auto"/>
              <w:jc w:val="center"/>
              <w:rPr>
                <w:rFonts w:ascii="Arial" w:hAnsi="Arial" w:cs="Arial"/>
                <w:b/>
                <w:bCs/>
                <w:color w:val="000000" w:themeColor="text1"/>
                <w:sz w:val="22"/>
                <w:szCs w:val="22"/>
              </w:rPr>
            </w:pPr>
            <w:r w:rsidRPr="00DA632C">
              <w:rPr>
                <w:rFonts w:ascii="Arial" w:hAnsi="Arial" w:cs="Arial"/>
                <w:b/>
                <w:bCs/>
                <w:color w:val="000000" w:themeColor="text1"/>
                <w:sz w:val="22"/>
                <w:szCs w:val="22"/>
              </w:rPr>
              <w:t>CONSEJERA PRESIDENTA</w:t>
            </w:r>
          </w:p>
        </w:tc>
        <w:tc>
          <w:tcPr>
            <w:tcW w:w="244" w:type="dxa"/>
          </w:tcPr>
          <w:p w14:paraId="26C51055" w14:textId="77777777" w:rsidR="005339DD" w:rsidRPr="00DA632C" w:rsidRDefault="005339DD" w:rsidP="000B0588">
            <w:pPr>
              <w:spacing w:before="0" w:after="0" w:line="264" w:lineRule="auto"/>
              <w:rPr>
                <w:rFonts w:ascii="Arial" w:hAnsi="Arial" w:cs="Arial"/>
                <w:b/>
                <w:bCs/>
                <w:color w:val="000000" w:themeColor="text1"/>
                <w:sz w:val="22"/>
                <w:szCs w:val="22"/>
              </w:rPr>
            </w:pPr>
          </w:p>
        </w:tc>
        <w:tc>
          <w:tcPr>
            <w:tcW w:w="4359" w:type="dxa"/>
          </w:tcPr>
          <w:p w14:paraId="711041C7" w14:textId="77777777" w:rsidR="005339DD" w:rsidRPr="00DA632C" w:rsidRDefault="005339DD" w:rsidP="000B0588">
            <w:pPr>
              <w:spacing w:before="0" w:after="0" w:line="264" w:lineRule="auto"/>
              <w:jc w:val="center"/>
              <w:rPr>
                <w:rFonts w:ascii="Arial" w:hAnsi="Arial" w:cs="Arial"/>
                <w:b/>
                <w:bCs/>
                <w:color w:val="000000" w:themeColor="text1"/>
                <w:sz w:val="22"/>
                <w:szCs w:val="22"/>
              </w:rPr>
            </w:pPr>
            <w:r w:rsidRPr="00DA632C">
              <w:rPr>
                <w:rFonts w:ascii="Arial" w:hAnsi="Arial" w:cs="Arial"/>
                <w:b/>
                <w:bCs/>
                <w:color w:val="000000" w:themeColor="text1"/>
                <w:sz w:val="22"/>
                <w:szCs w:val="22"/>
              </w:rPr>
              <w:t>LIC. JORGE ALBERTO ZAVALA FRÍAS</w:t>
            </w:r>
          </w:p>
          <w:p w14:paraId="17B85247" w14:textId="77777777" w:rsidR="005339DD" w:rsidRPr="00DA632C" w:rsidRDefault="005339DD" w:rsidP="000B0588">
            <w:pPr>
              <w:spacing w:before="0" w:after="0" w:line="264" w:lineRule="auto"/>
              <w:jc w:val="center"/>
              <w:rPr>
                <w:rFonts w:ascii="Arial" w:hAnsi="Arial" w:cs="Arial"/>
                <w:b/>
                <w:bCs/>
                <w:color w:val="000000" w:themeColor="text1"/>
                <w:sz w:val="22"/>
                <w:szCs w:val="22"/>
              </w:rPr>
            </w:pPr>
            <w:r w:rsidRPr="00DA632C">
              <w:rPr>
                <w:rFonts w:ascii="Arial" w:hAnsi="Arial" w:cs="Arial"/>
                <w:b/>
                <w:bCs/>
                <w:color w:val="000000" w:themeColor="text1"/>
                <w:sz w:val="22"/>
                <w:szCs w:val="22"/>
              </w:rPr>
              <w:t>SECRETARIO DEL CONSEJO</w:t>
            </w:r>
          </w:p>
        </w:tc>
      </w:tr>
    </w:tbl>
    <w:p w14:paraId="79FA6384" w14:textId="1ECA8354" w:rsidR="00DA632C" w:rsidRDefault="00DA632C" w:rsidP="009007B9">
      <w:pPr>
        <w:widowControl w:val="0"/>
        <w:spacing w:line="264" w:lineRule="auto"/>
        <w:rPr>
          <w:rFonts w:ascii="Arial" w:hAnsi="Arial" w:cs="Arial"/>
          <w:color w:val="000000" w:themeColor="text1"/>
          <w:sz w:val="22"/>
          <w:szCs w:val="22"/>
        </w:rPr>
      </w:pPr>
    </w:p>
    <w:p w14:paraId="4D5BDBFC" w14:textId="77777777" w:rsidR="00DA632C" w:rsidRPr="00DA632C" w:rsidRDefault="00DA632C" w:rsidP="00DA632C">
      <w:pPr>
        <w:rPr>
          <w:rFonts w:ascii="Arial" w:hAnsi="Arial" w:cs="Arial"/>
          <w:sz w:val="22"/>
          <w:szCs w:val="22"/>
        </w:rPr>
      </w:pPr>
    </w:p>
    <w:p w14:paraId="73E814A2" w14:textId="77777777" w:rsidR="00DA632C" w:rsidRPr="00DA632C" w:rsidRDefault="00DA632C" w:rsidP="00DA632C">
      <w:pPr>
        <w:rPr>
          <w:rFonts w:ascii="Arial" w:hAnsi="Arial" w:cs="Arial"/>
          <w:sz w:val="22"/>
          <w:szCs w:val="22"/>
        </w:rPr>
      </w:pPr>
    </w:p>
    <w:p w14:paraId="4167C921" w14:textId="77777777" w:rsidR="00DA632C" w:rsidRPr="00DA632C" w:rsidRDefault="00DA632C" w:rsidP="00DA632C">
      <w:pPr>
        <w:rPr>
          <w:rFonts w:ascii="Arial" w:hAnsi="Arial" w:cs="Arial"/>
          <w:sz w:val="22"/>
          <w:szCs w:val="22"/>
        </w:rPr>
      </w:pPr>
    </w:p>
    <w:p w14:paraId="5A1CF466" w14:textId="3D769A24" w:rsidR="00DA632C" w:rsidRDefault="00DA632C" w:rsidP="00DA632C">
      <w:pPr>
        <w:rPr>
          <w:rFonts w:ascii="Arial" w:hAnsi="Arial" w:cs="Arial"/>
          <w:sz w:val="22"/>
          <w:szCs w:val="22"/>
        </w:rPr>
      </w:pPr>
    </w:p>
    <w:p w14:paraId="0A043052" w14:textId="5EB1BB4F" w:rsidR="00DA632C" w:rsidRDefault="00DA632C" w:rsidP="00DA632C">
      <w:pPr>
        <w:rPr>
          <w:rFonts w:ascii="Arial" w:hAnsi="Arial" w:cs="Arial"/>
          <w:sz w:val="22"/>
          <w:szCs w:val="22"/>
        </w:rPr>
      </w:pPr>
    </w:p>
    <w:p w14:paraId="636BBDF5" w14:textId="3D27DB85" w:rsidR="009007B9" w:rsidRPr="00DA632C" w:rsidRDefault="00DA632C" w:rsidP="00DA632C">
      <w:pPr>
        <w:tabs>
          <w:tab w:val="left" w:pos="7673"/>
        </w:tabs>
        <w:rPr>
          <w:rFonts w:ascii="Arial" w:hAnsi="Arial" w:cs="Arial"/>
          <w:sz w:val="22"/>
          <w:szCs w:val="22"/>
        </w:rPr>
      </w:pPr>
      <w:r>
        <w:rPr>
          <w:rFonts w:ascii="Arial" w:hAnsi="Arial" w:cs="Arial"/>
          <w:sz w:val="22"/>
          <w:szCs w:val="22"/>
        </w:rPr>
        <w:tab/>
      </w:r>
      <w:bookmarkStart w:id="1" w:name="_GoBack"/>
      <w:bookmarkEnd w:id="1"/>
    </w:p>
    <w:sectPr w:rsidR="009007B9" w:rsidRPr="00DA632C" w:rsidSect="001237E7">
      <w:headerReference w:type="default" r:id="rId7"/>
      <w:footerReference w:type="default" r:id="rId8"/>
      <w:pgSz w:w="12240" w:h="15840" w:code="1"/>
      <w:pgMar w:top="3119"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DAD60" w14:textId="77777777" w:rsidR="00CE3C6C" w:rsidRDefault="00CE3C6C" w:rsidP="00BF5215">
      <w:pPr>
        <w:spacing w:before="0" w:after="0" w:line="240" w:lineRule="auto"/>
      </w:pPr>
      <w:r>
        <w:separator/>
      </w:r>
    </w:p>
  </w:endnote>
  <w:endnote w:type="continuationSeparator" w:id="0">
    <w:p w14:paraId="1F6EB7C8" w14:textId="77777777" w:rsidR="00CE3C6C" w:rsidRDefault="00CE3C6C" w:rsidP="00BF52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A74C3B7-2A8A-4B69-8509-8E22E9CE61CE}"/>
    <w:embedBold r:id="rId2" w:fontKey="{5D69B384-0990-43F2-9EBB-6F1A881D91F7}"/>
    <w:embedItalic r:id="rId3" w:fontKey="{270D6063-D79D-44F1-9768-AA67A77162A3}"/>
  </w:font>
  <w:font w:name="Exo">
    <w:charset w:val="00"/>
    <w:family w:val="auto"/>
    <w:pitch w:val="variable"/>
    <w:sig w:usb0="A00000EF" w:usb1="4000204B" w:usb2="00000000" w:usb3="00000000" w:csb0="00000193" w:csb1="00000000"/>
    <w:embedRegular r:id="rId4" w:fontKey="{89A1EAA6-1CFC-42C0-92F4-8B8FFEEDC68C}"/>
    <w:embedBold r:id="rId5" w:fontKey="{DCC05F7A-3CCC-4DEA-9E67-10A236221808}"/>
    <w:embedItalic r:id="rId6" w:fontKey="{BA8CE02F-51C8-4C2D-ACB7-87CF78668BC0}"/>
  </w:font>
  <w:font w:name="Aptos Display">
    <w:charset w:val="00"/>
    <w:family w:val="swiss"/>
    <w:pitch w:val="variable"/>
    <w:sig w:usb0="20000287" w:usb1="00000003" w:usb2="00000000" w:usb3="00000000" w:csb0="0000019F" w:csb1="00000000"/>
    <w:embedRegular r:id="rId7" w:fontKey="{06C9F1AC-3330-47DA-A428-6BCB241F4575}"/>
  </w:font>
  <w:font w:name="Segoe UI">
    <w:panose1 w:val="020B0502040204020203"/>
    <w:charset w:val="00"/>
    <w:family w:val="swiss"/>
    <w:pitch w:val="variable"/>
    <w:sig w:usb0="E4002EFF" w:usb1="C000E47F" w:usb2="00000009" w:usb3="00000000" w:csb0="000001FF" w:csb1="00000000"/>
    <w:embedRegular r:id="rId8" w:fontKey="{01868F94-2FD8-43D7-AAE5-B2091292E579}"/>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484667166"/>
      <w:docPartObj>
        <w:docPartGallery w:val="Page Numbers (Top of Page)"/>
        <w:docPartUnique/>
      </w:docPartObj>
    </w:sdtPr>
    <w:sdtEndPr/>
    <w:sdtContent>
      <w:p w14:paraId="70D1DF60" w14:textId="4938B1B8" w:rsidR="00BF5215" w:rsidRPr="00DA632C" w:rsidRDefault="00BF5215" w:rsidP="00BF5215">
        <w:pPr>
          <w:pStyle w:val="Piedepgina"/>
          <w:jc w:val="right"/>
          <w:rPr>
            <w:rFonts w:ascii="Arial" w:hAnsi="Arial" w:cs="Arial"/>
            <w:color w:val="993366"/>
            <w:sz w:val="20"/>
            <w:szCs w:val="20"/>
          </w:rPr>
        </w:pPr>
        <w:r w:rsidRPr="00DA632C">
          <w:rPr>
            <w:rFonts w:ascii="Arial" w:hAnsi="Arial" w:cs="Arial"/>
            <w:b/>
            <w:bCs/>
            <w:color w:val="993366"/>
          </w:rPr>
          <w:t xml:space="preserve">Página </w:t>
        </w:r>
        <w:r w:rsidRPr="00DA632C">
          <w:rPr>
            <w:rFonts w:ascii="Arial" w:hAnsi="Arial" w:cs="Arial"/>
            <w:b/>
            <w:bCs/>
            <w:color w:val="993366"/>
          </w:rPr>
          <w:fldChar w:fldCharType="begin"/>
        </w:r>
        <w:r w:rsidRPr="00DA632C">
          <w:rPr>
            <w:rFonts w:ascii="Arial" w:hAnsi="Arial" w:cs="Arial"/>
            <w:b/>
            <w:bCs/>
            <w:color w:val="993366"/>
          </w:rPr>
          <w:instrText>PAGE</w:instrText>
        </w:r>
        <w:r w:rsidRPr="00DA632C">
          <w:rPr>
            <w:rFonts w:ascii="Arial" w:hAnsi="Arial" w:cs="Arial"/>
            <w:b/>
            <w:bCs/>
            <w:color w:val="993366"/>
          </w:rPr>
          <w:fldChar w:fldCharType="separate"/>
        </w:r>
        <w:r w:rsidR="00DA632C">
          <w:rPr>
            <w:rFonts w:ascii="Arial" w:hAnsi="Arial" w:cs="Arial"/>
            <w:b/>
            <w:bCs/>
            <w:noProof/>
            <w:color w:val="993366"/>
          </w:rPr>
          <w:t>9</w:t>
        </w:r>
        <w:r w:rsidRPr="00DA632C">
          <w:rPr>
            <w:rFonts w:ascii="Arial" w:hAnsi="Arial" w:cs="Arial"/>
            <w:b/>
            <w:bCs/>
            <w:color w:val="993366"/>
          </w:rPr>
          <w:fldChar w:fldCharType="end"/>
        </w:r>
        <w:r w:rsidRPr="00DA632C">
          <w:rPr>
            <w:rFonts w:ascii="Arial" w:hAnsi="Arial" w:cs="Arial"/>
            <w:b/>
            <w:bCs/>
            <w:color w:val="993366"/>
          </w:rPr>
          <w:t xml:space="preserve"> | </w:t>
        </w:r>
        <w:r w:rsidRPr="00DA632C">
          <w:rPr>
            <w:rFonts w:ascii="Arial" w:hAnsi="Arial" w:cs="Arial"/>
            <w:b/>
            <w:bCs/>
            <w:color w:val="993366"/>
          </w:rPr>
          <w:fldChar w:fldCharType="begin"/>
        </w:r>
        <w:r w:rsidRPr="00DA632C">
          <w:rPr>
            <w:rFonts w:ascii="Arial" w:hAnsi="Arial" w:cs="Arial"/>
            <w:b/>
            <w:bCs/>
            <w:color w:val="993366"/>
          </w:rPr>
          <w:instrText>NUMPAGES</w:instrText>
        </w:r>
        <w:r w:rsidRPr="00DA632C">
          <w:rPr>
            <w:rFonts w:ascii="Arial" w:hAnsi="Arial" w:cs="Arial"/>
            <w:b/>
            <w:bCs/>
            <w:color w:val="993366"/>
          </w:rPr>
          <w:fldChar w:fldCharType="separate"/>
        </w:r>
        <w:r w:rsidR="00DA632C">
          <w:rPr>
            <w:rFonts w:ascii="Arial" w:hAnsi="Arial" w:cs="Arial"/>
            <w:b/>
            <w:bCs/>
            <w:noProof/>
            <w:color w:val="993366"/>
          </w:rPr>
          <w:t>9</w:t>
        </w:r>
        <w:r w:rsidRPr="00DA632C">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16D7D" w14:textId="77777777" w:rsidR="00CE3C6C" w:rsidRDefault="00CE3C6C" w:rsidP="00BF5215">
      <w:pPr>
        <w:spacing w:before="0" w:after="0" w:line="240" w:lineRule="auto"/>
      </w:pPr>
      <w:r>
        <w:separator/>
      </w:r>
    </w:p>
  </w:footnote>
  <w:footnote w:type="continuationSeparator" w:id="0">
    <w:p w14:paraId="29C7826A" w14:textId="77777777" w:rsidR="00CE3C6C" w:rsidRDefault="00CE3C6C" w:rsidP="00BF521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BF5215" w14:paraId="025EA428" w14:textId="77777777" w:rsidTr="000B0588">
      <w:tc>
        <w:tcPr>
          <w:tcW w:w="1813" w:type="dxa"/>
        </w:tcPr>
        <w:p w14:paraId="10537B66" w14:textId="77777777" w:rsidR="00BF5215" w:rsidRDefault="00BF5215" w:rsidP="00BF5215">
          <w:pPr>
            <w:pStyle w:val="Encabezado"/>
          </w:pPr>
          <w:r>
            <w:rPr>
              <w:b/>
              <w:noProof/>
              <w:sz w:val="32"/>
              <w:lang w:val="es-MX" w:eastAsia="es-MX"/>
            </w:rPr>
            <w:drawing>
              <wp:inline distT="0" distB="0" distL="0" distR="0" wp14:anchorId="03CC3214" wp14:editId="4BA9EECD">
                <wp:extent cx="1014331" cy="1199403"/>
                <wp:effectExtent l="0" t="0" r="0" b="1270"/>
                <wp:docPr id="558092420" name="Imagen 558092420"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6DB1B6FE" w14:textId="77777777" w:rsidR="00BF5215" w:rsidRPr="00B33A23" w:rsidRDefault="00BF5215" w:rsidP="00BF5215">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55C61E4A" w14:textId="77777777" w:rsidR="00BF5215" w:rsidRDefault="00BF5215" w:rsidP="00BF5215">
          <w:pPr>
            <w:pStyle w:val="Encabezado"/>
            <w:spacing w:before="60"/>
            <w:jc w:val="center"/>
          </w:pPr>
          <w:r w:rsidRPr="00B33A23">
            <w:rPr>
              <w:rFonts w:ascii="Arial" w:hAnsi="Arial" w:cs="Arial"/>
              <w:b/>
              <w:bCs/>
              <w:sz w:val="28"/>
              <w:szCs w:val="28"/>
            </w:rPr>
            <w:t>CONSEJO ESTATAL</w:t>
          </w:r>
        </w:p>
      </w:tc>
      <w:tc>
        <w:tcPr>
          <w:tcW w:w="1560" w:type="dxa"/>
        </w:tcPr>
        <w:p w14:paraId="2C84EC01" w14:textId="77777777" w:rsidR="00BF5215" w:rsidRDefault="00BF5215" w:rsidP="00BF5215">
          <w:pPr>
            <w:pStyle w:val="Encabezado"/>
            <w:spacing w:before="480"/>
            <w:jc w:val="right"/>
          </w:pPr>
          <w:r>
            <w:rPr>
              <w:noProof/>
              <w:lang w:val="es-MX" w:eastAsia="es-MX"/>
            </w:rPr>
            <w:drawing>
              <wp:inline distT="0" distB="0" distL="0" distR="0" wp14:anchorId="513B0E85" wp14:editId="61A8EFFD">
                <wp:extent cx="921600" cy="756000"/>
                <wp:effectExtent l="0" t="0" r="0" b="6350"/>
                <wp:docPr id="1376287526"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FC0A868" w14:textId="308A53BC" w:rsidR="00BF5215" w:rsidRPr="00DA632C" w:rsidRDefault="00DA632C" w:rsidP="00DA632C">
    <w:pPr>
      <w:pStyle w:val="Encabezado"/>
      <w:jc w:val="right"/>
      <w:rPr>
        <w:rFonts w:ascii="Arial" w:hAnsi="Arial" w:cs="Arial"/>
        <w:b/>
      </w:rPr>
    </w:pPr>
    <w:r w:rsidRPr="00DA632C">
      <w:rPr>
        <w:rFonts w:ascii="Arial" w:hAnsi="Arial" w:cs="Arial"/>
        <w:b/>
      </w:rPr>
      <w:t>CE/2025/051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97B8B"/>
    <w:multiLevelType w:val="hybridMultilevel"/>
    <w:tmpl w:val="2CD0AFCE"/>
    <w:lvl w:ilvl="0" w:tplc="45BA7F8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B24555"/>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2B242D27"/>
    <w:multiLevelType w:val="hybridMultilevel"/>
    <w:tmpl w:val="EEB889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A01C06"/>
    <w:multiLevelType w:val="hybridMultilevel"/>
    <w:tmpl w:val="9CDAFB9E"/>
    <w:lvl w:ilvl="0" w:tplc="EBB62F9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5BD840C9"/>
    <w:multiLevelType w:val="hybridMultilevel"/>
    <w:tmpl w:val="1CB83EDC"/>
    <w:lvl w:ilvl="0" w:tplc="E304C2F6">
      <w:start w:val="1"/>
      <w:numFmt w:val="lowerLetter"/>
      <w:lvlText w:val="%1)"/>
      <w:lvlJc w:val="left"/>
      <w:pPr>
        <w:ind w:left="1425" w:hanging="70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574"/>
    <w:rsid w:val="00022B55"/>
    <w:rsid w:val="000315A7"/>
    <w:rsid w:val="000A4490"/>
    <w:rsid w:val="001237E7"/>
    <w:rsid w:val="00184C77"/>
    <w:rsid w:val="005339DD"/>
    <w:rsid w:val="009007B9"/>
    <w:rsid w:val="00985299"/>
    <w:rsid w:val="00B17B1E"/>
    <w:rsid w:val="00B818A8"/>
    <w:rsid w:val="00BC1574"/>
    <w:rsid w:val="00BF5215"/>
    <w:rsid w:val="00C11A50"/>
    <w:rsid w:val="00C27BF5"/>
    <w:rsid w:val="00CE3C6C"/>
    <w:rsid w:val="00DA632C"/>
    <w:rsid w:val="00E913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8680F"/>
  <w15:chartTrackingRefBased/>
  <w15:docId w15:val="{F3D57E7C-C536-4DAB-BF50-5B6FC0B09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574"/>
    <w:pPr>
      <w:spacing w:before="240" w:after="240" w:line="276" w:lineRule="auto"/>
      <w:jc w:val="both"/>
    </w:pPr>
    <w:rPr>
      <w:rFonts w:ascii="Exo" w:hAnsi="Exo"/>
      <w:lang w:val="es-ES"/>
    </w:rPr>
  </w:style>
  <w:style w:type="paragraph" w:styleId="Ttulo1">
    <w:name w:val="heading 1"/>
    <w:basedOn w:val="Normal"/>
    <w:next w:val="Normal"/>
    <w:link w:val="Ttulo1Car"/>
    <w:uiPriority w:val="9"/>
    <w:qFormat/>
    <w:rsid w:val="00BC1574"/>
    <w:pPr>
      <w:keepNext/>
      <w:keepLines/>
      <w:numPr>
        <w:numId w:val="5"/>
      </w:numPr>
      <w:spacing w:before="600" w:after="360"/>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BC1574"/>
    <w:pPr>
      <w:keepNext/>
      <w:keepLines/>
      <w:numPr>
        <w:ilvl w:val="1"/>
        <w:numId w:val="5"/>
      </w:numPr>
      <w:spacing w:before="480"/>
      <w:outlineLvl w:val="1"/>
    </w:pPr>
    <w:rPr>
      <w:rFonts w:eastAsiaTheme="majorEastAsia" w:cstheme="majorBidi"/>
      <w:b/>
      <w:bCs/>
    </w:rPr>
  </w:style>
  <w:style w:type="paragraph" w:styleId="Ttulo3">
    <w:name w:val="heading 3"/>
    <w:basedOn w:val="Normal"/>
    <w:next w:val="Normal"/>
    <w:link w:val="Ttulo3Car"/>
    <w:uiPriority w:val="9"/>
    <w:semiHidden/>
    <w:unhideWhenUsed/>
    <w:qFormat/>
    <w:rsid w:val="00BC1574"/>
    <w:pPr>
      <w:keepNext/>
      <w:keepLines/>
      <w:numPr>
        <w:ilvl w:val="2"/>
        <w:numId w:val="5"/>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C1574"/>
    <w:pPr>
      <w:keepNext/>
      <w:keepLines/>
      <w:numPr>
        <w:ilvl w:val="3"/>
        <w:numId w:val="5"/>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C1574"/>
    <w:pPr>
      <w:keepNext/>
      <w:keepLines/>
      <w:numPr>
        <w:ilvl w:val="4"/>
        <w:numId w:val="5"/>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C1574"/>
    <w:pPr>
      <w:keepNext/>
      <w:keepLines/>
      <w:numPr>
        <w:ilvl w:val="5"/>
        <w:numId w:val="5"/>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C1574"/>
    <w:pPr>
      <w:keepNext/>
      <w:keepLines/>
      <w:numPr>
        <w:ilvl w:val="6"/>
        <w:numId w:val="5"/>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C1574"/>
    <w:pPr>
      <w:keepNext/>
      <w:keepLines/>
      <w:numPr>
        <w:ilvl w:val="7"/>
        <w:numId w:val="5"/>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C1574"/>
    <w:pPr>
      <w:keepNext/>
      <w:keepLines/>
      <w:numPr>
        <w:ilvl w:val="8"/>
        <w:numId w:val="5"/>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C1574"/>
    <w:rPr>
      <w:rFonts w:ascii="Exo" w:eastAsiaTheme="majorEastAsia" w:hAnsi="Exo" w:cstheme="majorBidi"/>
      <w:b/>
      <w:bCs/>
      <w:sz w:val="28"/>
      <w:szCs w:val="28"/>
      <w:lang w:val="es-ES"/>
    </w:rPr>
  </w:style>
  <w:style w:type="character" w:customStyle="1" w:styleId="Ttulo2Car">
    <w:name w:val="Título 2 Car"/>
    <w:basedOn w:val="Fuentedeprrafopredeter"/>
    <w:link w:val="Ttulo2"/>
    <w:uiPriority w:val="9"/>
    <w:rsid w:val="00BC1574"/>
    <w:rPr>
      <w:rFonts w:ascii="Exo" w:eastAsiaTheme="majorEastAsia" w:hAnsi="Exo" w:cstheme="majorBidi"/>
      <w:b/>
      <w:bCs/>
      <w:lang w:val="es-ES"/>
    </w:rPr>
  </w:style>
  <w:style w:type="character" w:customStyle="1" w:styleId="Ttulo3Car">
    <w:name w:val="Título 3 Car"/>
    <w:basedOn w:val="Fuentedeprrafopredeter"/>
    <w:link w:val="Ttulo3"/>
    <w:uiPriority w:val="9"/>
    <w:semiHidden/>
    <w:rsid w:val="00BC157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C157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C157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C157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C157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C157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C1574"/>
    <w:rPr>
      <w:rFonts w:eastAsiaTheme="majorEastAsia" w:cstheme="majorBidi"/>
      <w:color w:val="272727" w:themeColor="text1" w:themeTint="D8"/>
    </w:rPr>
  </w:style>
  <w:style w:type="paragraph" w:styleId="Ttulo">
    <w:name w:val="Title"/>
    <w:basedOn w:val="Normal"/>
    <w:next w:val="Normal"/>
    <w:link w:val="TtuloCar"/>
    <w:uiPriority w:val="10"/>
    <w:qFormat/>
    <w:rsid w:val="00BC15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C157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C157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C157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C1574"/>
    <w:pPr>
      <w:spacing w:before="160"/>
      <w:jc w:val="center"/>
    </w:pPr>
    <w:rPr>
      <w:i/>
      <w:iCs/>
      <w:color w:val="404040" w:themeColor="text1" w:themeTint="BF"/>
    </w:rPr>
  </w:style>
  <w:style w:type="character" w:customStyle="1" w:styleId="CitaCar">
    <w:name w:val="Cita Car"/>
    <w:basedOn w:val="Fuentedeprrafopredeter"/>
    <w:link w:val="Cita"/>
    <w:uiPriority w:val="29"/>
    <w:rsid w:val="00BC1574"/>
    <w:rPr>
      <w:i/>
      <w:iCs/>
      <w:color w:val="404040" w:themeColor="text1" w:themeTint="BF"/>
    </w:rPr>
  </w:style>
  <w:style w:type="paragraph" w:styleId="Prrafodelista">
    <w:name w:val="List Paragraph"/>
    <w:basedOn w:val="Normal"/>
    <w:uiPriority w:val="34"/>
    <w:qFormat/>
    <w:rsid w:val="00BC1574"/>
    <w:pPr>
      <w:ind w:left="720"/>
      <w:contextualSpacing/>
    </w:pPr>
  </w:style>
  <w:style w:type="character" w:styleId="nfasisintenso">
    <w:name w:val="Intense Emphasis"/>
    <w:basedOn w:val="Fuentedeprrafopredeter"/>
    <w:uiPriority w:val="21"/>
    <w:qFormat/>
    <w:rsid w:val="00BC1574"/>
    <w:rPr>
      <w:i/>
      <w:iCs/>
      <w:color w:val="0F4761" w:themeColor="accent1" w:themeShade="BF"/>
    </w:rPr>
  </w:style>
  <w:style w:type="paragraph" w:styleId="Citadestacada">
    <w:name w:val="Intense Quote"/>
    <w:basedOn w:val="Normal"/>
    <w:next w:val="Normal"/>
    <w:link w:val="CitadestacadaCar"/>
    <w:uiPriority w:val="30"/>
    <w:qFormat/>
    <w:rsid w:val="00BC15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C1574"/>
    <w:rPr>
      <w:i/>
      <w:iCs/>
      <w:color w:val="0F4761" w:themeColor="accent1" w:themeShade="BF"/>
    </w:rPr>
  </w:style>
  <w:style w:type="character" w:styleId="Referenciaintensa">
    <w:name w:val="Intense Reference"/>
    <w:basedOn w:val="Fuentedeprrafopredeter"/>
    <w:uiPriority w:val="32"/>
    <w:qFormat/>
    <w:rsid w:val="00BC1574"/>
    <w:rPr>
      <w:b/>
      <w:bCs/>
      <w:smallCaps/>
      <w:color w:val="0F4761" w:themeColor="accent1" w:themeShade="BF"/>
      <w:spacing w:val="5"/>
    </w:rPr>
  </w:style>
  <w:style w:type="table" w:styleId="Tablaconcuadrcula">
    <w:name w:val="Table Grid"/>
    <w:basedOn w:val="Tablanormal"/>
    <w:uiPriority w:val="39"/>
    <w:rsid w:val="00533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F5215"/>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F5215"/>
    <w:rPr>
      <w:rFonts w:ascii="Exo" w:hAnsi="Exo"/>
      <w:lang w:val="es-ES"/>
    </w:rPr>
  </w:style>
  <w:style w:type="paragraph" w:styleId="Piedepgina">
    <w:name w:val="footer"/>
    <w:basedOn w:val="Normal"/>
    <w:link w:val="PiedepginaCar"/>
    <w:uiPriority w:val="99"/>
    <w:unhideWhenUsed/>
    <w:rsid w:val="00BF5215"/>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F5215"/>
    <w:rPr>
      <w:rFonts w:ascii="Exo" w:hAnsi="Exo"/>
      <w:lang w:val="es-ES"/>
    </w:rPr>
  </w:style>
  <w:style w:type="paragraph" w:styleId="Textodeglobo">
    <w:name w:val="Balloon Text"/>
    <w:basedOn w:val="Normal"/>
    <w:link w:val="TextodegloboCar"/>
    <w:uiPriority w:val="99"/>
    <w:semiHidden/>
    <w:unhideWhenUsed/>
    <w:rsid w:val="00DA632C"/>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632C"/>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2839</Words>
  <Characters>15615</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14</cp:revision>
  <cp:lastPrinted>2025-04-22T21:12:00Z</cp:lastPrinted>
  <dcterms:created xsi:type="dcterms:W3CDTF">2025-04-17T00:52:00Z</dcterms:created>
  <dcterms:modified xsi:type="dcterms:W3CDTF">2025-04-22T21:12:00Z</dcterms:modified>
</cp:coreProperties>
</file>