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D74774" w14:textId="27919938" w:rsidR="0092072A" w:rsidRPr="0089685E" w:rsidRDefault="0089685E" w:rsidP="0092072A">
      <w:pPr>
        <w:spacing w:line="264" w:lineRule="auto"/>
        <w:rPr>
          <w:rFonts w:ascii="Arial" w:hAnsi="Arial" w:cs="Arial"/>
          <w:b/>
          <w:bCs/>
        </w:rPr>
      </w:pPr>
      <w:r w:rsidRPr="0089685E">
        <w:rPr>
          <w:rFonts w:ascii="Arial" w:hAnsi="Arial" w:cs="Arial"/>
          <w:b/>
          <w:bCs/>
        </w:rPr>
        <w:t>ACUERDO QUE, A PROPUESTA DE LA COMISIÓN PERMANENTE DE ORGANIZACIÓN ELECTORAL Y EDUCACIÓN CÍVICA, EMITE EL CONSEJO ESTATAL DEL INSTITUTO ELECTORAL Y DE PARTICIPACIÓN CIUDADANA DE TABASCO POR EL QUE APRUEBA EL LINEAMIENTO PARA EL CONTEO, SELLADO Y AGRUPAMIENTO DE LAS BOLETAS ELECTORALES QUE SE UTILIZARÁN CON MOTIVO DEL PROCESO ELECTORAL LOCAL EXTRAORDINARIO PARA PERSONAS JUZGADORAS DEL PODER JUDICIAL DEL ESTADO DE TABASCO 2024-2025</w:t>
      </w:r>
    </w:p>
    <w:p w14:paraId="4ADCFD17" w14:textId="77777777" w:rsidR="0092072A" w:rsidRPr="0089685E" w:rsidRDefault="0092072A" w:rsidP="0092072A">
      <w:pPr>
        <w:widowControl w:val="0"/>
        <w:spacing w:line="264" w:lineRule="auto"/>
        <w:rPr>
          <w:rFonts w:ascii="Arial" w:hAnsi="Arial" w:cs="Arial"/>
          <w:sz w:val="22"/>
        </w:rPr>
      </w:pPr>
      <w:r w:rsidRPr="0089685E">
        <w:rPr>
          <w:rFonts w:ascii="Arial" w:hAnsi="Arial" w:cs="Arial"/>
          <w:sz w:val="22"/>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888"/>
        <w:gridCol w:w="4183"/>
      </w:tblGrid>
      <w:tr w:rsidR="0065150D" w:rsidRPr="0089685E" w14:paraId="4B7A1BBD" w14:textId="77777777" w:rsidTr="001704A8">
        <w:trPr>
          <w:trHeight w:val="624"/>
          <w:jc w:val="center"/>
        </w:trPr>
        <w:tc>
          <w:tcPr>
            <w:tcW w:w="2042" w:type="pct"/>
            <w:shd w:val="clear" w:color="auto" w:fill="auto"/>
            <w:vAlign w:val="center"/>
          </w:tcPr>
          <w:p w14:paraId="1AE62DEE" w14:textId="77777777" w:rsidR="0092072A" w:rsidRPr="0089685E" w:rsidRDefault="0092072A" w:rsidP="001704A8">
            <w:pPr>
              <w:widowControl w:val="0"/>
              <w:spacing w:before="120" w:after="120" w:line="264" w:lineRule="auto"/>
              <w:ind w:left="57"/>
              <w:jc w:val="right"/>
              <w:rPr>
                <w:rFonts w:ascii="Arial" w:hAnsi="Arial" w:cs="Arial"/>
                <w:b/>
                <w:sz w:val="20"/>
                <w:szCs w:val="22"/>
              </w:rPr>
            </w:pPr>
            <w:r w:rsidRPr="0089685E">
              <w:rPr>
                <w:rFonts w:ascii="Arial" w:hAnsi="Arial" w:cs="Arial"/>
                <w:b/>
                <w:sz w:val="20"/>
                <w:szCs w:val="22"/>
              </w:rPr>
              <w:t>Comisión:</w:t>
            </w:r>
          </w:p>
        </w:tc>
        <w:tc>
          <w:tcPr>
            <w:tcW w:w="2958" w:type="pct"/>
            <w:shd w:val="clear" w:color="auto" w:fill="auto"/>
            <w:vAlign w:val="center"/>
          </w:tcPr>
          <w:p w14:paraId="0B7CBD62" w14:textId="77777777" w:rsidR="0092072A" w:rsidRPr="0089685E" w:rsidRDefault="0092072A" w:rsidP="001704A8">
            <w:pPr>
              <w:widowControl w:val="0"/>
              <w:spacing w:before="120" w:after="120" w:line="264" w:lineRule="auto"/>
              <w:ind w:left="57"/>
              <w:rPr>
                <w:rFonts w:ascii="Arial" w:hAnsi="Arial" w:cs="Arial"/>
                <w:sz w:val="20"/>
                <w:szCs w:val="22"/>
              </w:rPr>
            </w:pPr>
            <w:r w:rsidRPr="0089685E">
              <w:rPr>
                <w:rFonts w:ascii="Arial" w:hAnsi="Arial" w:cs="Arial"/>
                <w:sz w:val="20"/>
                <w:szCs w:val="22"/>
              </w:rPr>
              <w:t>Comisión Permanente de Organización Electoral y Educación Cívica del Instituto Electoral y de Participación Ciudadana de Tabasco.</w:t>
            </w:r>
          </w:p>
        </w:tc>
      </w:tr>
      <w:tr w:rsidR="0065150D" w:rsidRPr="0089685E" w14:paraId="3EC8925F" w14:textId="77777777" w:rsidTr="001704A8">
        <w:trPr>
          <w:trHeight w:val="624"/>
          <w:jc w:val="center"/>
        </w:trPr>
        <w:tc>
          <w:tcPr>
            <w:tcW w:w="2042" w:type="pct"/>
            <w:shd w:val="clear" w:color="auto" w:fill="auto"/>
            <w:vAlign w:val="center"/>
          </w:tcPr>
          <w:p w14:paraId="2686F1E9" w14:textId="77777777" w:rsidR="0092072A" w:rsidRPr="0089685E" w:rsidRDefault="0092072A" w:rsidP="001704A8">
            <w:pPr>
              <w:widowControl w:val="0"/>
              <w:spacing w:before="120" w:after="120" w:line="264" w:lineRule="auto"/>
              <w:ind w:left="57"/>
              <w:jc w:val="right"/>
              <w:rPr>
                <w:rFonts w:ascii="Arial" w:hAnsi="Arial" w:cs="Arial"/>
                <w:b/>
                <w:sz w:val="20"/>
                <w:szCs w:val="22"/>
              </w:rPr>
            </w:pPr>
            <w:bookmarkStart w:id="0" w:name="_Hlk186652747"/>
            <w:r w:rsidRPr="0089685E">
              <w:rPr>
                <w:rFonts w:ascii="Arial" w:hAnsi="Arial" w:cs="Arial"/>
                <w:b/>
                <w:sz w:val="20"/>
                <w:szCs w:val="22"/>
              </w:rPr>
              <w:t>Consejo Estatal:</w:t>
            </w:r>
          </w:p>
        </w:tc>
        <w:tc>
          <w:tcPr>
            <w:tcW w:w="2958" w:type="pct"/>
            <w:shd w:val="clear" w:color="auto" w:fill="auto"/>
            <w:vAlign w:val="center"/>
          </w:tcPr>
          <w:p w14:paraId="21FB3FBA" w14:textId="77777777" w:rsidR="0092072A" w:rsidRPr="0089685E" w:rsidRDefault="0092072A" w:rsidP="001704A8">
            <w:pPr>
              <w:widowControl w:val="0"/>
              <w:spacing w:before="120" w:after="120" w:line="264" w:lineRule="auto"/>
              <w:ind w:left="57"/>
              <w:rPr>
                <w:rFonts w:ascii="Arial" w:hAnsi="Arial" w:cs="Arial"/>
                <w:sz w:val="20"/>
                <w:szCs w:val="22"/>
              </w:rPr>
            </w:pPr>
            <w:r w:rsidRPr="0089685E">
              <w:rPr>
                <w:rFonts w:ascii="Arial" w:hAnsi="Arial" w:cs="Arial"/>
                <w:sz w:val="20"/>
                <w:szCs w:val="22"/>
              </w:rPr>
              <w:t>Consejo Estatal del Instituto Electoral y de Participación Ciudadana de Tabasco.</w:t>
            </w:r>
          </w:p>
        </w:tc>
      </w:tr>
      <w:tr w:rsidR="0065150D" w:rsidRPr="0089685E" w14:paraId="66E3567A" w14:textId="77777777" w:rsidTr="001704A8">
        <w:trPr>
          <w:trHeight w:val="624"/>
          <w:jc w:val="center"/>
        </w:trPr>
        <w:tc>
          <w:tcPr>
            <w:tcW w:w="2042" w:type="pct"/>
            <w:shd w:val="clear" w:color="auto" w:fill="auto"/>
            <w:vAlign w:val="center"/>
          </w:tcPr>
          <w:p w14:paraId="2FA40B26" w14:textId="77777777" w:rsidR="0092072A" w:rsidRPr="0089685E" w:rsidRDefault="0092072A" w:rsidP="001704A8">
            <w:pPr>
              <w:widowControl w:val="0"/>
              <w:spacing w:before="120" w:after="120" w:line="264" w:lineRule="auto"/>
              <w:ind w:left="57"/>
              <w:jc w:val="right"/>
              <w:rPr>
                <w:rFonts w:ascii="Arial" w:hAnsi="Arial" w:cs="Arial"/>
                <w:b/>
                <w:sz w:val="20"/>
                <w:szCs w:val="22"/>
              </w:rPr>
            </w:pPr>
            <w:r w:rsidRPr="0089685E">
              <w:rPr>
                <w:rFonts w:ascii="Arial" w:hAnsi="Arial" w:cs="Arial"/>
                <w:b/>
                <w:sz w:val="20"/>
                <w:szCs w:val="22"/>
              </w:rPr>
              <w:t>Consejos Distritales:</w:t>
            </w:r>
          </w:p>
        </w:tc>
        <w:tc>
          <w:tcPr>
            <w:tcW w:w="2958" w:type="pct"/>
            <w:shd w:val="clear" w:color="auto" w:fill="auto"/>
            <w:vAlign w:val="center"/>
          </w:tcPr>
          <w:p w14:paraId="434C72F7" w14:textId="77777777" w:rsidR="0092072A" w:rsidRPr="0089685E" w:rsidRDefault="0092072A" w:rsidP="001704A8">
            <w:pPr>
              <w:widowControl w:val="0"/>
              <w:spacing w:before="120" w:after="120" w:line="264" w:lineRule="auto"/>
              <w:ind w:left="57"/>
              <w:rPr>
                <w:rFonts w:ascii="Arial" w:hAnsi="Arial" w:cs="Arial"/>
                <w:sz w:val="20"/>
                <w:szCs w:val="22"/>
              </w:rPr>
            </w:pPr>
            <w:r w:rsidRPr="0089685E">
              <w:rPr>
                <w:rFonts w:ascii="Arial" w:hAnsi="Arial" w:cs="Arial"/>
                <w:sz w:val="20"/>
                <w:szCs w:val="22"/>
              </w:rPr>
              <w:t>Consejos Electorales Distritales del Instituto Electoral y de Participación Ciudadana de Tabasco.</w:t>
            </w:r>
          </w:p>
        </w:tc>
      </w:tr>
      <w:tr w:rsidR="0065150D" w:rsidRPr="0089685E" w14:paraId="4E3009CD" w14:textId="77777777" w:rsidTr="001704A8">
        <w:trPr>
          <w:trHeight w:val="624"/>
          <w:jc w:val="center"/>
        </w:trPr>
        <w:tc>
          <w:tcPr>
            <w:tcW w:w="2042" w:type="pct"/>
            <w:shd w:val="clear" w:color="auto" w:fill="auto"/>
            <w:vAlign w:val="center"/>
          </w:tcPr>
          <w:p w14:paraId="3A7983FA" w14:textId="77777777" w:rsidR="0092072A" w:rsidRPr="0089685E" w:rsidRDefault="0092072A" w:rsidP="001704A8">
            <w:pPr>
              <w:widowControl w:val="0"/>
              <w:spacing w:before="120" w:after="120" w:line="264" w:lineRule="auto"/>
              <w:ind w:left="57"/>
              <w:jc w:val="right"/>
              <w:rPr>
                <w:rFonts w:ascii="Arial" w:hAnsi="Arial" w:cs="Arial"/>
                <w:b/>
                <w:sz w:val="20"/>
                <w:szCs w:val="22"/>
              </w:rPr>
            </w:pPr>
            <w:r w:rsidRPr="0089685E">
              <w:rPr>
                <w:rFonts w:ascii="Arial" w:hAnsi="Arial" w:cs="Arial"/>
                <w:b/>
                <w:sz w:val="20"/>
                <w:szCs w:val="22"/>
              </w:rPr>
              <w:t>Constitución Federal:</w:t>
            </w:r>
          </w:p>
        </w:tc>
        <w:tc>
          <w:tcPr>
            <w:tcW w:w="2958" w:type="pct"/>
            <w:shd w:val="clear" w:color="auto" w:fill="auto"/>
            <w:vAlign w:val="center"/>
          </w:tcPr>
          <w:p w14:paraId="62C8D8BF" w14:textId="77777777" w:rsidR="0092072A" w:rsidRPr="0089685E" w:rsidRDefault="0092072A" w:rsidP="001704A8">
            <w:pPr>
              <w:widowControl w:val="0"/>
              <w:spacing w:before="120" w:after="120" w:line="264" w:lineRule="auto"/>
              <w:ind w:left="57"/>
              <w:rPr>
                <w:rFonts w:ascii="Arial" w:hAnsi="Arial" w:cs="Arial"/>
                <w:sz w:val="20"/>
                <w:szCs w:val="22"/>
              </w:rPr>
            </w:pPr>
            <w:r w:rsidRPr="0089685E">
              <w:rPr>
                <w:rFonts w:ascii="Arial" w:hAnsi="Arial" w:cs="Arial"/>
                <w:sz w:val="20"/>
                <w:szCs w:val="22"/>
              </w:rPr>
              <w:t>Constitución Política de los Estados Unidos Mexicanos.</w:t>
            </w:r>
          </w:p>
        </w:tc>
      </w:tr>
      <w:tr w:rsidR="0065150D" w:rsidRPr="0089685E" w14:paraId="1627043E" w14:textId="77777777" w:rsidTr="001704A8">
        <w:trPr>
          <w:trHeight w:val="624"/>
          <w:jc w:val="center"/>
        </w:trPr>
        <w:tc>
          <w:tcPr>
            <w:tcW w:w="2042" w:type="pct"/>
            <w:shd w:val="clear" w:color="auto" w:fill="auto"/>
            <w:vAlign w:val="center"/>
          </w:tcPr>
          <w:p w14:paraId="23F4E553" w14:textId="77777777" w:rsidR="0092072A" w:rsidRPr="0089685E" w:rsidRDefault="0092072A" w:rsidP="001704A8">
            <w:pPr>
              <w:widowControl w:val="0"/>
              <w:spacing w:before="120" w:after="120" w:line="264" w:lineRule="auto"/>
              <w:ind w:left="57"/>
              <w:jc w:val="right"/>
              <w:rPr>
                <w:rFonts w:ascii="Arial" w:hAnsi="Arial" w:cs="Arial"/>
                <w:b/>
                <w:sz w:val="20"/>
                <w:szCs w:val="22"/>
              </w:rPr>
            </w:pPr>
            <w:r w:rsidRPr="0089685E">
              <w:rPr>
                <w:rFonts w:ascii="Arial" w:hAnsi="Arial" w:cs="Arial"/>
                <w:b/>
                <w:sz w:val="20"/>
                <w:szCs w:val="22"/>
              </w:rPr>
              <w:t>Constitución Local:</w:t>
            </w:r>
          </w:p>
        </w:tc>
        <w:tc>
          <w:tcPr>
            <w:tcW w:w="2958" w:type="pct"/>
            <w:shd w:val="clear" w:color="auto" w:fill="auto"/>
            <w:vAlign w:val="center"/>
          </w:tcPr>
          <w:p w14:paraId="050E718E" w14:textId="77777777" w:rsidR="0092072A" w:rsidRPr="0089685E" w:rsidRDefault="0092072A" w:rsidP="001704A8">
            <w:pPr>
              <w:widowControl w:val="0"/>
              <w:spacing w:before="120" w:after="120" w:line="264" w:lineRule="auto"/>
              <w:ind w:left="57"/>
              <w:rPr>
                <w:rFonts w:ascii="Arial" w:hAnsi="Arial" w:cs="Arial"/>
                <w:sz w:val="20"/>
                <w:szCs w:val="22"/>
              </w:rPr>
            </w:pPr>
            <w:r w:rsidRPr="0089685E">
              <w:rPr>
                <w:rFonts w:ascii="Arial" w:hAnsi="Arial" w:cs="Arial"/>
                <w:sz w:val="20"/>
                <w:szCs w:val="22"/>
              </w:rPr>
              <w:t>Constitución Política del Estado Libre y Soberano de Tabasco.</w:t>
            </w:r>
          </w:p>
        </w:tc>
      </w:tr>
      <w:tr w:rsidR="0065150D" w:rsidRPr="0089685E" w14:paraId="0038E9BA" w14:textId="77777777" w:rsidTr="001704A8">
        <w:trPr>
          <w:trHeight w:val="624"/>
          <w:jc w:val="center"/>
        </w:trPr>
        <w:tc>
          <w:tcPr>
            <w:tcW w:w="2042" w:type="pct"/>
            <w:shd w:val="clear" w:color="auto" w:fill="auto"/>
            <w:vAlign w:val="center"/>
          </w:tcPr>
          <w:p w14:paraId="71DA8614" w14:textId="77777777" w:rsidR="0092072A" w:rsidRPr="0089685E" w:rsidRDefault="0092072A" w:rsidP="001704A8">
            <w:pPr>
              <w:widowControl w:val="0"/>
              <w:spacing w:before="120" w:after="120" w:line="264" w:lineRule="auto"/>
              <w:ind w:left="57"/>
              <w:jc w:val="right"/>
              <w:rPr>
                <w:rFonts w:ascii="Arial" w:hAnsi="Arial" w:cs="Arial"/>
                <w:b/>
                <w:sz w:val="20"/>
                <w:szCs w:val="22"/>
              </w:rPr>
            </w:pPr>
            <w:r w:rsidRPr="0089685E">
              <w:rPr>
                <w:rFonts w:ascii="Arial" w:hAnsi="Arial" w:cs="Arial"/>
                <w:b/>
                <w:sz w:val="20"/>
                <w:szCs w:val="22"/>
              </w:rPr>
              <w:t>INE:</w:t>
            </w:r>
          </w:p>
        </w:tc>
        <w:tc>
          <w:tcPr>
            <w:tcW w:w="2958" w:type="pct"/>
            <w:shd w:val="clear" w:color="auto" w:fill="auto"/>
            <w:vAlign w:val="center"/>
          </w:tcPr>
          <w:p w14:paraId="67569903" w14:textId="77777777" w:rsidR="0092072A" w:rsidRPr="0089685E" w:rsidRDefault="0092072A" w:rsidP="001704A8">
            <w:pPr>
              <w:widowControl w:val="0"/>
              <w:spacing w:before="120" w:after="120" w:line="264" w:lineRule="auto"/>
              <w:ind w:left="57"/>
              <w:rPr>
                <w:rFonts w:ascii="Arial" w:hAnsi="Arial" w:cs="Arial"/>
                <w:sz w:val="20"/>
                <w:szCs w:val="22"/>
              </w:rPr>
            </w:pPr>
            <w:r w:rsidRPr="0089685E">
              <w:rPr>
                <w:rFonts w:ascii="Arial" w:hAnsi="Arial" w:cs="Arial"/>
                <w:sz w:val="20"/>
                <w:szCs w:val="22"/>
              </w:rPr>
              <w:t>Instituto Nacional Electoral.</w:t>
            </w:r>
          </w:p>
        </w:tc>
      </w:tr>
      <w:tr w:rsidR="0065150D" w:rsidRPr="0089685E" w14:paraId="7DF638B8" w14:textId="77777777" w:rsidTr="001704A8">
        <w:trPr>
          <w:trHeight w:val="624"/>
          <w:jc w:val="center"/>
        </w:trPr>
        <w:tc>
          <w:tcPr>
            <w:tcW w:w="2042" w:type="pct"/>
            <w:shd w:val="clear" w:color="auto" w:fill="auto"/>
            <w:vAlign w:val="center"/>
          </w:tcPr>
          <w:p w14:paraId="226B2BAF" w14:textId="77777777" w:rsidR="0092072A" w:rsidRPr="0089685E" w:rsidRDefault="0092072A" w:rsidP="001704A8">
            <w:pPr>
              <w:widowControl w:val="0"/>
              <w:spacing w:before="120" w:after="120" w:line="264" w:lineRule="auto"/>
              <w:ind w:left="57"/>
              <w:jc w:val="right"/>
              <w:rPr>
                <w:rFonts w:ascii="Arial" w:hAnsi="Arial" w:cs="Arial"/>
                <w:b/>
                <w:sz w:val="20"/>
                <w:szCs w:val="22"/>
              </w:rPr>
            </w:pPr>
            <w:r w:rsidRPr="0089685E">
              <w:rPr>
                <w:rFonts w:ascii="Arial" w:hAnsi="Arial" w:cs="Arial"/>
                <w:b/>
                <w:sz w:val="20"/>
                <w:szCs w:val="22"/>
              </w:rPr>
              <w:t>Instituto:</w:t>
            </w:r>
          </w:p>
        </w:tc>
        <w:tc>
          <w:tcPr>
            <w:tcW w:w="2958" w:type="pct"/>
            <w:shd w:val="clear" w:color="auto" w:fill="auto"/>
          </w:tcPr>
          <w:p w14:paraId="0477AB60" w14:textId="77777777" w:rsidR="0092072A" w:rsidRPr="0089685E" w:rsidRDefault="0092072A" w:rsidP="001704A8">
            <w:pPr>
              <w:widowControl w:val="0"/>
              <w:spacing w:before="120" w:after="120" w:line="264" w:lineRule="auto"/>
              <w:ind w:left="57"/>
              <w:rPr>
                <w:rFonts w:ascii="Arial" w:hAnsi="Arial" w:cs="Arial"/>
                <w:sz w:val="20"/>
                <w:szCs w:val="22"/>
              </w:rPr>
            </w:pPr>
            <w:r w:rsidRPr="0089685E">
              <w:rPr>
                <w:rFonts w:ascii="Arial" w:hAnsi="Arial" w:cs="Arial"/>
                <w:sz w:val="20"/>
                <w:szCs w:val="22"/>
              </w:rPr>
              <w:t>Instituto Electoral y de Participación Ciudadana de Tabasco.</w:t>
            </w:r>
          </w:p>
        </w:tc>
      </w:tr>
      <w:tr w:rsidR="0065150D" w:rsidRPr="0089685E" w14:paraId="6B458F5A" w14:textId="77777777" w:rsidTr="001704A8">
        <w:trPr>
          <w:trHeight w:val="624"/>
          <w:jc w:val="center"/>
        </w:trPr>
        <w:tc>
          <w:tcPr>
            <w:tcW w:w="2042" w:type="pct"/>
            <w:shd w:val="clear" w:color="auto" w:fill="auto"/>
            <w:vAlign w:val="center"/>
          </w:tcPr>
          <w:p w14:paraId="69EAE98C" w14:textId="77777777" w:rsidR="0092072A" w:rsidRPr="0089685E" w:rsidRDefault="0092072A" w:rsidP="001704A8">
            <w:pPr>
              <w:widowControl w:val="0"/>
              <w:spacing w:before="120" w:after="120" w:line="264" w:lineRule="auto"/>
              <w:ind w:left="57"/>
              <w:jc w:val="right"/>
              <w:rPr>
                <w:rFonts w:ascii="Arial" w:hAnsi="Arial" w:cs="Arial"/>
                <w:b/>
                <w:sz w:val="20"/>
                <w:szCs w:val="22"/>
              </w:rPr>
            </w:pPr>
            <w:r w:rsidRPr="0089685E">
              <w:rPr>
                <w:rFonts w:ascii="Arial" w:hAnsi="Arial" w:cs="Arial"/>
                <w:b/>
                <w:sz w:val="20"/>
                <w:szCs w:val="22"/>
              </w:rPr>
              <w:t>Ley Electoral:</w:t>
            </w:r>
          </w:p>
        </w:tc>
        <w:tc>
          <w:tcPr>
            <w:tcW w:w="2958" w:type="pct"/>
            <w:shd w:val="clear" w:color="auto" w:fill="auto"/>
            <w:vAlign w:val="center"/>
          </w:tcPr>
          <w:p w14:paraId="740E7FB1" w14:textId="77777777" w:rsidR="0092072A" w:rsidRPr="0089685E" w:rsidRDefault="0092072A" w:rsidP="001704A8">
            <w:pPr>
              <w:widowControl w:val="0"/>
              <w:spacing w:before="120" w:after="120" w:line="264" w:lineRule="auto"/>
              <w:ind w:left="57"/>
              <w:rPr>
                <w:rFonts w:ascii="Arial" w:hAnsi="Arial" w:cs="Arial"/>
                <w:sz w:val="20"/>
                <w:szCs w:val="22"/>
              </w:rPr>
            </w:pPr>
            <w:r w:rsidRPr="0089685E">
              <w:rPr>
                <w:rFonts w:ascii="Arial" w:hAnsi="Arial" w:cs="Arial"/>
                <w:sz w:val="20"/>
                <w:szCs w:val="22"/>
              </w:rPr>
              <w:t>Ley Electoral y de Partidos Políticos del Estado de Tabasco.</w:t>
            </w:r>
          </w:p>
        </w:tc>
      </w:tr>
      <w:tr w:rsidR="0065150D" w:rsidRPr="0089685E" w14:paraId="79CFB001" w14:textId="77777777" w:rsidTr="001704A8">
        <w:trPr>
          <w:trHeight w:val="624"/>
          <w:jc w:val="center"/>
        </w:trPr>
        <w:tc>
          <w:tcPr>
            <w:tcW w:w="2042" w:type="pct"/>
            <w:shd w:val="clear" w:color="auto" w:fill="auto"/>
            <w:vAlign w:val="center"/>
          </w:tcPr>
          <w:p w14:paraId="669958D1" w14:textId="77777777" w:rsidR="0092072A" w:rsidRPr="0089685E" w:rsidRDefault="0092072A" w:rsidP="001704A8">
            <w:pPr>
              <w:widowControl w:val="0"/>
              <w:spacing w:before="120" w:after="120" w:line="264" w:lineRule="auto"/>
              <w:ind w:left="57"/>
              <w:jc w:val="right"/>
              <w:rPr>
                <w:rFonts w:ascii="Arial" w:hAnsi="Arial" w:cs="Arial"/>
                <w:b/>
                <w:sz w:val="20"/>
                <w:szCs w:val="22"/>
              </w:rPr>
            </w:pPr>
            <w:r w:rsidRPr="0089685E">
              <w:rPr>
                <w:rFonts w:ascii="Arial" w:hAnsi="Arial" w:cs="Arial"/>
                <w:b/>
                <w:sz w:val="20"/>
                <w:szCs w:val="22"/>
              </w:rPr>
              <w:t>Ley General:</w:t>
            </w:r>
          </w:p>
        </w:tc>
        <w:tc>
          <w:tcPr>
            <w:tcW w:w="2958" w:type="pct"/>
            <w:shd w:val="clear" w:color="auto" w:fill="auto"/>
            <w:vAlign w:val="center"/>
          </w:tcPr>
          <w:p w14:paraId="23F14423" w14:textId="77777777" w:rsidR="0092072A" w:rsidRPr="0089685E" w:rsidRDefault="0092072A" w:rsidP="001704A8">
            <w:pPr>
              <w:widowControl w:val="0"/>
              <w:spacing w:before="120" w:after="120" w:line="264" w:lineRule="auto"/>
              <w:ind w:left="57"/>
              <w:rPr>
                <w:rFonts w:ascii="Arial" w:hAnsi="Arial" w:cs="Arial"/>
                <w:sz w:val="20"/>
                <w:szCs w:val="22"/>
              </w:rPr>
            </w:pPr>
            <w:r w:rsidRPr="0089685E">
              <w:rPr>
                <w:rFonts w:ascii="Arial" w:hAnsi="Arial" w:cs="Arial"/>
                <w:sz w:val="20"/>
                <w:szCs w:val="22"/>
              </w:rPr>
              <w:t>Ley General de Instituciones y Procedimientos Electorales.</w:t>
            </w:r>
          </w:p>
        </w:tc>
      </w:tr>
      <w:tr w:rsidR="0065150D" w:rsidRPr="0089685E" w14:paraId="6784ACFD" w14:textId="77777777" w:rsidTr="001704A8">
        <w:trPr>
          <w:trHeight w:val="624"/>
          <w:jc w:val="center"/>
        </w:trPr>
        <w:tc>
          <w:tcPr>
            <w:tcW w:w="2042" w:type="pct"/>
            <w:shd w:val="clear" w:color="auto" w:fill="auto"/>
            <w:vAlign w:val="center"/>
          </w:tcPr>
          <w:p w14:paraId="2FA00688" w14:textId="77777777" w:rsidR="0092072A" w:rsidRPr="0089685E" w:rsidRDefault="0092072A" w:rsidP="001704A8">
            <w:pPr>
              <w:widowControl w:val="0"/>
              <w:spacing w:before="120" w:after="120" w:line="264" w:lineRule="auto"/>
              <w:ind w:left="57"/>
              <w:jc w:val="right"/>
              <w:rPr>
                <w:rFonts w:ascii="Arial" w:hAnsi="Arial" w:cs="Arial"/>
                <w:b/>
                <w:sz w:val="20"/>
                <w:szCs w:val="22"/>
              </w:rPr>
            </w:pPr>
            <w:r w:rsidRPr="0089685E">
              <w:rPr>
                <w:rFonts w:ascii="Arial" w:hAnsi="Arial" w:cs="Arial"/>
                <w:b/>
                <w:sz w:val="20"/>
                <w:szCs w:val="22"/>
              </w:rPr>
              <w:lastRenderedPageBreak/>
              <w:t>Organismo electoral:</w:t>
            </w:r>
          </w:p>
        </w:tc>
        <w:tc>
          <w:tcPr>
            <w:tcW w:w="2958" w:type="pct"/>
            <w:shd w:val="clear" w:color="auto" w:fill="auto"/>
            <w:vAlign w:val="center"/>
          </w:tcPr>
          <w:p w14:paraId="2927661A" w14:textId="77777777" w:rsidR="0092072A" w:rsidRPr="0089685E" w:rsidRDefault="0092072A" w:rsidP="001704A8">
            <w:pPr>
              <w:widowControl w:val="0"/>
              <w:spacing w:before="120" w:after="120" w:line="264" w:lineRule="auto"/>
              <w:ind w:left="57"/>
              <w:rPr>
                <w:rFonts w:ascii="Arial" w:hAnsi="Arial" w:cs="Arial"/>
                <w:sz w:val="20"/>
                <w:szCs w:val="22"/>
              </w:rPr>
            </w:pPr>
            <w:r w:rsidRPr="0089685E">
              <w:rPr>
                <w:rFonts w:ascii="Arial" w:hAnsi="Arial" w:cs="Arial"/>
                <w:sz w:val="20"/>
                <w:szCs w:val="22"/>
              </w:rPr>
              <w:t xml:space="preserve">Organismo(s) público(s) local(es) electoral(es). </w:t>
            </w:r>
          </w:p>
        </w:tc>
      </w:tr>
      <w:tr w:rsidR="0065150D" w:rsidRPr="0089685E" w14:paraId="2DD63EA3" w14:textId="77777777" w:rsidTr="001704A8">
        <w:trPr>
          <w:trHeight w:val="624"/>
          <w:jc w:val="center"/>
        </w:trPr>
        <w:tc>
          <w:tcPr>
            <w:tcW w:w="2042" w:type="pct"/>
            <w:shd w:val="clear" w:color="auto" w:fill="auto"/>
            <w:vAlign w:val="center"/>
          </w:tcPr>
          <w:p w14:paraId="67ED52EE" w14:textId="77777777" w:rsidR="0092072A" w:rsidRPr="0089685E" w:rsidRDefault="0092072A" w:rsidP="001704A8">
            <w:pPr>
              <w:widowControl w:val="0"/>
              <w:spacing w:before="120" w:after="120" w:line="264" w:lineRule="auto"/>
              <w:ind w:left="57"/>
              <w:jc w:val="right"/>
              <w:rPr>
                <w:rFonts w:ascii="Arial" w:hAnsi="Arial" w:cs="Arial"/>
                <w:b/>
                <w:sz w:val="20"/>
                <w:szCs w:val="22"/>
              </w:rPr>
            </w:pPr>
            <w:r w:rsidRPr="0089685E">
              <w:rPr>
                <w:rFonts w:ascii="Arial" w:hAnsi="Arial" w:cs="Arial"/>
                <w:b/>
                <w:sz w:val="20"/>
                <w:szCs w:val="22"/>
              </w:rPr>
              <w:t>Proceso Electoral Extraordinario:</w:t>
            </w:r>
          </w:p>
        </w:tc>
        <w:tc>
          <w:tcPr>
            <w:tcW w:w="2958" w:type="pct"/>
            <w:shd w:val="clear" w:color="auto" w:fill="auto"/>
            <w:vAlign w:val="center"/>
          </w:tcPr>
          <w:p w14:paraId="16935951" w14:textId="77777777" w:rsidR="0092072A" w:rsidRPr="0089685E" w:rsidRDefault="0092072A" w:rsidP="001704A8">
            <w:pPr>
              <w:widowControl w:val="0"/>
              <w:spacing w:before="120" w:after="120" w:line="264" w:lineRule="auto"/>
              <w:ind w:left="57"/>
              <w:rPr>
                <w:rFonts w:ascii="Arial" w:hAnsi="Arial" w:cs="Arial"/>
                <w:sz w:val="20"/>
                <w:szCs w:val="22"/>
              </w:rPr>
            </w:pPr>
            <w:r w:rsidRPr="0089685E">
              <w:rPr>
                <w:rFonts w:ascii="Arial" w:hAnsi="Arial" w:cs="Arial"/>
                <w:sz w:val="20"/>
                <w:szCs w:val="22"/>
              </w:rPr>
              <w:t>Proceso Electoral Local Extraordinario para personas juzgadoras del Poder Judicial del Estado de Tabasco 2024 – 2025.</w:t>
            </w:r>
          </w:p>
        </w:tc>
      </w:tr>
      <w:tr w:rsidR="0065150D" w:rsidRPr="0089685E" w14:paraId="4993E1CE" w14:textId="77777777" w:rsidTr="001704A8">
        <w:trPr>
          <w:trHeight w:val="624"/>
          <w:jc w:val="center"/>
        </w:trPr>
        <w:tc>
          <w:tcPr>
            <w:tcW w:w="2042" w:type="pct"/>
            <w:shd w:val="clear" w:color="auto" w:fill="auto"/>
            <w:vAlign w:val="center"/>
          </w:tcPr>
          <w:p w14:paraId="0F2DAE43" w14:textId="77777777" w:rsidR="0092072A" w:rsidRPr="0089685E" w:rsidRDefault="0092072A" w:rsidP="001704A8">
            <w:pPr>
              <w:widowControl w:val="0"/>
              <w:spacing w:before="120" w:after="120" w:line="264" w:lineRule="auto"/>
              <w:ind w:left="57"/>
              <w:jc w:val="right"/>
              <w:rPr>
                <w:rFonts w:ascii="Arial" w:hAnsi="Arial" w:cs="Arial"/>
                <w:b/>
                <w:sz w:val="20"/>
                <w:szCs w:val="22"/>
              </w:rPr>
            </w:pPr>
            <w:r w:rsidRPr="0089685E">
              <w:rPr>
                <w:rFonts w:ascii="Arial" w:hAnsi="Arial" w:cs="Arial"/>
                <w:b/>
                <w:sz w:val="20"/>
                <w:szCs w:val="22"/>
              </w:rPr>
              <w:t>Reglamento de Elecciones:</w:t>
            </w:r>
          </w:p>
        </w:tc>
        <w:tc>
          <w:tcPr>
            <w:tcW w:w="2958" w:type="pct"/>
            <w:shd w:val="clear" w:color="auto" w:fill="auto"/>
            <w:vAlign w:val="center"/>
          </w:tcPr>
          <w:p w14:paraId="6682F8E9" w14:textId="77777777" w:rsidR="0092072A" w:rsidRPr="0089685E" w:rsidRDefault="0092072A" w:rsidP="001704A8">
            <w:pPr>
              <w:widowControl w:val="0"/>
              <w:spacing w:before="120" w:after="120" w:line="264" w:lineRule="auto"/>
              <w:ind w:left="57"/>
              <w:rPr>
                <w:rFonts w:ascii="Arial" w:hAnsi="Arial" w:cs="Arial"/>
                <w:sz w:val="20"/>
                <w:szCs w:val="22"/>
              </w:rPr>
            </w:pPr>
            <w:r w:rsidRPr="0089685E">
              <w:rPr>
                <w:rFonts w:ascii="Arial" w:hAnsi="Arial" w:cs="Arial"/>
                <w:sz w:val="20"/>
                <w:szCs w:val="22"/>
              </w:rPr>
              <w:t>Reglamento de Elecciones del Instituto Nacional Electoral.</w:t>
            </w:r>
          </w:p>
        </w:tc>
      </w:tr>
      <w:tr w:rsidR="0065150D" w:rsidRPr="0089685E" w14:paraId="3EAFA86B" w14:textId="77777777" w:rsidTr="001704A8">
        <w:trPr>
          <w:trHeight w:val="624"/>
          <w:jc w:val="center"/>
        </w:trPr>
        <w:tc>
          <w:tcPr>
            <w:tcW w:w="2042" w:type="pct"/>
            <w:shd w:val="clear" w:color="auto" w:fill="auto"/>
            <w:vAlign w:val="center"/>
          </w:tcPr>
          <w:p w14:paraId="494A6989" w14:textId="77777777" w:rsidR="0092072A" w:rsidRPr="0089685E" w:rsidRDefault="0092072A" w:rsidP="001704A8">
            <w:pPr>
              <w:widowControl w:val="0"/>
              <w:spacing w:before="120" w:after="120" w:line="264" w:lineRule="auto"/>
              <w:ind w:left="57"/>
              <w:jc w:val="right"/>
              <w:rPr>
                <w:rFonts w:ascii="Arial" w:hAnsi="Arial" w:cs="Arial"/>
                <w:b/>
                <w:sz w:val="20"/>
                <w:szCs w:val="22"/>
              </w:rPr>
            </w:pPr>
            <w:r w:rsidRPr="0089685E">
              <w:rPr>
                <w:rFonts w:ascii="Arial" w:hAnsi="Arial" w:cs="Arial"/>
                <w:b/>
                <w:sz w:val="20"/>
                <w:szCs w:val="22"/>
              </w:rPr>
              <w:t>Secretaría Ejecutiva:</w:t>
            </w:r>
          </w:p>
        </w:tc>
        <w:tc>
          <w:tcPr>
            <w:tcW w:w="2958" w:type="pct"/>
            <w:shd w:val="clear" w:color="auto" w:fill="auto"/>
            <w:vAlign w:val="center"/>
          </w:tcPr>
          <w:p w14:paraId="46BF9478" w14:textId="77777777" w:rsidR="0092072A" w:rsidRPr="0089685E" w:rsidRDefault="0092072A" w:rsidP="001704A8">
            <w:pPr>
              <w:widowControl w:val="0"/>
              <w:spacing w:before="120" w:after="120" w:line="264" w:lineRule="auto"/>
              <w:ind w:left="57"/>
              <w:rPr>
                <w:rFonts w:ascii="Arial" w:hAnsi="Arial" w:cs="Arial"/>
                <w:sz w:val="20"/>
                <w:szCs w:val="22"/>
              </w:rPr>
            </w:pPr>
            <w:r w:rsidRPr="0089685E">
              <w:rPr>
                <w:rFonts w:ascii="Arial" w:hAnsi="Arial" w:cs="Arial"/>
                <w:sz w:val="20"/>
                <w:szCs w:val="22"/>
              </w:rPr>
              <w:t>Secretaría Ejecutiva del Instituto Electoral y de Participación Ciudadana de Tabasco.</w:t>
            </w:r>
          </w:p>
        </w:tc>
      </w:tr>
    </w:tbl>
    <w:bookmarkEnd w:id="0"/>
    <w:p w14:paraId="73DCEF21" w14:textId="77777777" w:rsidR="0092072A" w:rsidRPr="0089685E" w:rsidRDefault="0092072A" w:rsidP="00C04AF7">
      <w:pPr>
        <w:pStyle w:val="Ttulo1"/>
        <w:rPr>
          <w:rFonts w:ascii="Arial" w:hAnsi="Arial" w:cs="Arial"/>
          <w:color w:val="auto"/>
        </w:rPr>
      </w:pPr>
      <w:r w:rsidRPr="0089685E">
        <w:rPr>
          <w:rFonts w:ascii="Arial" w:hAnsi="Arial" w:cs="Arial"/>
          <w:color w:val="auto"/>
          <w:sz w:val="24"/>
        </w:rPr>
        <w:t>Antecedentes</w:t>
      </w:r>
    </w:p>
    <w:p w14:paraId="7DCEB228" w14:textId="77777777"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Fines del Instituto</w:t>
      </w:r>
    </w:p>
    <w:p w14:paraId="7D959B65" w14:textId="77777777" w:rsidR="0092072A"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6F775D10" w14:textId="77777777" w:rsidR="0092072A"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Además, es responsable de la organización de las elecciones estatales, distritales y municipales, así como la relativa a las personas titulares de las magistraturas del Tribunal de Disciplina Judicial y del Tribunal Superior de Justicia, y Juezas y Jueces del Poder Judicial del Estado de Tabasco.</w:t>
      </w:r>
    </w:p>
    <w:p w14:paraId="513A13E4" w14:textId="77777777" w:rsidR="0092072A"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 xml:space="preserve">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w:t>
      </w:r>
      <w:r w:rsidRPr="0089685E">
        <w:rPr>
          <w:rFonts w:ascii="Arial" w:hAnsi="Arial" w:cs="Arial"/>
          <w:sz w:val="22"/>
          <w:szCs w:val="22"/>
        </w:rPr>
        <w:lastRenderedPageBreak/>
        <w:t>las mujeres en el ámbito político y electoral, y organizar o coadyuvar a la realización de los ejercicios de consultas populares y demás formas de participación ciudadana.</w:t>
      </w:r>
    </w:p>
    <w:p w14:paraId="3C19ED04" w14:textId="77777777"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Integración del órgano superior de dirección</w:t>
      </w:r>
    </w:p>
    <w:p w14:paraId="49A68E77" w14:textId="77777777" w:rsidR="0092072A"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15B4472C" w14:textId="77777777" w:rsidR="0092072A"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401B1197" w14:textId="77777777" w:rsidR="0092072A"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697EA6F1" w14:textId="77777777"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Órganos centrales del Instituto</w:t>
      </w:r>
    </w:p>
    <w:p w14:paraId="3AD76AA1" w14:textId="77777777" w:rsidR="0092072A"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De acuerdo con el artículo 105 numeral 1 de la Ley Electoral los órganos centrales del Instituto son los siguientes:</w:t>
      </w:r>
    </w:p>
    <w:p w14:paraId="75227EB9" w14:textId="77777777" w:rsidR="0092072A" w:rsidRPr="0089685E" w:rsidRDefault="0092072A" w:rsidP="0092072A">
      <w:pPr>
        <w:pStyle w:val="Prrafodelista"/>
        <w:widowControl w:val="0"/>
        <w:numPr>
          <w:ilvl w:val="0"/>
          <w:numId w:val="1"/>
        </w:numPr>
        <w:spacing w:line="264" w:lineRule="auto"/>
        <w:ind w:left="703" w:hanging="703"/>
        <w:rPr>
          <w:rFonts w:ascii="Arial" w:hAnsi="Arial" w:cs="Arial"/>
          <w:sz w:val="22"/>
          <w:szCs w:val="22"/>
        </w:rPr>
      </w:pPr>
      <w:r w:rsidRPr="0089685E">
        <w:rPr>
          <w:rFonts w:ascii="Arial" w:hAnsi="Arial" w:cs="Arial"/>
          <w:sz w:val="22"/>
          <w:szCs w:val="22"/>
        </w:rPr>
        <w:t>Consejo Estatal;</w:t>
      </w:r>
    </w:p>
    <w:p w14:paraId="4764700D" w14:textId="77777777" w:rsidR="0092072A" w:rsidRPr="0089685E" w:rsidRDefault="0092072A" w:rsidP="0092072A">
      <w:pPr>
        <w:pStyle w:val="Prrafodelista"/>
        <w:widowControl w:val="0"/>
        <w:numPr>
          <w:ilvl w:val="0"/>
          <w:numId w:val="1"/>
        </w:numPr>
        <w:spacing w:line="264" w:lineRule="auto"/>
        <w:ind w:left="703" w:hanging="703"/>
        <w:rPr>
          <w:rFonts w:ascii="Arial" w:hAnsi="Arial" w:cs="Arial"/>
          <w:sz w:val="22"/>
          <w:szCs w:val="22"/>
        </w:rPr>
      </w:pPr>
      <w:r w:rsidRPr="0089685E">
        <w:rPr>
          <w:rFonts w:ascii="Arial" w:hAnsi="Arial" w:cs="Arial"/>
          <w:sz w:val="22"/>
          <w:szCs w:val="22"/>
        </w:rPr>
        <w:t>Presidencia del Consejo Estatal;</w:t>
      </w:r>
    </w:p>
    <w:p w14:paraId="732B6B7A" w14:textId="77777777" w:rsidR="0092072A" w:rsidRPr="0089685E" w:rsidRDefault="0092072A" w:rsidP="0092072A">
      <w:pPr>
        <w:pStyle w:val="Prrafodelista"/>
        <w:widowControl w:val="0"/>
        <w:numPr>
          <w:ilvl w:val="0"/>
          <w:numId w:val="1"/>
        </w:numPr>
        <w:spacing w:line="264" w:lineRule="auto"/>
        <w:ind w:left="703" w:hanging="703"/>
        <w:rPr>
          <w:rFonts w:ascii="Arial" w:hAnsi="Arial" w:cs="Arial"/>
          <w:sz w:val="22"/>
          <w:szCs w:val="22"/>
        </w:rPr>
      </w:pPr>
      <w:r w:rsidRPr="0089685E">
        <w:rPr>
          <w:rFonts w:ascii="Arial" w:hAnsi="Arial" w:cs="Arial"/>
          <w:sz w:val="22"/>
          <w:szCs w:val="22"/>
        </w:rPr>
        <w:t>Junta Estatal Ejecutiva;</w:t>
      </w:r>
    </w:p>
    <w:p w14:paraId="63C70F78" w14:textId="77777777" w:rsidR="0092072A" w:rsidRPr="0089685E" w:rsidRDefault="0092072A" w:rsidP="0092072A">
      <w:pPr>
        <w:pStyle w:val="Prrafodelista"/>
        <w:widowControl w:val="0"/>
        <w:numPr>
          <w:ilvl w:val="0"/>
          <w:numId w:val="1"/>
        </w:numPr>
        <w:spacing w:line="264" w:lineRule="auto"/>
        <w:ind w:left="703" w:hanging="703"/>
        <w:rPr>
          <w:rFonts w:ascii="Arial" w:hAnsi="Arial" w:cs="Arial"/>
          <w:sz w:val="22"/>
          <w:szCs w:val="22"/>
        </w:rPr>
      </w:pPr>
      <w:r w:rsidRPr="0089685E">
        <w:rPr>
          <w:rFonts w:ascii="Arial" w:hAnsi="Arial" w:cs="Arial"/>
          <w:sz w:val="22"/>
          <w:szCs w:val="22"/>
        </w:rPr>
        <w:t>Secretaría Ejecutiva, y</w:t>
      </w:r>
    </w:p>
    <w:p w14:paraId="66A95B03" w14:textId="77777777" w:rsidR="0092072A" w:rsidRPr="0089685E" w:rsidRDefault="0092072A" w:rsidP="0092072A">
      <w:pPr>
        <w:pStyle w:val="Prrafodelista"/>
        <w:widowControl w:val="0"/>
        <w:numPr>
          <w:ilvl w:val="0"/>
          <w:numId w:val="1"/>
        </w:numPr>
        <w:spacing w:line="264" w:lineRule="auto"/>
        <w:ind w:left="703" w:hanging="703"/>
        <w:rPr>
          <w:rFonts w:ascii="Arial" w:hAnsi="Arial" w:cs="Arial"/>
          <w:sz w:val="22"/>
          <w:szCs w:val="22"/>
        </w:rPr>
      </w:pPr>
      <w:r w:rsidRPr="0089685E">
        <w:rPr>
          <w:rFonts w:ascii="Arial" w:hAnsi="Arial" w:cs="Arial"/>
          <w:sz w:val="22"/>
          <w:szCs w:val="22"/>
        </w:rPr>
        <w:t>Órgano Técnico de Fiscalización.</w:t>
      </w:r>
    </w:p>
    <w:p w14:paraId="0A157BED" w14:textId="77777777"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 xml:space="preserve">Reforma Constitucional </w:t>
      </w:r>
    </w:p>
    <w:p w14:paraId="753FF3E8" w14:textId="77777777" w:rsidR="0092072A"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 xml:space="preserve">El 16 de diciembre de 2024 se publicó en el Periódico Oficial del Estado de Tabasco, el decreto 080 mediante el cual, el Congreso Local reformó los artículos 9, párrafo tercero, la fracción I de su Apartado C, y las fracciones VI y VII del Apartado D; 36, fracciones </w:t>
      </w:r>
      <w:r w:rsidRPr="0089685E">
        <w:rPr>
          <w:rFonts w:ascii="Arial" w:hAnsi="Arial" w:cs="Arial"/>
          <w:sz w:val="22"/>
          <w:szCs w:val="22"/>
        </w:rPr>
        <w:lastRenderedPageBreak/>
        <w:t>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317D100E" w14:textId="77777777" w:rsidR="0092072A"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25DDBDD5" w14:textId="77777777"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Inicio del Proceso Electoral Extraordinario</w:t>
      </w:r>
    </w:p>
    <w:p w14:paraId="46C85890" w14:textId="77777777" w:rsidR="0092072A"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El 20 de diciembre de 2024, en cumplimiento al artículo segundo transitorio del decreto 080, el Consejo Estatal declaró el inicio del Proceso Electoral Extraordinario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0EFA7165" w14:textId="77777777"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Reforma a la Ley Electoral</w:t>
      </w:r>
    </w:p>
    <w:p w14:paraId="38DCE471" w14:textId="77777777" w:rsidR="0092072A"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0D349819" w14:textId="77777777"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 xml:space="preserve">Directrices del INE </w:t>
      </w:r>
    </w:p>
    <w:p w14:paraId="35BBB0C7" w14:textId="77777777" w:rsidR="0092072A"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El 30 de enero de 2025, el Consejo General del INE mediante acuerdo INE/CG52/2025 emitió las directrices generales para la organización de los procesos electorales de los poderes judiciales de las entidades federativas en el Proceso Electoral Extraordinario.</w:t>
      </w:r>
    </w:p>
    <w:p w14:paraId="7C7996E2" w14:textId="77777777"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lastRenderedPageBreak/>
        <w:t>Calendario electoral</w:t>
      </w:r>
    </w:p>
    <w:p w14:paraId="5F9E5F13" w14:textId="77777777" w:rsidR="0092072A"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El 5 de marzo de 2025, el Consejo Estatal aprobó el acuerdo CE/2025/021 relativo al calendario electoral para el Proceso Electoral Extraordinario.</w:t>
      </w:r>
    </w:p>
    <w:p w14:paraId="59B24939" w14:textId="77777777"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 xml:space="preserve">Convenio de Coordinación </w:t>
      </w:r>
    </w:p>
    <w:p w14:paraId="27AFEA13" w14:textId="77777777" w:rsidR="0092072A"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 xml:space="preserve">El 14 de marzo de 2025, el INE y el Instituto suscribieron el Convenio General de Coordinación y Colaboración para establecer las bases de coordinación para hacer efectiva la realización del Proceso Electoral Extraordinario.   </w:t>
      </w:r>
    </w:p>
    <w:p w14:paraId="22B390A1" w14:textId="77777777"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Jornada electoral</w:t>
      </w:r>
    </w:p>
    <w:p w14:paraId="5DC02D07" w14:textId="77777777" w:rsidR="0092072A"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308C5CC1" w14:textId="77777777"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Presentación de la propuesta</w:t>
      </w:r>
    </w:p>
    <w:p w14:paraId="13CF3195" w14:textId="6E40DE45" w:rsidR="0092072A" w:rsidRDefault="0092072A" w:rsidP="0092072A">
      <w:pPr>
        <w:widowControl w:val="0"/>
        <w:spacing w:line="264" w:lineRule="auto"/>
        <w:rPr>
          <w:rFonts w:ascii="Arial" w:hAnsi="Arial" w:cs="Arial"/>
          <w:sz w:val="22"/>
          <w:szCs w:val="22"/>
        </w:rPr>
      </w:pPr>
      <w:r w:rsidRPr="0089685E">
        <w:rPr>
          <w:rFonts w:ascii="Arial" w:hAnsi="Arial" w:cs="Arial"/>
          <w:sz w:val="22"/>
          <w:szCs w:val="22"/>
        </w:rPr>
        <w:t>El 14 de abril de 2025, el Secretario Técnico de la Comisión remitió a la Presidencia del Consejo, la propuesta relativa al Lineamiento para el conteo, sellado y agrupamiento de las boletas electorales que se utilizarán con motivo del Proceso Electoral Extraordinario, formulado por dicha Comisión; lo anterior, para efectos de someterlo a la deliberación de este Consejo Estatal.</w:t>
      </w:r>
    </w:p>
    <w:p w14:paraId="499BEE48" w14:textId="77777777" w:rsidR="00A20CC6" w:rsidRPr="0089685E" w:rsidRDefault="00A20CC6" w:rsidP="0092072A">
      <w:pPr>
        <w:widowControl w:val="0"/>
        <w:spacing w:line="264" w:lineRule="auto"/>
        <w:rPr>
          <w:rFonts w:ascii="Arial" w:hAnsi="Arial" w:cs="Arial"/>
          <w:sz w:val="22"/>
          <w:szCs w:val="22"/>
        </w:rPr>
      </w:pPr>
    </w:p>
    <w:p w14:paraId="6B5E656C" w14:textId="77777777" w:rsidR="0092072A" w:rsidRPr="0089685E" w:rsidRDefault="0092072A" w:rsidP="00BC2C83">
      <w:pPr>
        <w:pStyle w:val="Ttulo1"/>
        <w:rPr>
          <w:rFonts w:ascii="Arial" w:hAnsi="Arial" w:cs="Arial"/>
          <w:color w:val="auto"/>
          <w:sz w:val="24"/>
          <w:szCs w:val="22"/>
        </w:rPr>
      </w:pPr>
      <w:r w:rsidRPr="0089685E">
        <w:rPr>
          <w:rFonts w:ascii="Arial" w:hAnsi="Arial" w:cs="Arial"/>
          <w:color w:val="auto"/>
          <w:sz w:val="24"/>
          <w:szCs w:val="22"/>
        </w:rPr>
        <w:t>Considerando</w:t>
      </w:r>
    </w:p>
    <w:p w14:paraId="1F65DF64" w14:textId="77777777"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Competencia del Consejo Estatal</w:t>
      </w:r>
    </w:p>
    <w:p w14:paraId="0828769E" w14:textId="71272F42" w:rsidR="00A20CC6"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 xml:space="preserve">Que, de conformidad con los artículos 115 numeral 1, fracción XL y 393 numeral 1, fracción II de la Ley Electoral, el Consejo Estatal es competente para organizar el proceso electivo de las personas juzgadoras, su jornada electoral y los cómputos de los resultados electorales, en los términos que determine la Ley General y la Ley Electoral; </w:t>
      </w:r>
      <w:r w:rsidRPr="0089685E">
        <w:rPr>
          <w:rFonts w:ascii="Arial" w:hAnsi="Arial" w:cs="Arial"/>
          <w:sz w:val="22"/>
          <w:szCs w:val="22"/>
        </w:rPr>
        <w:lastRenderedPageBreak/>
        <w:t>así como, para aprobar los lineamientos o acuerdos necesarios para llevar a cabo la organización, desarrollo y cómputo de la elección.</w:t>
      </w:r>
    </w:p>
    <w:p w14:paraId="4F3D8A36" w14:textId="77777777" w:rsidR="0092072A"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Acorde a lo anterior, el artículo 115 numeral 5 de la Ley Electoral establece que, el Consejo Estatal podrá emitir los acuerdos que estime necesarios para la organización, integración de la estructura, desarrollo, cómputo, vigilancia y fiscalización de los procesos electorales de las personas juzgadoras, garantizando el cumplimiento de las disposiciones constitucionales y legales aplicables para los procesos electorales estatales, observando los principios de certeza, legalidad, independencia, imparcialidad, máxima publicidad, objetividad y paridad de género.</w:t>
      </w:r>
    </w:p>
    <w:p w14:paraId="06EC24D8" w14:textId="77777777"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 xml:space="preserve">Atribuciones de la Comisión  </w:t>
      </w:r>
    </w:p>
    <w:p w14:paraId="2C4E232C" w14:textId="77777777" w:rsidR="0092072A" w:rsidRPr="0089685E" w:rsidRDefault="0092072A" w:rsidP="0092072A">
      <w:pPr>
        <w:spacing w:line="264" w:lineRule="auto"/>
        <w:rPr>
          <w:rFonts w:ascii="Arial" w:hAnsi="Arial" w:cs="Arial"/>
          <w:sz w:val="22"/>
          <w:szCs w:val="22"/>
        </w:rPr>
      </w:pPr>
      <w:r w:rsidRPr="0089685E">
        <w:rPr>
          <w:rFonts w:ascii="Arial" w:hAnsi="Arial" w:cs="Arial"/>
          <w:sz w:val="22"/>
          <w:szCs w:val="22"/>
        </w:rPr>
        <w:t>Que, de acuerdo a los dispuesto en los artículos 113, numerales 1 y 3 de la Ley Electoral; y 14, numeral 1, fracción VI y VII del Reglamento de Comisiones, la Comisión, es el órgano auxiliar del Consejo Estatal, que tiene entre otras funciones, formular recomendaciones y sugerir directrices a la Dirección de Organización Electoral y Educación Cívica, para el cumplimiento del Programa Anual, así como proponer al Consejo Estatal, políticas y programas generales en materia de Organización Electoral, Educación Cívica o Participación Ciudadana.</w:t>
      </w:r>
    </w:p>
    <w:p w14:paraId="4CA82B5F" w14:textId="77777777"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Proceso electoral de las personas juzgadoras</w:t>
      </w:r>
    </w:p>
    <w:p w14:paraId="6A94B3ED" w14:textId="77777777" w:rsidR="0092072A"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Que, el artículo 386 numeral 1 de la Ley Electoral dispone que, el proceso electoral de las personas juzgadoras del Poder Judicial es el conjunto de actos ordenados por la Constitución Local y la Ley Electoral, realizado por las autoridades electorales, el Congreso del Estado, así como la ciudadanía, que tiene por objeto la renovación periódica de las personas juzgadoras que integran el Poder Judicial.</w:t>
      </w:r>
    </w:p>
    <w:p w14:paraId="65C771D3" w14:textId="77777777"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Etapas del proceso electoral de las personas juzgadoras</w:t>
      </w:r>
    </w:p>
    <w:p w14:paraId="2F66869E" w14:textId="77777777" w:rsidR="0092072A"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Que, el artículo 387 numeral 1 de la Ley Electoral establece que, el proceso de elección de las personas juzgadoras del Poder Judicial comprende las siguientes etapas:</w:t>
      </w:r>
    </w:p>
    <w:p w14:paraId="0B472282" w14:textId="77777777" w:rsidR="0092072A" w:rsidRPr="0089685E" w:rsidRDefault="0092072A" w:rsidP="0092072A">
      <w:pPr>
        <w:pStyle w:val="Prrafodelista"/>
        <w:widowControl w:val="0"/>
        <w:numPr>
          <w:ilvl w:val="0"/>
          <w:numId w:val="2"/>
        </w:numPr>
        <w:spacing w:line="264" w:lineRule="auto"/>
        <w:ind w:left="703" w:hanging="703"/>
        <w:rPr>
          <w:rFonts w:ascii="Arial" w:hAnsi="Arial" w:cs="Arial"/>
          <w:sz w:val="22"/>
          <w:szCs w:val="22"/>
        </w:rPr>
      </w:pPr>
      <w:r w:rsidRPr="0089685E">
        <w:rPr>
          <w:rFonts w:ascii="Arial" w:hAnsi="Arial" w:cs="Arial"/>
          <w:sz w:val="22"/>
          <w:szCs w:val="22"/>
        </w:rPr>
        <w:t>Preparación de la elección;</w:t>
      </w:r>
    </w:p>
    <w:p w14:paraId="4303972A" w14:textId="77777777" w:rsidR="0092072A" w:rsidRPr="0089685E" w:rsidRDefault="0092072A" w:rsidP="0092072A">
      <w:pPr>
        <w:pStyle w:val="Prrafodelista"/>
        <w:widowControl w:val="0"/>
        <w:numPr>
          <w:ilvl w:val="0"/>
          <w:numId w:val="2"/>
        </w:numPr>
        <w:spacing w:line="264" w:lineRule="auto"/>
        <w:ind w:left="703" w:hanging="703"/>
        <w:rPr>
          <w:rFonts w:ascii="Arial" w:hAnsi="Arial" w:cs="Arial"/>
          <w:sz w:val="22"/>
          <w:szCs w:val="22"/>
        </w:rPr>
      </w:pPr>
      <w:r w:rsidRPr="0089685E">
        <w:rPr>
          <w:rFonts w:ascii="Arial" w:hAnsi="Arial" w:cs="Arial"/>
          <w:sz w:val="22"/>
          <w:szCs w:val="22"/>
        </w:rPr>
        <w:t>Convocatoria y postulación de candidaturas;</w:t>
      </w:r>
    </w:p>
    <w:p w14:paraId="7BCAFA19" w14:textId="77777777" w:rsidR="0092072A" w:rsidRPr="0089685E" w:rsidRDefault="0092072A" w:rsidP="0092072A">
      <w:pPr>
        <w:pStyle w:val="Prrafodelista"/>
        <w:widowControl w:val="0"/>
        <w:numPr>
          <w:ilvl w:val="0"/>
          <w:numId w:val="2"/>
        </w:numPr>
        <w:spacing w:line="264" w:lineRule="auto"/>
        <w:ind w:left="703" w:hanging="703"/>
        <w:rPr>
          <w:rFonts w:ascii="Arial" w:hAnsi="Arial" w:cs="Arial"/>
          <w:sz w:val="22"/>
          <w:szCs w:val="22"/>
        </w:rPr>
      </w:pPr>
      <w:r w:rsidRPr="0089685E">
        <w:rPr>
          <w:rFonts w:ascii="Arial" w:hAnsi="Arial" w:cs="Arial"/>
          <w:sz w:val="22"/>
          <w:szCs w:val="22"/>
        </w:rPr>
        <w:t>Jornada electoral;</w:t>
      </w:r>
    </w:p>
    <w:p w14:paraId="34E99B1A" w14:textId="77777777" w:rsidR="0092072A" w:rsidRPr="0089685E" w:rsidRDefault="0092072A" w:rsidP="0092072A">
      <w:pPr>
        <w:pStyle w:val="Prrafodelista"/>
        <w:widowControl w:val="0"/>
        <w:numPr>
          <w:ilvl w:val="0"/>
          <w:numId w:val="2"/>
        </w:numPr>
        <w:spacing w:line="264" w:lineRule="auto"/>
        <w:ind w:left="703" w:hanging="703"/>
        <w:rPr>
          <w:rFonts w:ascii="Arial" w:hAnsi="Arial" w:cs="Arial"/>
          <w:sz w:val="22"/>
          <w:szCs w:val="22"/>
        </w:rPr>
      </w:pPr>
      <w:r w:rsidRPr="0089685E">
        <w:rPr>
          <w:rFonts w:ascii="Arial" w:hAnsi="Arial" w:cs="Arial"/>
          <w:sz w:val="22"/>
          <w:szCs w:val="22"/>
        </w:rPr>
        <w:t>Cómputos y sumatoria;</w:t>
      </w:r>
    </w:p>
    <w:p w14:paraId="00EFFE67" w14:textId="77777777" w:rsidR="0092072A" w:rsidRPr="0089685E" w:rsidRDefault="0092072A" w:rsidP="0092072A">
      <w:pPr>
        <w:pStyle w:val="Prrafodelista"/>
        <w:widowControl w:val="0"/>
        <w:numPr>
          <w:ilvl w:val="0"/>
          <w:numId w:val="2"/>
        </w:numPr>
        <w:spacing w:line="264" w:lineRule="auto"/>
        <w:ind w:left="703" w:hanging="703"/>
        <w:rPr>
          <w:rFonts w:ascii="Arial" w:hAnsi="Arial" w:cs="Arial"/>
          <w:sz w:val="22"/>
          <w:szCs w:val="22"/>
        </w:rPr>
      </w:pPr>
      <w:r w:rsidRPr="0089685E">
        <w:rPr>
          <w:rFonts w:ascii="Arial" w:hAnsi="Arial" w:cs="Arial"/>
          <w:sz w:val="22"/>
          <w:szCs w:val="22"/>
        </w:rPr>
        <w:t>Asignación de cargos, y</w:t>
      </w:r>
    </w:p>
    <w:p w14:paraId="11FF739D" w14:textId="77777777" w:rsidR="0092072A" w:rsidRPr="0089685E" w:rsidRDefault="0092072A" w:rsidP="0092072A">
      <w:pPr>
        <w:pStyle w:val="Prrafodelista"/>
        <w:widowControl w:val="0"/>
        <w:numPr>
          <w:ilvl w:val="0"/>
          <w:numId w:val="2"/>
        </w:numPr>
        <w:spacing w:line="264" w:lineRule="auto"/>
        <w:ind w:left="703" w:hanging="703"/>
        <w:rPr>
          <w:rFonts w:ascii="Arial" w:hAnsi="Arial" w:cs="Arial"/>
          <w:sz w:val="22"/>
          <w:szCs w:val="22"/>
        </w:rPr>
      </w:pPr>
      <w:r w:rsidRPr="0089685E">
        <w:rPr>
          <w:rFonts w:ascii="Arial" w:hAnsi="Arial" w:cs="Arial"/>
          <w:sz w:val="22"/>
          <w:szCs w:val="22"/>
        </w:rPr>
        <w:lastRenderedPageBreak/>
        <w:t>La entrega de constancias de mayoría y declaración de validez de la elección.</w:t>
      </w:r>
    </w:p>
    <w:p w14:paraId="1002F860" w14:textId="37920EB4" w:rsidR="0092072A"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En términos del numeral 2 del artículo en cita, la etapa de preparación de la elección inicia con la primera sesión que el Instituto celebre en los primeros siete días del mes de septiembre del año anterior a la elección, y concluye al iniciarse la jornada electoral.</w:t>
      </w:r>
    </w:p>
    <w:p w14:paraId="5CFF2B8A" w14:textId="77777777" w:rsidR="0092072A"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Por su parte, el numeral 3 del artículo 387 de la Ley Electoral refiere que, la etapa de convocatoria y postulación de candidaturas inicia con la publicación de la convocatoria que emita el Congreso Local conforme a la fracción I del primer párrafo del artículo 56 de la Constitución Local, y concluye con la remisión por dicho órgano legislativo del listado de candidaturas al Instituto.</w:t>
      </w:r>
    </w:p>
    <w:p w14:paraId="44363938" w14:textId="77777777" w:rsidR="0092072A"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En el caso de la jornada electoral, ésta inicia a las 8:00 horas del primer domingo de junio del año que corresponda y concluye con el cómputo de los votos en casilla, de conformidad con el numeral 4 del artículo 387 de la Ley Electoral.</w:t>
      </w:r>
    </w:p>
    <w:p w14:paraId="6F3DE0AC" w14:textId="77777777" w:rsidR="0092072A"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De acuerdo con el numeral 5 del artículo referido, la etapa de cómputos y sumatoria inicia con la remisión de la documentación y los expedientes electorales a los Consejos Distritales y concluye con la sumatoria de los cómputos de la elección que realice el Consejo Estatal.</w:t>
      </w:r>
    </w:p>
    <w:p w14:paraId="33E123B1" w14:textId="77777777" w:rsidR="0092072A"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Respecto a la etapa de asignación de cargos, conforme al numeral 6 del artículo 387 de la Ley Electoral inicia con la identificación por el Instituto de las candidaturas que hayan obtenido el mayor número de votos y la asignación de estas en cada cargo, en función de su especialización por materia y alternando entre mujeres y hombres. Concluye con la entrega por el Instituto de las constancias de mayoría a las candidaturas que resulten ganadoras y la emisión de la declaración de validez respectiva.</w:t>
      </w:r>
    </w:p>
    <w:p w14:paraId="5F2304DB" w14:textId="093E82F7" w:rsidR="0092072A" w:rsidRDefault="0092072A" w:rsidP="0092072A">
      <w:pPr>
        <w:widowControl w:val="0"/>
        <w:spacing w:line="264" w:lineRule="auto"/>
        <w:rPr>
          <w:rFonts w:ascii="Arial" w:hAnsi="Arial" w:cs="Arial"/>
          <w:sz w:val="22"/>
          <w:szCs w:val="22"/>
        </w:rPr>
      </w:pPr>
      <w:r w:rsidRPr="0089685E">
        <w:rPr>
          <w:rFonts w:ascii="Arial" w:hAnsi="Arial" w:cs="Arial"/>
          <w:sz w:val="22"/>
          <w:szCs w:val="22"/>
        </w:rPr>
        <w:t>Finalmente, en términos del numeral 7 del artículo citado, la etapa de calificación y declaración de validez inicia al resolverse el último de los medios de impugnación que se hubiesen interpuesto en contra de las elecciones respectivas o cuando se tenga constancia de que no se presentó ninguno, y concluye al aprobar el Tribunal Electoral el dictamen que contenga el cómputo final de la elección.</w:t>
      </w:r>
    </w:p>
    <w:p w14:paraId="5D7E314E" w14:textId="77777777"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Derecho de la ciudadanía a participar en los procesos de selección y evaluación de candidaturas</w:t>
      </w:r>
    </w:p>
    <w:p w14:paraId="4D365ED1" w14:textId="77777777" w:rsidR="0092072A" w:rsidRPr="0089685E" w:rsidRDefault="0092072A" w:rsidP="0092072A">
      <w:pPr>
        <w:widowControl w:val="0"/>
        <w:spacing w:line="264" w:lineRule="auto"/>
        <w:rPr>
          <w:rFonts w:ascii="Arial" w:hAnsi="Arial" w:cs="Arial"/>
          <w:sz w:val="22"/>
          <w:szCs w:val="22"/>
        </w:rPr>
      </w:pPr>
      <w:r w:rsidRPr="0089685E">
        <w:rPr>
          <w:rFonts w:ascii="Arial" w:hAnsi="Arial" w:cs="Arial"/>
          <w:sz w:val="22"/>
          <w:szCs w:val="22"/>
        </w:rPr>
        <w:t xml:space="preserve">Que, de conformidad con el artículo 389 numeral 1 de la Ley Electoral, es derecho de la ciudadanía participar en igualdad de condiciones en los procesos de evaluación y selección de candidaturas para todos los cargos de elección del Poder Judicial. Dichos procesos serán públicos, abiertos, transparentes, inclusivos, accesibles y deberán </w:t>
      </w:r>
      <w:r w:rsidRPr="0089685E">
        <w:rPr>
          <w:rFonts w:ascii="Arial" w:hAnsi="Arial" w:cs="Arial"/>
          <w:sz w:val="22"/>
          <w:szCs w:val="22"/>
        </w:rPr>
        <w:lastRenderedPageBreak/>
        <w:t>garantizar la participación de todas las personas interesadas que cumplan con los requisitos, condiciones y términos que determine la Constitución Federal, la Constitución Local y la propia Ley Electoral.</w:t>
      </w:r>
    </w:p>
    <w:p w14:paraId="39E05DD4" w14:textId="77777777"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Facultad del INE para regular la documentación y material electorales</w:t>
      </w:r>
    </w:p>
    <w:p w14:paraId="6F7C690D" w14:textId="77777777" w:rsidR="0092072A" w:rsidRPr="0089685E" w:rsidRDefault="0092072A" w:rsidP="0092072A">
      <w:pPr>
        <w:spacing w:line="264" w:lineRule="auto"/>
        <w:rPr>
          <w:rFonts w:ascii="Arial" w:hAnsi="Arial" w:cs="Arial"/>
          <w:sz w:val="22"/>
          <w:szCs w:val="22"/>
        </w:rPr>
      </w:pPr>
      <w:r w:rsidRPr="0089685E">
        <w:rPr>
          <w:rFonts w:ascii="Arial" w:hAnsi="Arial" w:cs="Arial"/>
          <w:sz w:val="22"/>
          <w:szCs w:val="22"/>
        </w:rPr>
        <w:t>Que, conforme a los artículos 41 Base V, apartado B, inciso a), numeral 5 de la Constitución Federal y 32 numeral 1, inciso a), fracción V de la Ley General, para los procesos electorales federales y locales, entre otras, el INE tendrá las atribuciones relativas a establecer reglas, lineamientos, criterios y formatos en materia de impresión de documentos y producción de materiales electorales.</w:t>
      </w:r>
    </w:p>
    <w:p w14:paraId="12D70C2A" w14:textId="77777777"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Regulación de la documentación electoral en el Reglamento de Elecciones</w:t>
      </w:r>
    </w:p>
    <w:p w14:paraId="5EFA6539" w14:textId="030C859F" w:rsidR="0092072A" w:rsidRPr="0089685E" w:rsidRDefault="0092072A" w:rsidP="0092072A">
      <w:pPr>
        <w:spacing w:line="264" w:lineRule="auto"/>
        <w:rPr>
          <w:rFonts w:ascii="Arial" w:hAnsi="Arial" w:cs="Arial"/>
          <w:sz w:val="22"/>
          <w:szCs w:val="22"/>
        </w:rPr>
      </w:pPr>
      <w:r w:rsidRPr="0089685E">
        <w:rPr>
          <w:rFonts w:ascii="Arial" w:hAnsi="Arial" w:cs="Arial"/>
          <w:sz w:val="22"/>
          <w:szCs w:val="22"/>
        </w:rPr>
        <w:t>Que, el artículo 149 numerales 1 y 2 del Reglamento de Elecciones refiere que, a través de dicho ordenamiento se establecen las directrices generales para llevar a cabo el diseño, impresión, producción, almacenamiento, supervisión, distribución y destrucción de los documentos y materiales electorales utilizados en los procesos electorales federales y locales, tanto ordinarios como extraordinarios, siendo de observancia general para el INE y los organismos electorales, en el ámbito de sus respectivas competencias.</w:t>
      </w:r>
    </w:p>
    <w:p w14:paraId="470A1DDD" w14:textId="77777777" w:rsidR="0092072A" w:rsidRPr="0089685E" w:rsidRDefault="0092072A" w:rsidP="0092072A">
      <w:pPr>
        <w:spacing w:line="264" w:lineRule="auto"/>
        <w:rPr>
          <w:rFonts w:ascii="Arial" w:hAnsi="Arial" w:cs="Arial"/>
          <w:sz w:val="22"/>
          <w:szCs w:val="22"/>
        </w:rPr>
      </w:pPr>
      <w:r w:rsidRPr="0089685E">
        <w:rPr>
          <w:rFonts w:ascii="Arial" w:hAnsi="Arial" w:cs="Arial"/>
          <w:sz w:val="22"/>
          <w:szCs w:val="22"/>
        </w:rPr>
        <w:t>Asimismo, en términos del numeral 3 del artículo en cita, la documentación y materiales electorales correspondientes a las elecciones locales, podrán contener aquellos elementos adicionales que mandaten las legislaciones estatales, siempre y cuando no se contrapongan a lo previsto en dicho ordenamiento y en su anexo 4.1.</w:t>
      </w:r>
    </w:p>
    <w:p w14:paraId="6A287F2C" w14:textId="77777777"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Responsable de la documentación y materiales electorales</w:t>
      </w:r>
    </w:p>
    <w:p w14:paraId="2EA3BDA9" w14:textId="77777777" w:rsidR="0092072A" w:rsidRPr="0089685E" w:rsidRDefault="0092072A" w:rsidP="0092072A">
      <w:pPr>
        <w:spacing w:line="264" w:lineRule="auto"/>
        <w:rPr>
          <w:rFonts w:ascii="Arial" w:hAnsi="Arial" w:cs="Arial"/>
          <w:sz w:val="22"/>
          <w:szCs w:val="22"/>
        </w:rPr>
      </w:pPr>
      <w:r w:rsidRPr="0089685E">
        <w:rPr>
          <w:rFonts w:ascii="Arial" w:hAnsi="Arial" w:cs="Arial"/>
          <w:sz w:val="22"/>
          <w:szCs w:val="22"/>
        </w:rPr>
        <w:t>Que, el artículo 149 numeral 4 del Reglamento de Elecciones dispone que la Dirección Ejecutiva de Organización Electoral del INE, será la responsable de establecer las características, condiciones, mecanismos y procedimientos de los diseños, elaboración, impresión, producción, almacenamiento y distribución de la documentación y materiales electorales, así como la recuperación y conservación de estos últimos, para las elecciones federales y locales, tomando en cuenta lo establecido en el Anexo 4.1 de dicho Reglamento y los formatos únicos de documentación y materiales electorales. Asimismo, en términos del numeral 5 del artículo mencionado, será la responsable de la revisión y supervisión de los diseños de la documentación y producción de los materiales electorales para las elecciones federales y locales.</w:t>
      </w:r>
    </w:p>
    <w:p w14:paraId="5AAFCDD7" w14:textId="77777777"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lastRenderedPageBreak/>
        <w:t>Directrices para la documentación y material electoral</w:t>
      </w:r>
    </w:p>
    <w:p w14:paraId="25789BF5" w14:textId="77777777" w:rsidR="0092072A" w:rsidRPr="0089685E" w:rsidRDefault="0092072A" w:rsidP="0092072A">
      <w:pPr>
        <w:spacing w:line="264" w:lineRule="auto"/>
        <w:rPr>
          <w:rFonts w:ascii="Arial" w:hAnsi="Arial" w:cs="Arial"/>
          <w:sz w:val="22"/>
          <w:szCs w:val="22"/>
        </w:rPr>
      </w:pPr>
      <w:r w:rsidRPr="0089685E">
        <w:rPr>
          <w:rFonts w:ascii="Arial" w:hAnsi="Arial" w:cs="Arial"/>
          <w:sz w:val="22"/>
          <w:szCs w:val="22"/>
        </w:rPr>
        <w:t>Que, el artículo 402 numeral 1 y 3 de la Ley Electoral dispone que el Consejo Estatal determinará el modelo de las boletas electorales, la documentación del proceso de elección de las personas integrantes del Poder Judicial y los materiales que serán utilizados en ésta, tomando en cuenta las medidas de certeza que estime pertinentes y los lineamientos aprobados por el INE, en ese sentido no habrá modificación a las boletas en caso de sustitución de una o más candidaturas si éstas ya estuvieran impresas.</w:t>
      </w:r>
    </w:p>
    <w:p w14:paraId="1F03BA3B" w14:textId="77777777" w:rsidR="0092072A" w:rsidRPr="0089685E" w:rsidRDefault="0092072A" w:rsidP="0092072A">
      <w:pPr>
        <w:spacing w:line="264" w:lineRule="auto"/>
        <w:rPr>
          <w:rFonts w:ascii="Arial" w:hAnsi="Arial" w:cs="Arial"/>
          <w:sz w:val="22"/>
          <w:szCs w:val="22"/>
        </w:rPr>
      </w:pPr>
      <w:r w:rsidRPr="0089685E">
        <w:rPr>
          <w:rFonts w:ascii="Arial" w:hAnsi="Arial" w:cs="Arial"/>
          <w:sz w:val="22"/>
          <w:szCs w:val="22"/>
        </w:rPr>
        <w:t xml:space="preserve">Acorde a lo anterior y de conformidad con el acuerdo INE/CG52/2025, el Consejo General del INE determinó como directriz general relacionada con la documentación y el material electoral que, debido a las particularidades de las elecciones de diversos cargos de los poderes judiciales locales, será el propio INE quien aprobará los formatos únicos, diseños y especificaciones técnicas de la documentación y los materiales electorales que se requieran para tales elecciones. Asimismo, el INE definirá los colores Pantone para identificar los diversos cargos a elegir a nivel local.  </w:t>
      </w:r>
    </w:p>
    <w:p w14:paraId="6D0C340F" w14:textId="77777777" w:rsidR="0092072A" w:rsidRPr="0089685E" w:rsidRDefault="0092072A" w:rsidP="0092072A">
      <w:pPr>
        <w:spacing w:line="264" w:lineRule="auto"/>
        <w:rPr>
          <w:rFonts w:ascii="Arial" w:hAnsi="Arial" w:cs="Arial"/>
          <w:sz w:val="22"/>
          <w:szCs w:val="22"/>
        </w:rPr>
      </w:pPr>
      <w:r w:rsidRPr="0089685E">
        <w:rPr>
          <w:rFonts w:ascii="Arial" w:hAnsi="Arial" w:cs="Arial"/>
          <w:sz w:val="22"/>
          <w:szCs w:val="22"/>
        </w:rPr>
        <w:t>Además, los criterios de dotación para la documentación y los materiales electorales para los casos de concurrencia estarán establecidos en el anexo 4.1 del Reglamento de Elecciones y el Modelo de Centro de Votación.</w:t>
      </w:r>
    </w:p>
    <w:p w14:paraId="0836205C" w14:textId="77777777"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Entrega de la documentación y material electorales a los Consejos Distritales</w:t>
      </w:r>
    </w:p>
    <w:p w14:paraId="1F84151B" w14:textId="77777777" w:rsidR="0092072A" w:rsidRPr="0089685E" w:rsidRDefault="0092072A" w:rsidP="0092072A">
      <w:pPr>
        <w:spacing w:line="264" w:lineRule="auto"/>
        <w:rPr>
          <w:rFonts w:ascii="Arial" w:hAnsi="Arial" w:cs="Arial"/>
          <w:sz w:val="22"/>
          <w:szCs w:val="22"/>
        </w:rPr>
      </w:pPr>
      <w:r w:rsidRPr="0089685E">
        <w:rPr>
          <w:rFonts w:ascii="Arial" w:hAnsi="Arial" w:cs="Arial"/>
          <w:sz w:val="22"/>
          <w:szCs w:val="22"/>
        </w:rPr>
        <w:t>Que, de conformidad con lo dispuesto por los artículos 268 numeral 2, inciso e) de la Ley General y 218 numerales 1 y 2 de la Ley Electoral, las boletas electorales deberán obrar en poder del Consejo Electoral respectivo, 15 días antes de la elección, con la finalidad de que el mismo día o a más tardar el siguiente, la o el Presidente del Consejo Distrital, la o el Secretario y las y los consejeros electorales procedan a contar las boletas para precisar la cantidad recibida, consignando el número de los folios, sellarlas al dorso y agruparlas en razón del número de electores que corresponda a cada una de las casillas a instalar, incluyendo las de las casillas especiales.</w:t>
      </w:r>
    </w:p>
    <w:p w14:paraId="292A82AE" w14:textId="77777777"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Entrega de la documentación y material electorales a las Presidencias de las Mesas Directivas de Casilla</w:t>
      </w:r>
    </w:p>
    <w:p w14:paraId="5EE406D4" w14:textId="77777777" w:rsidR="0092072A" w:rsidRPr="0089685E" w:rsidRDefault="0092072A" w:rsidP="0092072A">
      <w:pPr>
        <w:spacing w:line="264" w:lineRule="auto"/>
        <w:rPr>
          <w:rFonts w:ascii="Arial" w:hAnsi="Arial" w:cs="Arial"/>
          <w:sz w:val="22"/>
          <w:szCs w:val="22"/>
        </w:rPr>
      </w:pPr>
      <w:r w:rsidRPr="0089685E">
        <w:rPr>
          <w:rFonts w:ascii="Arial" w:hAnsi="Arial" w:cs="Arial"/>
          <w:sz w:val="22"/>
          <w:szCs w:val="22"/>
        </w:rPr>
        <w:t xml:space="preserve">Que, los artículos 269 de la Ley General, 131 numeral 1, fracción IV y 219 numeral 1, fracción VII de la Ley Electoral, prevén que las o los Presidentes de los Consejos Distritales deberán entregar a las y los Presidentes de las Mesas Directivas de Casilla, </w:t>
      </w:r>
      <w:r w:rsidRPr="0089685E">
        <w:rPr>
          <w:rFonts w:ascii="Arial" w:hAnsi="Arial" w:cs="Arial"/>
          <w:sz w:val="22"/>
          <w:szCs w:val="22"/>
        </w:rPr>
        <w:lastRenderedPageBreak/>
        <w:t>dentro de los 5 días previos al día de la elección, la documentación y material electoral aprobados por el Consejo Estatal, así como los útiles de escritorio y demás elementos necesarios para el desarrollo de la jornada electoral.</w:t>
      </w:r>
    </w:p>
    <w:p w14:paraId="6CE6E701" w14:textId="77777777"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Documentación y materiales electorales en procesos de elección de personas juzgadoras</w:t>
      </w:r>
    </w:p>
    <w:p w14:paraId="7138F218" w14:textId="77777777" w:rsidR="0092072A" w:rsidRPr="0089685E" w:rsidRDefault="0092072A" w:rsidP="0092072A">
      <w:pPr>
        <w:spacing w:line="264" w:lineRule="auto"/>
        <w:rPr>
          <w:rFonts w:ascii="Arial" w:hAnsi="Arial" w:cs="Arial"/>
          <w:sz w:val="22"/>
          <w:szCs w:val="22"/>
        </w:rPr>
      </w:pPr>
      <w:r w:rsidRPr="0089685E">
        <w:rPr>
          <w:rFonts w:ascii="Arial" w:hAnsi="Arial" w:cs="Arial"/>
          <w:sz w:val="22"/>
          <w:szCs w:val="22"/>
        </w:rPr>
        <w:t>Que, el artículo 402 numeral 1 de la Ley Electoral refiere que, para la emisión del voto, el Consejo Estatal determinará el modelo de las boletas electorales, la documentación del proceso de elección de las personas integrantes del Poder Judicial y los materiales que serán utilizados en ésta, tomando en cuenta las medidas de certeza que estime pertinentes y los lineamientos aprobados por el INE.</w:t>
      </w:r>
    </w:p>
    <w:p w14:paraId="30AC6FBE" w14:textId="77777777" w:rsidR="0092072A" w:rsidRPr="0089685E" w:rsidRDefault="0092072A" w:rsidP="0092072A">
      <w:pPr>
        <w:spacing w:line="264" w:lineRule="auto"/>
        <w:rPr>
          <w:rFonts w:ascii="Arial" w:hAnsi="Arial" w:cs="Arial"/>
          <w:sz w:val="22"/>
          <w:szCs w:val="22"/>
        </w:rPr>
      </w:pPr>
      <w:r w:rsidRPr="0089685E">
        <w:rPr>
          <w:rFonts w:ascii="Arial" w:hAnsi="Arial" w:cs="Arial"/>
          <w:sz w:val="22"/>
          <w:szCs w:val="22"/>
        </w:rPr>
        <w:t>Asimismo, de acuerdo con el numeral 2 del artículo en cita, el Instituto será responsable de la producción y distribución de la documentación y materiales electorales que se emplearán en el proceso de elección.</w:t>
      </w:r>
    </w:p>
    <w:p w14:paraId="48D8AF44" w14:textId="7C3E0C82"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Conteo, sellado y agrupamiento de boletas</w:t>
      </w:r>
    </w:p>
    <w:p w14:paraId="3BC89BE5" w14:textId="0F85B171" w:rsidR="0092072A" w:rsidRPr="0089685E" w:rsidRDefault="0092072A" w:rsidP="0092072A">
      <w:pPr>
        <w:spacing w:line="264" w:lineRule="auto"/>
        <w:rPr>
          <w:rFonts w:ascii="Arial" w:hAnsi="Arial" w:cs="Arial"/>
          <w:sz w:val="22"/>
          <w:szCs w:val="22"/>
        </w:rPr>
      </w:pPr>
      <w:r w:rsidRPr="0089685E">
        <w:rPr>
          <w:rFonts w:ascii="Arial" w:hAnsi="Arial" w:cs="Arial"/>
          <w:sz w:val="22"/>
          <w:szCs w:val="22"/>
        </w:rPr>
        <w:t>Que, el artículo 177 del Reglamento de Elecciones dispone que, las tareas de conteo, sellado y agrupamiento de boletas, así como la integración de la documentación para las casillas, que realicen los funcionarios y órganos del INE y de los organismos electorales, según el caso, facultados para tal efecto, se realizarán de acuerdo con el procedimiento descrito en el anexo 5 del propio Reglamento, previa determinación de la logística que se apruebe para ese efecto. El INE apoyará a los organismos electorales en la planeación y capacitación del grupo de multiplicadores del organismo electoral a cargo de la capacitación a quienes auxiliarán en el conteo, sellado y agrupamiento de las boletas de las elecciones locales.</w:t>
      </w:r>
    </w:p>
    <w:p w14:paraId="1A117204" w14:textId="16F4EE68"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Criterios para el agrupamiento de boletas</w:t>
      </w:r>
    </w:p>
    <w:p w14:paraId="2A4FC46B" w14:textId="77777777" w:rsidR="0092072A" w:rsidRPr="0089685E" w:rsidRDefault="0092072A" w:rsidP="0092072A">
      <w:pPr>
        <w:spacing w:line="264" w:lineRule="auto"/>
        <w:rPr>
          <w:rFonts w:ascii="Arial" w:hAnsi="Arial" w:cs="Arial"/>
          <w:sz w:val="22"/>
          <w:szCs w:val="22"/>
        </w:rPr>
      </w:pPr>
      <w:r w:rsidRPr="0089685E">
        <w:rPr>
          <w:rFonts w:ascii="Arial" w:hAnsi="Arial" w:cs="Arial"/>
          <w:sz w:val="22"/>
          <w:szCs w:val="22"/>
        </w:rPr>
        <w:t>Que, en términos del artículo 178, numeral 1 del Reglamento de Elecciones, al término del conteo y sellado del total de boletas, éstas se agruparán de manera consecutiva por tipo de elección y siguiendo el procedimiento descrito en el anexo referido, conforme a los criterios siguientes:</w:t>
      </w:r>
    </w:p>
    <w:p w14:paraId="512F02DA" w14:textId="77777777" w:rsidR="0092072A" w:rsidRPr="0089685E" w:rsidRDefault="0092072A" w:rsidP="0092072A">
      <w:pPr>
        <w:spacing w:line="264" w:lineRule="auto"/>
        <w:rPr>
          <w:rFonts w:ascii="Arial" w:hAnsi="Arial" w:cs="Arial"/>
          <w:sz w:val="22"/>
          <w:szCs w:val="22"/>
        </w:rPr>
      </w:pPr>
      <w:r w:rsidRPr="0089685E">
        <w:rPr>
          <w:rFonts w:ascii="Arial" w:hAnsi="Arial" w:cs="Arial"/>
          <w:sz w:val="22"/>
          <w:szCs w:val="22"/>
        </w:rPr>
        <w:t>a)</w:t>
      </w:r>
      <w:r w:rsidRPr="0089685E">
        <w:rPr>
          <w:rFonts w:ascii="Arial" w:hAnsi="Arial" w:cs="Arial"/>
          <w:sz w:val="22"/>
          <w:szCs w:val="22"/>
        </w:rPr>
        <w:tab/>
        <w:t xml:space="preserve">Total, de electores de cada casilla inscritos en el listado nominal. </w:t>
      </w:r>
    </w:p>
    <w:p w14:paraId="138D5810" w14:textId="77777777" w:rsidR="0092072A" w:rsidRPr="0089685E" w:rsidRDefault="0092072A" w:rsidP="0092072A">
      <w:pPr>
        <w:spacing w:line="264" w:lineRule="auto"/>
        <w:rPr>
          <w:rFonts w:ascii="Arial" w:hAnsi="Arial" w:cs="Arial"/>
          <w:sz w:val="22"/>
          <w:szCs w:val="22"/>
        </w:rPr>
      </w:pPr>
      <w:r w:rsidRPr="0089685E">
        <w:rPr>
          <w:rFonts w:ascii="Arial" w:hAnsi="Arial" w:cs="Arial"/>
          <w:sz w:val="22"/>
          <w:szCs w:val="22"/>
        </w:rPr>
        <w:lastRenderedPageBreak/>
        <w:t>b)</w:t>
      </w:r>
      <w:r w:rsidRPr="0089685E">
        <w:rPr>
          <w:rFonts w:ascii="Arial" w:hAnsi="Arial" w:cs="Arial"/>
          <w:sz w:val="22"/>
          <w:szCs w:val="22"/>
        </w:rPr>
        <w:tab/>
        <w:t>Para el caso de casillas especiales en elecciones concurrentes o no concurrentes, se asignarán hasta 1,500 boletas por casilla para cada una de las elecciones federales, y otro tanto igual por cada tipo de elecciones locales. El número exacto de boletas deberá ser definido por el Consejo General a más tardar en el mes de febrero del año de la jornada electoral.</w:t>
      </w:r>
    </w:p>
    <w:p w14:paraId="307822BF" w14:textId="77777777" w:rsidR="0092072A" w:rsidRPr="0089685E" w:rsidRDefault="0092072A" w:rsidP="0092072A">
      <w:pPr>
        <w:spacing w:line="264" w:lineRule="auto"/>
        <w:rPr>
          <w:rFonts w:ascii="Arial" w:hAnsi="Arial" w:cs="Arial"/>
          <w:sz w:val="22"/>
          <w:szCs w:val="22"/>
        </w:rPr>
      </w:pPr>
      <w:r w:rsidRPr="0089685E">
        <w:rPr>
          <w:rFonts w:ascii="Arial" w:hAnsi="Arial" w:cs="Arial"/>
          <w:sz w:val="22"/>
          <w:szCs w:val="22"/>
        </w:rPr>
        <w:t>c)</w:t>
      </w:r>
      <w:r w:rsidRPr="0089685E">
        <w:rPr>
          <w:rFonts w:ascii="Arial" w:hAnsi="Arial" w:cs="Arial"/>
          <w:sz w:val="22"/>
          <w:szCs w:val="22"/>
        </w:rPr>
        <w:tab/>
        <w:t>En su caso, las boletas necesarias para que vote la ciudadanía que obtuvo resolución favorable del Tribunal Electoral que le faculte emitir su sufragio.</w:t>
      </w:r>
    </w:p>
    <w:p w14:paraId="0BD9D76D" w14:textId="77777777" w:rsidR="0092072A" w:rsidRPr="0089685E" w:rsidRDefault="0092072A" w:rsidP="0092072A">
      <w:pPr>
        <w:spacing w:line="264" w:lineRule="auto"/>
        <w:rPr>
          <w:rFonts w:ascii="Arial" w:hAnsi="Arial" w:cs="Arial"/>
          <w:sz w:val="22"/>
          <w:szCs w:val="22"/>
        </w:rPr>
      </w:pPr>
      <w:r w:rsidRPr="0089685E">
        <w:rPr>
          <w:rFonts w:ascii="Arial" w:hAnsi="Arial" w:cs="Arial"/>
          <w:sz w:val="22"/>
          <w:szCs w:val="22"/>
        </w:rPr>
        <w:t>Conforme al numeral 2 del artículo en cita, el control y seguimiento preciso sobre la asignación de los folios de las boletas respecto de cada tipo de elección, que se distribuirán a las mesas directivas de casilla, se hará a través del formato respectivo, contenido en el anexo 5 del propio Reglamento de Elecciones. Para el llenado de dicho formato, será necesario cuidar la correcta asignación de los folios según corresponda al total de boletas para la elección. Quien se encuentre facultado para tal efecto, será responsable de comprobar que los folios se asignen correctamente.</w:t>
      </w:r>
    </w:p>
    <w:p w14:paraId="3F2A2280" w14:textId="77777777" w:rsidR="0092072A" w:rsidRPr="0089685E" w:rsidRDefault="0092072A" w:rsidP="0092072A">
      <w:pPr>
        <w:spacing w:line="264" w:lineRule="auto"/>
        <w:rPr>
          <w:rFonts w:ascii="Arial" w:hAnsi="Arial" w:cs="Arial"/>
          <w:sz w:val="22"/>
          <w:szCs w:val="22"/>
        </w:rPr>
      </w:pPr>
      <w:r w:rsidRPr="0089685E">
        <w:rPr>
          <w:rFonts w:ascii="Arial" w:hAnsi="Arial" w:cs="Arial"/>
          <w:sz w:val="22"/>
          <w:szCs w:val="22"/>
        </w:rPr>
        <w:t>Finalmente, de acuerdo con el numeral 3 del artículo 178 del Reglamento de Elecciones, una vez integradas las boletas, se introducirán en los sobres destinados para ello, mismos que se identificarán previamente con una etiqueta blanca, señalando además los folios de las boletas que contendrá y el tipo de elección.</w:t>
      </w:r>
    </w:p>
    <w:p w14:paraId="573847B0" w14:textId="43055E2C"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Procedimiento para el conteo, sellado y agrupamiento de boletas</w:t>
      </w:r>
    </w:p>
    <w:p w14:paraId="2522FD96" w14:textId="77777777" w:rsidR="0092072A" w:rsidRPr="0089685E" w:rsidRDefault="0092072A" w:rsidP="0092072A">
      <w:pPr>
        <w:spacing w:line="264" w:lineRule="auto"/>
        <w:rPr>
          <w:rFonts w:ascii="Arial" w:hAnsi="Arial" w:cs="Arial"/>
          <w:sz w:val="22"/>
          <w:szCs w:val="22"/>
        </w:rPr>
      </w:pPr>
      <w:r w:rsidRPr="0089685E">
        <w:rPr>
          <w:rFonts w:ascii="Arial" w:hAnsi="Arial" w:cs="Arial"/>
          <w:sz w:val="22"/>
          <w:szCs w:val="22"/>
        </w:rPr>
        <w:t>Que, el anexo 5 apartado “B” del Reglamento de Elecciones señala el siguiente procedimiento para el conteo, sellado y agrupamiento de boletas:</w:t>
      </w:r>
    </w:p>
    <w:p w14:paraId="4A672461" w14:textId="5A090CE9" w:rsidR="0092072A" w:rsidRPr="0089685E" w:rsidRDefault="0092072A" w:rsidP="0092072A">
      <w:pPr>
        <w:pStyle w:val="Prrafodelista"/>
        <w:numPr>
          <w:ilvl w:val="0"/>
          <w:numId w:val="4"/>
        </w:numPr>
        <w:spacing w:line="264" w:lineRule="auto"/>
        <w:ind w:left="703" w:hanging="703"/>
        <w:contextualSpacing w:val="0"/>
        <w:rPr>
          <w:rFonts w:ascii="Arial" w:hAnsi="Arial" w:cs="Arial"/>
          <w:sz w:val="22"/>
          <w:szCs w:val="22"/>
        </w:rPr>
      </w:pPr>
      <w:r w:rsidRPr="0089685E">
        <w:rPr>
          <w:rFonts w:ascii="Arial" w:hAnsi="Arial" w:cs="Arial"/>
          <w:sz w:val="22"/>
          <w:szCs w:val="22"/>
        </w:rPr>
        <w:t>Para efectos del control y seguimiento preciso sobre la asignación de los folios de las boletas respecto de cada tipo de elección y ámbito geográfico (municipio), se utilizará el formato denominado “Agrupamiento de boletas en razón de los electores de cada casilla”, el cual se adjunta como formato 2 al señalado Anexo. Cabe señalar que para el llenado del formato será necesario cuidar la correcta asignación de los folios según corresponda al total de boletas para la elección correspondiente; el funcionario facultado para ello será el responsable de comprobar que los folios se asignen correctamente.</w:t>
      </w:r>
    </w:p>
    <w:p w14:paraId="71EB829D" w14:textId="22CDD72E" w:rsidR="0092072A" w:rsidRPr="0089685E" w:rsidRDefault="0092072A" w:rsidP="0092072A">
      <w:pPr>
        <w:pStyle w:val="Prrafodelista"/>
        <w:numPr>
          <w:ilvl w:val="0"/>
          <w:numId w:val="4"/>
        </w:numPr>
        <w:spacing w:line="264" w:lineRule="auto"/>
        <w:ind w:left="703" w:hanging="703"/>
        <w:contextualSpacing w:val="0"/>
        <w:rPr>
          <w:rFonts w:ascii="Arial" w:hAnsi="Arial" w:cs="Arial"/>
          <w:sz w:val="22"/>
          <w:szCs w:val="22"/>
        </w:rPr>
      </w:pPr>
      <w:r w:rsidRPr="0089685E">
        <w:rPr>
          <w:rFonts w:ascii="Arial" w:hAnsi="Arial" w:cs="Arial"/>
          <w:sz w:val="22"/>
          <w:szCs w:val="22"/>
        </w:rPr>
        <w:t>No se deberá de tener líquidos (incluida la tinta) en las mesas de trabajo, para evitar derrames que puedan dañar o manchar las boletas electorales.</w:t>
      </w:r>
    </w:p>
    <w:p w14:paraId="72FEB805" w14:textId="5610286F" w:rsidR="0092072A" w:rsidRPr="0089685E" w:rsidRDefault="0092072A" w:rsidP="0092072A">
      <w:pPr>
        <w:pStyle w:val="Prrafodelista"/>
        <w:numPr>
          <w:ilvl w:val="0"/>
          <w:numId w:val="4"/>
        </w:numPr>
        <w:spacing w:line="264" w:lineRule="auto"/>
        <w:ind w:left="703" w:hanging="703"/>
        <w:contextualSpacing w:val="0"/>
        <w:rPr>
          <w:rFonts w:ascii="Arial" w:hAnsi="Arial" w:cs="Arial"/>
          <w:sz w:val="22"/>
          <w:szCs w:val="22"/>
        </w:rPr>
      </w:pPr>
      <w:r w:rsidRPr="0089685E">
        <w:rPr>
          <w:rFonts w:ascii="Arial" w:hAnsi="Arial" w:cs="Arial"/>
          <w:sz w:val="22"/>
          <w:szCs w:val="22"/>
        </w:rPr>
        <w:lastRenderedPageBreak/>
        <w:t>El personal que participará en las actividades de conteo, sellado y agrupamiento deberá tener las manos limpias y secas para evitar humedecer las boletas electorales.</w:t>
      </w:r>
    </w:p>
    <w:p w14:paraId="30E682BE" w14:textId="09F36F29" w:rsidR="0092072A" w:rsidRPr="0089685E" w:rsidRDefault="0092072A" w:rsidP="0092072A">
      <w:pPr>
        <w:pStyle w:val="Prrafodelista"/>
        <w:numPr>
          <w:ilvl w:val="0"/>
          <w:numId w:val="4"/>
        </w:numPr>
        <w:spacing w:line="264" w:lineRule="auto"/>
        <w:ind w:left="703" w:hanging="703"/>
        <w:contextualSpacing w:val="0"/>
        <w:rPr>
          <w:rFonts w:ascii="Arial" w:hAnsi="Arial" w:cs="Arial"/>
          <w:sz w:val="22"/>
          <w:szCs w:val="22"/>
        </w:rPr>
      </w:pPr>
      <w:r w:rsidRPr="0089685E">
        <w:rPr>
          <w:rFonts w:ascii="Arial" w:hAnsi="Arial" w:cs="Arial"/>
          <w:sz w:val="22"/>
          <w:szCs w:val="22"/>
        </w:rPr>
        <w:t>En la apertura de cada caja o paquete que contenga las boletas electorales, se tendrá especial cuidado a fin de no dañarlas o cortarlas. Se hace especial énfasis de no utilizar instrumentos que ocasionen daños a las boletas (tales como cúter, navaja, tijeras, etc.).</w:t>
      </w:r>
    </w:p>
    <w:p w14:paraId="16326E4B" w14:textId="7314B7AA" w:rsidR="0092072A" w:rsidRPr="0089685E" w:rsidRDefault="0092072A" w:rsidP="0092072A">
      <w:pPr>
        <w:pStyle w:val="Prrafodelista"/>
        <w:numPr>
          <w:ilvl w:val="0"/>
          <w:numId w:val="4"/>
        </w:numPr>
        <w:spacing w:line="264" w:lineRule="auto"/>
        <w:ind w:left="703" w:hanging="703"/>
        <w:contextualSpacing w:val="0"/>
        <w:rPr>
          <w:rFonts w:ascii="Arial" w:hAnsi="Arial" w:cs="Arial"/>
          <w:sz w:val="22"/>
          <w:szCs w:val="22"/>
        </w:rPr>
      </w:pPr>
      <w:r w:rsidRPr="0089685E">
        <w:rPr>
          <w:rFonts w:ascii="Arial" w:hAnsi="Arial" w:cs="Arial"/>
          <w:sz w:val="22"/>
          <w:szCs w:val="22"/>
        </w:rPr>
        <w:t>Una vez abiertas las cajas que contienen las boletas electorales, se verificará en primera instancia que los blocs de boletas electorales correspondan a la entidad, al distrito electoral federal o local, en el caso de elecciones locales, así como el nombre del municipio, en los casos en que esté impreso en las boletas.</w:t>
      </w:r>
    </w:p>
    <w:p w14:paraId="27BE00B9" w14:textId="58510E2D" w:rsidR="0092072A" w:rsidRPr="0089685E" w:rsidRDefault="0092072A" w:rsidP="0092072A">
      <w:pPr>
        <w:pStyle w:val="Prrafodelista"/>
        <w:numPr>
          <w:ilvl w:val="0"/>
          <w:numId w:val="4"/>
        </w:numPr>
        <w:spacing w:line="264" w:lineRule="auto"/>
        <w:ind w:left="703" w:hanging="703"/>
        <w:contextualSpacing w:val="0"/>
        <w:rPr>
          <w:rFonts w:ascii="Arial" w:hAnsi="Arial" w:cs="Arial"/>
          <w:sz w:val="22"/>
          <w:szCs w:val="22"/>
        </w:rPr>
      </w:pPr>
      <w:r w:rsidRPr="0089685E">
        <w:rPr>
          <w:rFonts w:ascii="Arial" w:hAnsi="Arial" w:cs="Arial"/>
          <w:sz w:val="22"/>
          <w:szCs w:val="22"/>
        </w:rPr>
        <w:t>En el supuesto de que se reciban boletas que correspondan a otro ámbito de competencia, se desahogará el procedimiento previsto en el inciso j) del apartado relativo a los Criterios para el desarrollo de la actividad de conteo, sellado y agrupamiento de boletas electorales del Anexo señalado.</w:t>
      </w:r>
    </w:p>
    <w:p w14:paraId="3F2E8C01" w14:textId="5F3053E5" w:rsidR="0092072A" w:rsidRPr="0089685E" w:rsidRDefault="0092072A" w:rsidP="0092072A">
      <w:pPr>
        <w:pStyle w:val="Prrafodelista"/>
        <w:numPr>
          <w:ilvl w:val="0"/>
          <w:numId w:val="4"/>
        </w:numPr>
        <w:spacing w:line="264" w:lineRule="auto"/>
        <w:ind w:left="703" w:hanging="703"/>
        <w:contextualSpacing w:val="0"/>
        <w:rPr>
          <w:rFonts w:ascii="Arial" w:hAnsi="Arial" w:cs="Arial"/>
          <w:sz w:val="22"/>
          <w:szCs w:val="22"/>
        </w:rPr>
      </w:pPr>
      <w:r w:rsidRPr="0089685E">
        <w:rPr>
          <w:rFonts w:ascii="Arial" w:hAnsi="Arial" w:cs="Arial"/>
          <w:sz w:val="22"/>
          <w:szCs w:val="22"/>
        </w:rPr>
        <w:t>Con base en la asignación de folios y agrupación de casillas por municipio que se consigne en el formato 2, se procederá a contar las boletas, siguiendo la secuencia numérica de los folios de cada bloc y se sellarán al reverso. Se cuidará que durante el manejo de los blocs no se deterioren, desprendan o manchen las boletas electorales. Con la finalidad de minimizar el riesgo de error en el sellado de las boletas, los órganos responsables que así lo determinen podrán realizar en primera instancia la actividad de conteo de boletas y agrupamiento por municipio, y posteriormente el sellado de estas.</w:t>
      </w:r>
    </w:p>
    <w:p w14:paraId="77BDD12F" w14:textId="3A1A5D42" w:rsidR="0092072A" w:rsidRPr="0089685E" w:rsidRDefault="0092072A" w:rsidP="0092072A">
      <w:pPr>
        <w:pStyle w:val="Prrafodelista"/>
        <w:numPr>
          <w:ilvl w:val="0"/>
          <w:numId w:val="4"/>
        </w:numPr>
        <w:spacing w:line="264" w:lineRule="auto"/>
        <w:ind w:left="703" w:hanging="703"/>
        <w:contextualSpacing w:val="0"/>
        <w:rPr>
          <w:rFonts w:ascii="Arial" w:hAnsi="Arial" w:cs="Arial"/>
          <w:sz w:val="22"/>
          <w:szCs w:val="22"/>
        </w:rPr>
      </w:pPr>
      <w:r w:rsidRPr="0089685E">
        <w:rPr>
          <w:rFonts w:ascii="Arial" w:hAnsi="Arial" w:cs="Arial"/>
          <w:sz w:val="22"/>
          <w:szCs w:val="22"/>
        </w:rPr>
        <w:t>En los casos de distritos electorales</w:t>
      </w:r>
      <w:r w:rsidR="00E55EF3" w:rsidRPr="0089685E">
        <w:rPr>
          <w:rFonts w:ascii="Arial" w:hAnsi="Arial" w:cs="Arial"/>
          <w:sz w:val="22"/>
          <w:szCs w:val="22"/>
        </w:rPr>
        <w:t xml:space="preserve">, o distritos judiciales electorales </w:t>
      </w:r>
      <w:r w:rsidRPr="0089685E">
        <w:rPr>
          <w:rFonts w:ascii="Arial" w:hAnsi="Arial" w:cs="Arial"/>
          <w:sz w:val="22"/>
          <w:szCs w:val="22"/>
        </w:rPr>
        <w:t>con más de un municipio, se podrán sellar de manera simultánea las boletas de dos o más municipios, procurando en lo posible que el sellado de cada uno sea en una sola estación o mesa de trabajo para evitar que se puedan mezclar las boletas.</w:t>
      </w:r>
    </w:p>
    <w:p w14:paraId="480EFB93" w14:textId="29D23F9B" w:rsidR="0092072A" w:rsidRPr="0089685E" w:rsidRDefault="0092072A" w:rsidP="0092072A">
      <w:pPr>
        <w:pStyle w:val="Prrafodelista"/>
        <w:numPr>
          <w:ilvl w:val="0"/>
          <w:numId w:val="4"/>
        </w:numPr>
        <w:spacing w:line="264" w:lineRule="auto"/>
        <w:ind w:left="703" w:hanging="703"/>
        <w:contextualSpacing w:val="0"/>
        <w:rPr>
          <w:rFonts w:ascii="Arial" w:hAnsi="Arial" w:cs="Arial"/>
          <w:sz w:val="22"/>
          <w:szCs w:val="22"/>
        </w:rPr>
      </w:pPr>
      <w:r w:rsidRPr="0089685E">
        <w:rPr>
          <w:rFonts w:ascii="Arial" w:hAnsi="Arial" w:cs="Arial"/>
          <w:sz w:val="22"/>
          <w:szCs w:val="22"/>
        </w:rPr>
        <w:t>La o el Coordinador debe llevar un seguimiento puntual para registrar los folios que se vayan descartando (faltantes o dañados) y proceder con su sustitución, para lo cual deberá tomar de los últimos folios de la elección correspondiente, lo que permitirá que no sea necesario recorrer los folios. Asimismo, deberá realizar los ajustes en el formato 2 del Anexo, en los casos de sustitución de folios.</w:t>
      </w:r>
    </w:p>
    <w:p w14:paraId="01D607DB" w14:textId="6C56851E" w:rsidR="0092072A" w:rsidRPr="0089685E" w:rsidRDefault="0092072A" w:rsidP="0092072A">
      <w:pPr>
        <w:pStyle w:val="Prrafodelista"/>
        <w:numPr>
          <w:ilvl w:val="0"/>
          <w:numId w:val="4"/>
        </w:numPr>
        <w:spacing w:line="264" w:lineRule="auto"/>
        <w:ind w:left="703" w:hanging="703"/>
        <w:contextualSpacing w:val="0"/>
        <w:rPr>
          <w:rFonts w:ascii="Arial" w:hAnsi="Arial" w:cs="Arial"/>
          <w:sz w:val="22"/>
          <w:szCs w:val="22"/>
        </w:rPr>
      </w:pPr>
      <w:r w:rsidRPr="0089685E">
        <w:rPr>
          <w:rFonts w:ascii="Arial" w:hAnsi="Arial" w:cs="Arial"/>
          <w:sz w:val="22"/>
          <w:szCs w:val="22"/>
        </w:rPr>
        <w:t xml:space="preserve">En caso de que por error se sellen boletas con la marca de un municipio que no le corresponda, estas boletas no deberán cancelarse, sino que se procederá a colocarles el sello correcto, situación que deberá consignarse en el acta </w:t>
      </w:r>
      <w:r w:rsidRPr="0089685E">
        <w:rPr>
          <w:rFonts w:ascii="Arial" w:hAnsi="Arial" w:cs="Arial"/>
          <w:sz w:val="22"/>
          <w:szCs w:val="22"/>
        </w:rPr>
        <w:lastRenderedPageBreak/>
        <w:t>circunstanciada que se levante para tal efecto, asentando en la misma los folios de las boletas que se encuentren en este supuesto.</w:t>
      </w:r>
    </w:p>
    <w:p w14:paraId="0AF7FAAF" w14:textId="5F060D8A" w:rsidR="0092072A" w:rsidRPr="0089685E" w:rsidRDefault="0092072A" w:rsidP="0092072A">
      <w:pPr>
        <w:pStyle w:val="Prrafodelista"/>
        <w:numPr>
          <w:ilvl w:val="0"/>
          <w:numId w:val="4"/>
        </w:numPr>
        <w:spacing w:line="264" w:lineRule="auto"/>
        <w:ind w:left="703" w:hanging="703"/>
        <w:contextualSpacing w:val="0"/>
        <w:rPr>
          <w:rFonts w:ascii="Arial" w:hAnsi="Arial" w:cs="Arial"/>
          <w:sz w:val="22"/>
          <w:szCs w:val="22"/>
        </w:rPr>
      </w:pPr>
      <w:r w:rsidRPr="0089685E">
        <w:rPr>
          <w:rFonts w:ascii="Arial" w:hAnsi="Arial" w:cs="Arial"/>
          <w:sz w:val="22"/>
          <w:szCs w:val="22"/>
        </w:rPr>
        <w:t>En el caso que se encuentren boletas dañadas, con errores de impresión o desprendidas del talón foliado, de tal suerte que resulte necesario prescindir de su utilización, la integración del total de boletas por casilla se realizará tomando los folios finales de la elección correspondiente, lo que deberá registrarse en el acta circunstanciada, así como en el Formato 2.</w:t>
      </w:r>
    </w:p>
    <w:p w14:paraId="6658BFCD" w14:textId="4EB99A91" w:rsidR="0092072A" w:rsidRPr="0089685E" w:rsidRDefault="0092072A" w:rsidP="0092072A">
      <w:pPr>
        <w:pStyle w:val="Prrafodelista"/>
        <w:numPr>
          <w:ilvl w:val="0"/>
          <w:numId w:val="4"/>
        </w:numPr>
        <w:spacing w:line="264" w:lineRule="auto"/>
        <w:ind w:left="703" w:hanging="703"/>
        <w:contextualSpacing w:val="0"/>
        <w:rPr>
          <w:rFonts w:ascii="Arial" w:hAnsi="Arial" w:cs="Arial"/>
          <w:sz w:val="22"/>
          <w:szCs w:val="22"/>
        </w:rPr>
      </w:pPr>
      <w:r w:rsidRPr="0089685E">
        <w:rPr>
          <w:rFonts w:ascii="Arial" w:hAnsi="Arial" w:cs="Arial"/>
          <w:sz w:val="22"/>
          <w:szCs w:val="22"/>
        </w:rPr>
        <w:t>En su caso, las y los representantes de los partidos políticos y candidaturas independientes, bajo su más estricta responsabilidad, firmarán las boletas electorales. La falta de firma no impedirá su oportuna distribución. En caso de firmar las boletas, se les solicitará lo realicen en la totalidad de un tipo de elección de la casilla correspondiente. En el supuesto de que algún representante haya solicitado firmar las boletas y decidiera no concluir, el hecho será consignado en el acta circunstanciada.</w:t>
      </w:r>
      <w:r w:rsidR="00E55EF3" w:rsidRPr="0089685E">
        <w:rPr>
          <w:rFonts w:ascii="Arial" w:hAnsi="Arial" w:cs="Arial"/>
          <w:sz w:val="22"/>
          <w:szCs w:val="22"/>
        </w:rPr>
        <w:t xml:space="preserve"> No obstante, para el Proceso Electoral Extraordinario en desarrollo no se cuenta con la participación de partidos políticos y candidaturas independientes.</w:t>
      </w:r>
    </w:p>
    <w:p w14:paraId="75C2FD18" w14:textId="7C1BEDE8" w:rsidR="0092072A" w:rsidRPr="0089685E" w:rsidRDefault="0092072A" w:rsidP="0092072A">
      <w:pPr>
        <w:pStyle w:val="Prrafodelista"/>
        <w:numPr>
          <w:ilvl w:val="0"/>
          <w:numId w:val="4"/>
        </w:numPr>
        <w:spacing w:line="264" w:lineRule="auto"/>
        <w:ind w:left="703" w:hanging="703"/>
        <w:contextualSpacing w:val="0"/>
        <w:rPr>
          <w:rFonts w:ascii="Arial" w:hAnsi="Arial" w:cs="Arial"/>
          <w:sz w:val="22"/>
          <w:szCs w:val="22"/>
        </w:rPr>
      </w:pPr>
      <w:r w:rsidRPr="0089685E">
        <w:rPr>
          <w:rFonts w:ascii="Arial" w:hAnsi="Arial" w:cs="Arial"/>
          <w:sz w:val="22"/>
          <w:szCs w:val="22"/>
        </w:rPr>
        <w:t>Las boletas se agruparán con base en lo señalado en el inciso h) del apartado denominado Criterios para el desarrollo de la actividad de conteo, sellado y agrupamiento de boletas electorales del propio Anexo.</w:t>
      </w:r>
    </w:p>
    <w:p w14:paraId="0C111837" w14:textId="75403C22" w:rsidR="0092072A" w:rsidRPr="0089685E" w:rsidRDefault="0092072A" w:rsidP="0092072A">
      <w:pPr>
        <w:pStyle w:val="Prrafodelista"/>
        <w:numPr>
          <w:ilvl w:val="0"/>
          <w:numId w:val="4"/>
        </w:numPr>
        <w:spacing w:line="264" w:lineRule="auto"/>
        <w:ind w:left="703" w:hanging="703"/>
        <w:contextualSpacing w:val="0"/>
        <w:rPr>
          <w:rFonts w:ascii="Arial" w:hAnsi="Arial" w:cs="Arial"/>
          <w:sz w:val="22"/>
          <w:szCs w:val="22"/>
        </w:rPr>
      </w:pPr>
      <w:r w:rsidRPr="0089685E">
        <w:rPr>
          <w:rFonts w:ascii="Arial" w:hAnsi="Arial" w:cs="Arial"/>
          <w:sz w:val="22"/>
          <w:szCs w:val="22"/>
        </w:rPr>
        <w:t xml:space="preserve">A manera de sugerencia y con el propósito de </w:t>
      </w:r>
      <w:proofErr w:type="spellStart"/>
      <w:r w:rsidRPr="0089685E">
        <w:rPr>
          <w:rFonts w:ascii="Arial" w:hAnsi="Arial" w:cs="Arial"/>
          <w:sz w:val="22"/>
          <w:szCs w:val="22"/>
        </w:rPr>
        <w:t>eficientar</w:t>
      </w:r>
      <w:proofErr w:type="spellEnd"/>
      <w:r w:rsidRPr="0089685E">
        <w:rPr>
          <w:rFonts w:ascii="Arial" w:hAnsi="Arial" w:cs="Arial"/>
          <w:sz w:val="22"/>
          <w:szCs w:val="22"/>
        </w:rPr>
        <w:t xml:space="preserve"> el desarrollo de la actividad, es importante destacar que, dependiendo de la disponibilidad de espacio para la realización de la actividad y del número de personal, se procure que el conteo, sellado y agrupamiento se realice a manera de línea de producción; es decir, las tres diferentes actividades se realicen mediante una secuencia lineal de operaciones de manera simultánea, en un mismo intervalo de tiempo, sin entorpecerse mutuamente.</w:t>
      </w:r>
    </w:p>
    <w:p w14:paraId="0AD9A5A8" w14:textId="4C443C43" w:rsidR="0092072A" w:rsidRPr="0089685E" w:rsidRDefault="0092072A" w:rsidP="00BC2C83">
      <w:pPr>
        <w:pStyle w:val="Ttulo2"/>
        <w:rPr>
          <w:rFonts w:ascii="Arial" w:hAnsi="Arial" w:cs="Arial"/>
          <w:color w:val="auto"/>
          <w:sz w:val="22"/>
          <w:szCs w:val="22"/>
        </w:rPr>
      </w:pPr>
      <w:r w:rsidRPr="0089685E">
        <w:rPr>
          <w:rFonts w:ascii="Arial" w:hAnsi="Arial" w:cs="Arial"/>
          <w:color w:val="auto"/>
          <w:sz w:val="22"/>
          <w:szCs w:val="22"/>
        </w:rPr>
        <w:t>Lineamientos propuestos por la Comisión</w:t>
      </w:r>
    </w:p>
    <w:p w14:paraId="47F33716" w14:textId="716234B2" w:rsidR="0092072A" w:rsidRPr="0089685E" w:rsidRDefault="0092072A" w:rsidP="0092072A">
      <w:pPr>
        <w:spacing w:line="264" w:lineRule="auto"/>
        <w:rPr>
          <w:rFonts w:ascii="Arial" w:hAnsi="Arial" w:cs="Arial"/>
          <w:sz w:val="22"/>
          <w:szCs w:val="22"/>
        </w:rPr>
      </w:pPr>
      <w:r w:rsidRPr="0089685E">
        <w:rPr>
          <w:rFonts w:ascii="Arial" w:hAnsi="Arial" w:cs="Arial"/>
          <w:sz w:val="22"/>
          <w:szCs w:val="22"/>
        </w:rPr>
        <w:t>Que, conforme a las directrices establecidas por el Consejo General del INE, el órgano superior de dirección o los órganos competentes del organismo electoral, llevarán a cabo el procedimiento de conteo, sellado, agrupamiento de las boletas e integración de las cajas paquete electoral, atendiendo lo señalado en el artículo 177, numeral 1, y Anexo 5 del Reglamento de Elecciones. En ese sentido, la Comisión propone el procedimiento armonizado para la realización de dicha actividad durante el Proceso Electoral Extraordinario.</w:t>
      </w:r>
    </w:p>
    <w:p w14:paraId="3E78EF0C" w14:textId="643E9771" w:rsidR="0092072A" w:rsidRPr="0089685E" w:rsidRDefault="0092072A" w:rsidP="0092072A">
      <w:pPr>
        <w:spacing w:line="264" w:lineRule="auto"/>
        <w:rPr>
          <w:rFonts w:ascii="Arial" w:hAnsi="Arial" w:cs="Arial"/>
          <w:sz w:val="22"/>
          <w:szCs w:val="22"/>
        </w:rPr>
      </w:pPr>
      <w:r w:rsidRPr="0089685E">
        <w:rPr>
          <w:rFonts w:ascii="Arial" w:hAnsi="Arial" w:cs="Arial"/>
          <w:sz w:val="22"/>
          <w:szCs w:val="22"/>
        </w:rPr>
        <w:lastRenderedPageBreak/>
        <w:t>A partir de las disposiciones señaladas, la Comisión propone la emisión del Lineamiento para el conteo, sellado y agrupamiento de las boletas electorales que se utilizarán con motivo del Proceso Electoral Extraordinario, el cual es de observancia obligatoria para el Instituto</w:t>
      </w:r>
      <w:r w:rsidR="00AD45E6" w:rsidRPr="0089685E">
        <w:rPr>
          <w:rFonts w:ascii="Arial" w:hAnsi="Arial" w:cs="Arial"/>
          <w:sz w:val="22"/>
          <w:szCs w:val="22"/>
        </w:rPr>
        <w:t>, así como para los integrantes de los órganos desconcentrados del Instituto y personal auxiliar que participen en las actividades del conteo, sellado, agrupamiento de boletas, y armado e integración de los paquetes electorales en los Consejos Distritales</w:t>
      </w:r>
      <w:r w:rsidRPr="0089685E">
        <w:rPr>
          <w:rFonts w:ascii="Arial" w:hAnsi="Arial" w:cs="Arial"/>
          <w:sz w:val="22"/>
          <w:szCs w:val="22"/>
        </w:rPr>
        <w:t>; y, su propósito es establecer los criterios legales y aspectos técnicos que se implementarán para la realización de esta actividad.</w:t>
      </w:r>
    </w:p>
    <w:p w14:paraId="5E359BE2" w14:textId="20E0EF4C" w:rsidR="00BC2C83" w:rsidRDefault="00AD45E6" w:rsidP="00AD45E6">
      <w:pPr>
        <w:rPr>
          <w:rFonts w:ascii="Arial" w:hAnsi="Arial" w:cs="Arial"/>
          <w:sz w:val="22"/>
          <w:szCs w:val="22"/>
        </w:rPr>
      </w:pPr>
      <w:r w:rsidRPr="0089685E">
        <w:rPr>
          <w:rFonts w:ascii="Arial" w:hAnsi="Arial" w:cs="Arial"/>
          <w:sz w:val="22"/>
          <w:szCs w:val="22"/>
        </w:rPr>
        <w:t>En ese contexto, e</w:t>
      </w:r>
      <w:r w:rsidR="00BC2C83" w:rsidRPr="0089685E">
        <w:rPr>
          <w:rFonts w:ascii="Arial" w:hAnsi="Arial" w:cs="Arial"/>
          <w:sz w:val="22"/>
          <w:szCs w:val="22"/>
        </w:rPr>
        <w:t>l Lineamiento constituye una guía para que las personas que intervienen en el proceso de recepción</w:t>
      </w:r>
      <w:r w:rsidRPr="0089685E">
        <w:rPr>
          <w:rFonts w:ascii="Arial" w:hAnsi="Arial" w:cs="Arial"/>
          <w:sz w:val="22"/>
          <w:szCs w:val="22"/>
        </w:rPr>
        <w:t xml:space="preserve">, resguardo, conteo, sellado y agrupamiento </w:t>
      </w:r>
      <w:r w:rsidR="00BC2C83" w:rsidRPr="0089685E">
        <w:rPr>
          <w:rFonts w:ascii="Arial" w:hAnsi="Arial" w:cs="Arial"/>
          <w:sz w:val="22"/>
          <w:szCs w:val="22"/>
        </w:rPr>
        <w:t>de las boletas electorales</w:t>
      </w:r>
      <w:r w:rsidRPr="0089685E">
        <w:rPr>
          <w:rFonts w:ascii="Arial" w:hAnsi="Arial" w:cs="Arial"/>
          <w:sz w:val="22"/>
          <w:szCs w:val="22"/>
        </w:rPr>
        <w:t xml:space="preserve">, pues establece, define, facilita, agiliza y uniforma las actividades específicas que realizarán los Consejos Distritales con el objetivo de integrar los paquetes electorales con motivo del Proceso Electoral Extraordinario. </w:t>
      </w:r>
    </w:p>
    <w:p w14:paraId="7048E9A2" w14:textId="77777777" w:rsidR="0089685E" w:rsidRPr="0089685E" w:rsidRDefault="0089685E" w:rsidP="00AD45E6">
      <w:pPr>
        <w:rPr>
          <w:rFonts w:ascii="Arial" w:hAnsi="Arial" w:cs="Arial"/>
          <w:sz w:val="22"/>
          <w:szCs w:val="22"/>
        </w:rPr>
      </w:pPr>
    </w:p>
    <w:p w14:paraId="7EC3BCC4" w14:textId="77777777" w:rsidR="00622635" w:rsidRPr="0089685E" w:rsidRDefault="00622635" w:rsidP="00622635">
      <w:pPr>
        <w:spacing w:line="264" w:lineRule="auto"/>
        <w:rPr>
          <w:rFonts w:ascii="Arial" w:hAnsi="Arial" w:cs="Arial"/>
          <w:sz w:val="22"/>
          <w:szCs w:val="22"/>
        </w:rPr>
      </w:pPr>
      <w:r w:rsidRPr="0089685E">
        <w:rPr>
          <w:rFonts w:ascii="Arial" w:hAnsi="Arial" w:cs="Arial"/>
          <w:sz w:val="22"/>
          <w:szCs w:val="22"/>
        </w:rPr>
        <w:t>Sobre la base de las consideraciones señaladas, este Consejo Estatal emite el siguiente:</w:t>
      </w:r>
    </w:p>
    <w:p w14:paraId="362DB60C" w14:textId="77777777" w:rsidR="00622635" w:rsidRPr="0089685E" w:rsidRDefault="00622635" w:rsidP="00622635">
      <w:pPr>
        <w:pStyle w:val="Ttulo1"/>
        <w:rPr>
          <w:rFonts w:ascii="Arial" w:hAnsi="Arial" w:cs="Arial"/>
          <w:color w:val="auto"/>
          <w:sz w:val="24"/>
          <w:szCs w:val="22"/>
        </w:rPr>
      </w:pPr>
      <w:r w:rsidRPr="0089685E">
        <w:rPr>
          <w:rFonts w:ascii="Arial" w:hAnsi="Arial" w:cs="Arial"/>
          <w:color w:val="auto"/>
          <w:sz w:val="24"/>
          <w:szCs w:val="22"/>
        </w:rPr>
        <w:t>Acuerdo</w:t>
      </w:r>
    </w:p>
    <w:p w14:paraId="12ADB42B" w14:textId="646E4618" w:rsidR="00622635" w:rsidRPr="0089685E" w:rsidRDefault="00622635" w:rsidP="00622635">
      <w:pPr>
        <w:spacing w:line="264" w:lineRule="auto"/>
        <w:rPr>
          <w:rFonts w:ascii="Arial" w:hAnsi="Arial" w:cs="Arial"/>
          <w:sz w:val="22"/>
          <w:szCs w:val="22"/>
        </w:rPr>
      </w:pPr>
      <w:r w:rsidRPr="0089685E">
        <w:rPr>
          <w:rFonts w:ascii="Arial" w:hAnsi="Arial" w:cs="Arial"/>
          <w:b/>
          <w:bCs/>
          <w:sz w:val="22"/>
          <w:szCs w:val="22"/>
        </w:rPr>
        <w:t>Primero.</w:t>
      </w:r>
      <w:r w:rsidRPr="0089685E">
        <w:rPr>
          <w:rFonts w:ascii="Arial" w:hAnsi="Arial" w:cs="Arial"/>
          <w:sz w:val="22"/>
          <w:szCs w:val="22"/>
        </w:rPr>
        <w:t xml:space="preserve"> Se aprueba el Lineamiento para el conteo, sellado y agrupamiento de las boletas electorales que se utilizarán con motivo del Proceso Electoral Local Extraordinario para personas juzgadoras del Poder Judicial del Estado de Tabasco 2024-2025 con motivo del Proceso Electoral Local Extraordinario para personas juzgadoras del Poder Judicial del Estado de Tabasco 2024-2025 anexo al presente acuerdo.</w:t>
      </w:r>
    </w:p>
    <w:p w14:paraId="2CE585E0" w14:textId="77777777" w:rsidR="00622635" w:rsidRPr="0089685E" w:rsidRDefault="00622635" w:rsidP="00622635">
      <w:pPr>
        <w:spacing w:line="264" w:lineRule="auto"/>
        <w:rPr>
          <w:rFonts w:ascii="Arial" w:hAnsi="Arial" w:cs="Arial"/>
          <w:sz w:val="22"/>
          <w:szCs w:val="22"/>
        </w:rPr>
      </w:pPr>
      <w:r w:rsidRPr="0089685E">
        <w:rPr>
          <w:rFonts w:ascii="Arial" w:hAnsi="Arial" w:cs="Arial"/>
          <w:b/>
          <w:bCs/>
          <w:sz w:val="22"/>
          <w:szCs w:val="22"/>
        </w:rPr>
        <w:t xml:space="preserve">Segundo. </w:t>
      </w:r>
      <w:r w:rsidRPr="0089685E">
        <w:rPr>
          <w:rFonts w:ascii="Arial" w:hAnsi="Arial" w:cs="Arial"/>
          <w:sz w:val="22"/>
          <w:szCs w:val="22"/>
        </w:rPr>
        <w:t>Se instruye a la Secretaría Ejecutiva notifique el contenido del presente acuerdo, a las juntas electorales distritales del Instituto; y, en términos del artículo 387 numeral 9 de la Ley Electoral, a las personas candidatas a los cargos de elección del Poder Judicial del Estado de Tabasco.</w:t>
      </w:r>
    </w:p>
    <w:p w14:paraId="7C4DBB50" w14:textId="77777777" w:rsidR="00622635" w:rsidRPr="0089685E" w:rsidRDefault="00622635" w:rsidP="00622635">
      <w:pPr>
        <w:spacing w:line="264" w:lineRule="auto"/>
        <w:rPr>
          <w:rFonts w:ascii="Arial" w:hAnsi="Arial" w:cs="Arial"/>
          <w:sz w:val="22"/>
          <w:szCs w:val="22"/>
        </w:rPr>
      </w:pPr>
      <w:r w:rsidRPr="0089685E">
        <w:rPr>
          <w:rFonts w:ascii="Arial" w:hAnsi="Arial" w:cs="Arial"/>
          <w:b/>
          <w:bCs/>
          <w:sz w:val="22"/>
          <w:szCs w:val="22"/>
        </w:rPr>
        <w:t xml:space="preserve">Tercero. </w:t>
      </w:r>
      <w:r w:rsidRPr="0089685E">
        <w:rPr>
          <w:rFonts w:ascii="Arial" w:hAnsi="Arial" w:cs="Arial"/>
          <w:sz w:val="22"/>
          <w:szCs w:val="22"/>
        </w:rPr>
        <w:t>Asimismo, se instruye a la Secretaría Ejecutiva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4D17DD34" w14:textId="77777777" w:rsidR="00622635" w:rsidRPr="0089685E" w:rsidRDefault="00622635" w:rsidP="00622635">
      <w:pPr>
        <w:spacing w:line="264" w:lineRule="auto"/>
        <w:rPr>
          <w:rFonts w:ascii="Arial" w:hAnsi="Arial" w:cs="Arial"/>
          <w:sz w:val="22"/>
          <w:szCs w:val="22"/>
        </w:rPr>
      </w:pPr>
      <w:r w:rsidRPr="0089685E">
        <w:rPr>
          <w:rFonts w:ascii="Arial" w:hAnsi="Arial" w:cs="Arial"/>
          <w:b/>
          <w:bCs/>
          <w:sz w:val="22"/>
          <w:szCs w:val="22"/>
        </w:rPr>
        <w:lastRenderedPageBreak/>
        <w:t>Cuarto.</w:t>
      </w:r>
      <w:r w:rsidRPr="0089685E">
        <w:rPr>
          <w:rFonts w:ascii="Arial" w:hAnsi="Arial" w:cs="Arial"/>
          <w:sz w:val="22"/>
          <w:szCs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278DF885" w14:textId="1F828A93" w:rsidR="00622635" w:rsidRPr="0089685E" w:rsidRDefault="00622635" w:rsidP="00622635">
      <w:pPr>
        <w:spacing w:line="264" w:lineRule="auto"/>
        <w:rPr>
          <w:rFonts w:ascii="Arial" w:hAnsi="Arial" w:cs="Arial"/>
          <w:sz w:val="22"/>
          <w:szCs w:val="22"/>
        </w:rPr>
      </w:pPr>
      <w:r w:rsidRPr="0089685E">
        <w:rPr>
          <w:rFonts w:ascii="Arial" w:hAnsi="Arial" w:cs="Arial"/>
          <w:sz w:val="22"/>
          <w:szCs w:val="22"/>
        </w:rPr>
        <w:t xml:space="preserve">El presente acuerdo fue aprobado en sesión </w:t>
      </w:r>
      <w:r w:rsidR="0089685E">
        <w:rPr>
          <w:rFonts w:ascii="Arial" w:hAnsi="Arial" w:cs="Arial"/>
          <w:sz w:val="22"/>
          <w:szCs w:val="22"/>
        </w:rPr>
        <w:t>extraordinaria</w:t>
      </w:r>
      <w:r w:rsidRPr="0089685E">
        <w:rPr>
          <w:rFonts w:ascii="Arial" w:hAnsi="Arial" w:cs="Arial"/>
          <w:sz w:val="22"/>
          <w:szCs w:val="22"/>
        </w:rPr>
        <w:t xml:space="preserve"> efectuada el </w:t>
      </w:r>
      <w:r w:rsidR="0089685E">
        <w:rPr>
          <w:rFonts w:ascii="Arial" w:hAnsi="Arial" w:cs="Arial"/>
          <w:sz w:val="22"/>
          <w:szCs w:val="22"/>
        </w:rPr>
        <w:t>día veintiuno</w:t>
      </w:r>
      <w:r w:rsidRPr="0089685E">
        <w:rPr>
          <w:rFonts w:ascii="Arial" w:hAnsi="Arial" w:cs="Arial"/>
          <w:sz w:val="22"/>
          <w:szCs w:val="22"/>
        </w:rPr>
        <w:t xml:space="preserve"> de </w:t>
      </w:r>
      <w:r w:rsidR="0089685E">
        <w:rPr>
          <w:rFonts w:ascii="Arial" w:hAnsi="Arial" w:cs="Arial"/>
          <w:sz w:val="22"/>
          <w:szCs w:val="22"/>
        </w:rPr>
        <w:t>abril</w:t>
      </w:r>
      <w:r w:rsidRPr="0089685E">
        <w:rPr>
          <w:rFonts w:ascii="Arial" w:hAnsi="Arial" w:cs="Arial"/>
          <w:sz w:val="22"/>
          <w:szCs w:val="22"/>
        </w:rPr>
        <w:t xml:space="preserve"> del año dos mil veinticinco, por votación </w:t>
      </w:r>
      <w:r w:rsidR="0089685E">
        <w:rPr>
          <w:rFonts w:ascii="Arial" w:hAnsi="Arial" w:cs="Arial"/>
          <w:sz w:val="22"/>
          <w:szCs w:val="22"/>
        </w:rPr>
        <w:t>unánime</w:t>
      </w:r>
      <w:r w:rsidRPr="0089685E">
        <w:rPr>
          <w:rFonts w:ascii="Arial" w:hAnsi="Arial" w:cs="Arial"/>
          <w:sz w:val="22"/>
          <w:szCs w:val="22"/>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Beaurregard, Mtra. Ruth Lizette Toledo Peral y la Consejera Presidenta, Mtra. Elizabeth Nava Gutiérrez.</w:t>
      </w:r>
    </w:p>
    <w:p w14:paraId="0C83DDFC" w14:textId="2BC5DA7D" w:rsidR="00622635" w:rsidRDefault="00622635" w:rsidP="00622635">
      <w:pPr>
        <w:spacing w:line="264" w:lineRule="auto"/>
        <w:rPr>
          <w:rFonts w:ascii="Arial" w:hAnsi="Arial" w:cs="Arial"/>
          <w:sz w:val="22"/>
          <w:szCs w:val="22"/>
        </w:rPr>
      </w:pPr>
    </w:p>
    <w:p w14:paraId="605BBA49" w14:textId="75FC9619" w:rsidR="0089685E" w:rsidRDefault="0089685E" w:rsidP="00622635">
      <w:pPr>
        <w:spacing w:line="264" w:lineRule="auto"/>
        <w:rPr>
          <w:rFonts w:ascii="Arial" w:hAnsi="Arial" w:cs="Arial"/>
          <w:sz w:val="22"/>
          <w:szCs w:val="22"/>
        </w:rPr>
      </w:pPr>
    </w:p>
    <w:p w14:paraId="39E7D3F4" w14:textId="77777777" w:rsidR="00622635" w:rsidRPr="0089685E" w:rsidRDefault="00622635" w:rsidP="00622635">
      <w:pPr>
        <w:spacing w:line="264" w:lineRule="auto"/>
        <w:rPr>
          <w:rFonts w:ascii="Arial" w:hAnsi="Arial" w:cs="Arial"/>
          <w:sz w:val="22"/>
          <w:szCs w:val="22"/>
        </w:rPr>
      </w:pPr>
      <w:bookmarkStart w:id="1" w:name="_GoBack"/>
      <w:bookmarkEnd w:id="1"/>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236"/>
        <w:gridCol w:w="4305"/>
      </w:tblGrid>
      <w:tr w:rsidR="00622635" w:rsidRPr="0089685E" w14:paraId="0E2A31CB" w14:textId="77777777" w:rsidTr="0089685E">
        <w:tc>
          <w:tcPr>
            <w:tcW w:w="4390" w:type="dxa"/>
          </w:tcPr>
          <w:p w14:paraId="0DBB1574" w14:textId="77777777" w:rsidR="00622635" w:rsidRPr="0089685E" w:rsidRDefault="00622635" w:rsidP="001704A8">
            <w:pPr>
              <w:spacing w:before="0" w:after="0" w:line="264" w:lineRule="auto"/>
              <w:jc w:val="center"/>
              <w:rPr>
                <w:rFonts w:ascii="Arial" w:hAnsi="Arial" w:cs="Arial"/>
                <w:b/>
                <w:bCs/>
                <w:sz w:val="22"/>
                <w:szCs w:val="22"/>
              </w:rPr>
            </w:pPr>
            <w:r w:rsidRPr="0089685E">
              <w:rPr>
                <w:rFonts w:ascii="Arial" w:hAnsi="Arial" w:cs="Arial"/>
                <w:b/>
                <w:bCs/>
                <w:sz w:val="22"/>
                <w:szCs w:val="22"/>
              </w:rPr>
              <w:t>MTRA. ELIZABETH NAVA GUTIÉRREZ</w:t>
            </w:r>
          </w:p>
          <w:p w14:paraId="5D32C680" w14:textId="77777777" w:rsidR="00622635" w:rsidRPr="0089685E" w:rsidRDefault="00622635" w:rsidP="001704A8">
            <w:pPr>
              <w:spacing w:before="0" w:after="0" w:line="264" w:lineRule="auto"/>
              <w:jc w:val="center"/>
              <w:rPr>
                <w:rFonts w:ascii="Arial" w:hAnsi="Arial" w:cs="Arial"/>
                <w:b/>
                <w:bCs/>
                <w:sz w:val="22"/>
                <w:szCs w:val="22"/>
              </w:rPr>
            </w:pPr>
            <w:r w:rsidRPr="0089685E">
              <w:rPr>
                <w:rFonts w:ascii="Arial" w:hAnsi="Arial" w:cs="Arial"/>
                <w:b/>
                <w:bCs/>
                <w:sz w:val="22"/>
                <w:szCs w:val="22"/>
              </w:rPr>
              <w:t>CONSEJERA PRESIDENTA</w:t>
            </w:r>
          </w:p>
        </w:tc>
        <w:tc>
          <w:tcPr>
            <w:tcW w:w="236" w:type="dxa"/>
          </w:tcPr>
          <w:p w14:paraId="7FF601A6" w14:textId="77777777" w:rsidR="00622635" w:rsidRPr="0089685E" w:rsidRDefault="00622635" w:rsidP="001704A8">
            <w:pPr>
              <w:spacing w:before="0" w:after="0" w:line="264" w:lineRule="auto"/>
              <w:rPr>
                <w:rFonts w:ascii="Arial" w:hAnsi="Arial" w:cs="Arial"/>
                <w:b/>
                <w:bCs/>
                <w:sz w:val="22"/>
                <w:szCs w:val="22"/>
              </w:rPr>
            </w:pPr>
          </w:p>
        </w:tc>
        <w:tc>
          <w:tcPr>
            <w:tcW w:w="4305" w:type="dxa"/>
          </w:tcPr>
          <w:p w14:paraId="1BAA45C0" w14:textId="77777777" w:rsidR="00622635" w:rsidRPr="0089685E" w:rsidRDefault="00622635" w:rsidP="001704A8">
            <w:pPr>
              <w:spacing w:before="0" w:after="0" w:line="264" w:lineRule="auto"/>
              <w:jc w:val="center"/>
              <w:rPr>
                <w:rFonts w:ascii="Arial" w:hAnsi="Arial" w:cs="Arial"/>
                <w:b/>
                <w:bCs/>
                <w:sz w:val="22"/>
                <w:szCs w:val="22"/>
              </w:rPr>
            </w:pPr>
            <w:r w:rsidRPr="0089685E">
              <w:rPr>
                <w:rFonts w:ascii="Arial" w:hAnsi="Arial" w:cs="Arial"/>
                <w:b/>
                <w:bCs/>
                <w:sz w:val="22"/>
                <w:szCs w:val="22"/>
              </w:rPr>
              <w:t>LIC. JORGE ALBERTO ZAVALA FRÍAS</w:t>
            </w:r>
          </w:p>
          <w:p w14:paraId="6E42A7BF" w14:textId="77777777" w:rsidR="00622635" w:rsidRPr="0089685E" w:rsidRDefault="00622635" w:rsidP="001704A8">
            <w:pPr>
              <w:spacing w:before="0" w:after="0" w:line="264" w:lineRule="auto"/>
              <w:jc w:val="center"/>
              <w:rPr>
                <w:rFonts w:ascii="Arial" w:hAnsi="Arial" w:cs="Arial"/>
                <w:b/>
                <w:bCs/>
                <w:sz w:val="22"/>
                <w:szCs w:val="22"/>
              </w:rPr>
            </w:pPr>
            <w:r w:rsidRPr="0089685E">
              <w:rPr>
                <w:rFonts w:ascii="Arial" w:hAnsi="Arial" w:cs="Arial"/>
                <w:b/>
                <w:bCs/>
                <w:sz w:val="22"/>
                <w:szCs w:val="22"/>
              </w:rPr>
              <w:t>SECRETARIO DEL CONSEJO</w:t>
            </w:r>
          </w:p>
        </w:tc>
      </w:tr>
    </w:tbl>
    <w:p w14:paraId="012317D2" w14:textId="77777777" w:rsidR="00BC2C83" w:rsidRPr="0089685E" w:rsidRDefault="00BC2C83">
      <w:pPr>
        <w:rPr>
          <w:rFonts w:ascii="Arial" w:hAnsi="Arial" w:cs="Arial"/>
          <w:sz w:val="22"/>
          <w:szCs w:val="22"/>
        </w:rPr>
      </w:pPr>
    </w:p>
    <w:sectPr w:rsidR="00BC2C83" w:rsidRPr="0089685E" w:rsidSect="00DF0244">
      <w:headerReference w:type="even" r:id="rId8"/>
      <w:headerReference w:type="default" r:id="rId9"/>
      <w:footerReference w:type="even" r:id="rId10"/>
      <w:footerReference w:type="default" r:id="rId11"/>
      <w:headerReference w:type="first" r:id="rId12"/>
      <w:footerReference w:type="first" r:id="rId13"/>
      <w:pgSz w:w="12240" w:h="15840" w:code="1"/>
      <w:pgMar w:top="3119" w:right="2034"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2AF86" w14:textId="77777777" w:rsidR="00EC0D92" w:rsidRDefault="00EC0D92" w:rsidP="00BC2C83">
      <w:pPr>
        <w:spacing w:before="0" w:after="0" w:line="240" w:lineRule="auto"/>
      </w:pPr>
      <w:r>
        <w:separator/>
      </w:r>
    </w:p>
  </w:endnote>
  <w:endnote w:type="continuationSeparator" w:id="0">
    <w:p w14:paraId="0CDE536C" w14:textId="77777777" w:rsidR="00EC0D92" w:rsidRDefault="00EC0D92" w:rsidP="00BC2C8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embedRegular r:id="rId1" w:fontKey="{41AB9B67-F76E-45F9-8B20-D1958C964E77}"/>
    <w:embedBold r:id="rId2" w:fontKey="{BAB6F3E1-707E-4B1F-BEB8-454A9A864D4F}"/>
    <w:embedItalic r:id="rId3" w:fontKey="{208B5B35-9A13-43E5-8894-C3BE5F28BD12}"/>
  </w:font>
  <w:font w:name="Exo">
    <w:altName w:val="Times New Roman"/>
    <w:charset w:val="00"/>
    <w:family w:val="auto"/>
    <w:pitch w:val="variable"/>
    <w:sig w:usb0="A00000FF" w:usb1="4000204B" w:usb2="00000000" w:usb3="00000000" w:csb0="00000193" w:csb1="00000000"/>
    <w:embedRegular r:id="rId4" w:fontKey="{4725D7C2-3CDA-4EB0-A0A1-4C6EC3A7E81A}"/>
    <w:embedBold r:id="rId5" w:fontKey="{697682DA-7B95-4B4B-A65C-8EBC1E756E90}"/>
    <w:embedItalic r:id="rId6" w:fontKey="{92620725-B081-46FD-90B7-25ED47BA4BF8}"/>
  </w:font>
  <w:font w:name="Aptos Display">
    <w:altName w:val="Arial Unicode MS"/>
    <w:charset w:val="00"/>
    <w:family w:val="swiss"/>
    <w:pitch w:val="variable"/>
    <w:sig w:usb0="20000287" w:usb1="00000003" w:usb2="00000000" w:usb3="00000000" w:csb0="0000019F" w:csb1="00000000"/>
    <w:embedRegular r:id="rId7" w:fontKey="{ADAFDE53-BA48-4390-A2F5-2A723166C06A}"/>
  </w:font>
  <w:font w:name="Segoe UI">
    <w:panose1 w:val="020B0502040204020203"/>
    <w:charset w:val="00"/>
    <w:family w:val="swiss"/>
    <w:pitch w:val="variable"/>
    <w:sig w:usb0="E4002EFF" w:usb1="C000E47F" w:usb2="00000009" w:usb3="00000000" w:csb0="000001FF" w:csb1="00000000"/>
    <w:embedRegular r:id="rId8" w:fontKey="{9970993A-E9BD-4BD3-89B4-44A7D87EFCB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9C029" w14:textId="77777777" w:rsidR="003E2705" w:rsidRDefault="003E270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1802604472"/>
      <w:docPartObj>
        <w:docPartGallery w:val="Page Numbers (Top of Page)"/>
        <w:docPartUnique/>
      </w:docPartObj>
    </w:sdtPr>
    <w:sdtEndPr/>
    <w:sdtContent>
      <w:p w14:paraId="422B867B" w14:textId="5BCCFEB9" w:rsidR="00BC2C83" w:rsidRPr="0089685E" w:rsidRDefault="00BC2C83" w:rsidP="00BC2C83">
        <w:pPr>
          <w:pStyle w:val="Piedepgina"/>
          <w:jc w:val="right"/>
          <w:rPr>
            <w:rFonts w:ascii="Arial" w:hAnsi="Arial" w:cs="Arial"/>
            <w:color w:val="993366"/>
            <w:sz w:val="20"/>
            <w:szCs w:val="20"/>
          </w:rPr>
        </w:pPr>
        <w:r w:rsidRPr="0089685E">
          <w:rPr>
            <w:rFonts w:ascii="Arial" w:hAnsi="Arial" w:cs="Arial"/>
            <w:b/>
            <w:bCs/>
            <w:color w:val="993366"/>
          </w:rPr>
          <w:t xml:space="preserve">Página </w:t>
        </w:r>
        <w:r w:rsidRPr="0089685E">
          <w:rPr>
            <w:rFonts w:ascii="Arial" w:hAnsi="Arial" w:cs="Arial"/>
            <w:b/>
            <w:bCs/>
            <w:color w:val="993366"/>
          </w:rPr>
          <w:fldChar w:fldCharType="begin"/>
        </w:r>
        <w:r w:rsidRPr="0089685E">
          <w:rPr>
            <w:rFonts w:ascii="Arial" w:hAnsi="Arial" w:cs="Arial"/>
            <w:b/>
            <w:bCs/>
            <w:color w:val="993366"/>
          </w:rPr>
          <w:instrText>PAGE</w:instrText>
        </w:r>
        <w:r w:rsidRPr="0089685E">
          <w:rPr>
            <w:rFonts w:ascii="Arial" w:hAnsi="Arial" w:cs="Arial"/>
            <w:b/>
            <w:bCs/>
            <w:color w:val="993366"/>
          </w:rPr>
          <w:fldChar w:fldCharType="separate"/>
        </w:r>
        <w:r w:rsidR="00681B39">
          <w:rPr>
            <w:rFonts w:ascii="Arial" w:hAnsi="Arial" w:cs="Arial"/>
            <w:b/>
            <w:bCs/>
            <w:noProof/>
            <w:color w:val="993366"/>
          </w:rPr>
          <w:t>14</w:t>
        </w:r>
        <w:r w:rsidRPr="0089685E">
          <w:rPr>
            <w:rFonts w:ascii="Arial" w:hAnsi="Arial" w:cs="Arial"/>
            <w:b/>
            <w:bCs/>
            <w:color w:val="993366"/>
          </w:rPr>
          <w:fldChar w:fldCharType="end"/>
        </w:r>
        <w:r w:rsidRPr="0089685E">
          <w:rPr>
            <w:rFonts w:ascii="Arial" w:hAnsi="Arial" w:cs="Arial"/>
            <w:b/>
            <w:bCs/>
            <w:color w:val="993366"/>
          </w:rPr>
          <w:t xml:space="preserve"> | </w:t>
        </w:r>
        <w:r w:rsidRPr="0089685E">
          <w:rPr>
            <w:rFonts w:ascii="Arial" w:hAnsi="Arial" w:cs="Arial"/>
            <w:b/>
            <w:bCs/>
            <w:color w:val="993366"/>
          </w:rPr>
          <w:fldChar w:fldCharType="begin"/>
        </w:r>
        <w:r w:rsidRPr="0089685E">
          <w:rPr>
            <w:rFonts w:ascii="Arial" w:hAnsi="Arial" w:cs="Arial"/>
            <w:b/>
            <w:bCs/>
            <w:color w:val="993366"/>
          </w:rPr>
          <w:instrText>NUMPAGES</w:instrText>
        </w:r>
        <w:r w:rsidRPr="0089685E">
          <w:rPr>
            <w:rFonts w:ascii="Arial" w:hAnsi="Arial" w:cs="Arial"/>
            <w:b/>
            <w:bCs/>
            <w:color w:val="993366"/>
          </w:rPr>
          <w:fldChar w:fldCharType="separate"/>
        </w:r>
        <w:r w:rsidR="00681B39">
          <w:rPr>
            <w:rFonts w:ascii="Arial" w:hAnsi="Arial" w:cs="Arial"/>
            <w:b/>
            <w:bCs/>
            <w:noProof/>
            <w:color w:val="993366"/>
          </w:rPr>
          <w:t>15</w:t>
        </w:r>
        <w:r w:rsidRPr="0089685E">
          <w:rPr>
            <w:rFonts w:ascii="Arial" w:hAnsi="Arial" w:cs="Arial"/>
            <w:b/>
            <w:bCs/>
            <w:color w:val="993366"/>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05B36" w14:textId="77777777" w:rsidR="003E2705" w:rsidRDefault="003E270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4F78F5" w14:textId="77777777" w:rsidR="00EC0D92" w:rsidRDefault="00EC0D92" w:rsidP="00BC2C83">
      <w:pPr>
        <w:spacing w:before="0" w:after="0" w:line="240" w:lineRule="auto"/>
      </w:pPr>
      <w:r>
        <w:separator/>
      </w:r>
    </w:p>
  </w:footnote>
  <w:footnote w:type="continuationSeparator" w:id="0">
    <w:p w14:paraId="1AF8F33B" w14:textId="77777777" w:rsidR="00EC0D92" w:rsidRDefault="00EC0D92" w:rsidP="00BC2C8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F1C76" w14:textId="77777777" w:rsidR="003E2705" w:rsidRDefault="003E2705">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BC2C83" w14:paraId="3E437806" w14:textId="77777777" w:rsidTr="001704A8">
      <w:tc>
        <w:tcPr>
          <w:tcW w:w="1813" w:type="dxa"/>
        </w:tcPr>
        <w:p w14:paraId="4A07D861" w14:textId="77777777" w:rsidR="00BC2C83" w:rsidRPr="0089685E" w:rsidRDefault="00BC2C83" w:rsidP="00BC2C83">
          <w:pPr>
            <w:pStyle w:val="Encabezado"/>
            <w:rPr>
              <w:rFonts w:ascii="Arial" w:hAnsi="Arial" w:cs="Arial"/>
            </w:rPr>
          </w:pPr>
          <w:r w:rsidRPr="0089685E">
            <w:rPr>
              <w:rFonts w:ascii="Arial" w:hAnsi="Arial" w:cs="Arial"/>
              <w:b/>
              <w:noProof/>
              <w:sz w:val="32"/>
              <w:lang w:eastAsia="es-MX"/>
            </w:rPr>
            <w:drawing>
              <wp:inline distT="0" distB="0" distL="0" distR="0" wp14:anchorId="3D605206" wp14:editId="333793D6">
                <wp:extent cx="1014331" cy="1199403"/>
                <wp:effectExtent l="0" t="0" r="0" b="1270"/>
                <wp:docPr id="9" name="Imagen 9"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2A04D11D" w14:textId="77777777" w:rsidR="00BC2C83" w:rsidRPr="0089685E" w:rsidRDefault="00BC2C83" w:rsidP="00BC2C83">
          <w:pPr>
            <w:pStyle w:val="Encabezado"/>
            <w:spacing w:before="720"/>
            <w:jc w:val="center"/>
            <w:rPr>
              <w:rFonts w:ascii="Arial" w:hAnsi="Arial" w:cs="Arial"/>
              <w:b/>
              <w:bCs/>
              <w:spacing w:val="-10"/>
              <w:sz w:val="26"/>
              <w:szCs w:val="26"/>
            </w:rPr>
          </w:pPr>
          <w:r w:rsidRPr="0089685E">
            <w:rPr>
              <w:rFonts w:ascii="Arial" w:hAnsi="Arial" w:cs="Arial"/>
              <w:b/>
              <w:bCs/>
              <w:spacing w:val="-10"/>
              <w:sz w:val="26"/>
              <w:szCs w:val="26"/>
            </w:rPr>
            <w:t>INSTITUTO ELECTORAL Y DE PARTICIPACIÓN CIUDADANA DE TABASCO</w:t>
          </w:r>
        </w:p>
        <w:p w14:paraId="15D71124" w14:textId="77777777" w:rsidR="00BC2C83" w:rsidRDefault="00BC2C83" w:rsidP="00BC2C83">
          <w:pPr>
            <w:pStyle w:val="Encabezado"/>
            <w:spacing w:before="60"/>
            <w:jc w:val="center"/>
          </w:pPr>
          <w:r w:rsidRPr="0089685E">
            <w:rPr>
              <w:rFonts w:ascii="Arial" w:hAnsi="Arial" w:cs="Arial"/>
              <w:b/>
              <w:bCs/>
              <w:sz w:val="28"/>
              <w:szCs w:val="28"/>
            </w:rPr>
            <w:t>CONSEJO ESTATAL</w:t>
          </w:r>
        </w:p>
      </w:tc>
      <w:tc>
        <w:tcPr>
          <w:tcW w:w="1560" w:type="dxa"/>
        </w:tcPr>
        <w:p w14:paraId="76B9501E" w14:textId="77777777" w:rsidR="00BC2C83" w:rsidRDefault="00BC2C83" w:rsidP="00BC2C83">
          <w:pPr>
            <w:pStyle w:val="Encabezado"/>
            <w:spacing w:before="480"/>
            <w:jc w:val="right"/>
          </w:pPr>
          <w:r>
            <w:rPr>
              <w:noProof/>
              <w:lang w:eastAsia="es-MX"/>
            </w:rPr>
            <w:drawing>
              <wp:inline distT="0" distB="0" distL="0" distR="0" wp14:anchorId="762F428B" wp14:editId="0E18CB7B">
                <wp:extent cx="921600" cy="756000"/>
                <wp:effectExtent l="0" t="0" r="0" b="6350"/>
                <wp:docPr id="10"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11E8C096" w14:textId="22563040" w:rsidR="00BC2C83" w:rsidRPr="0089685E" w:rsidRDefault="0089685E" w:rsidP="0089685E">
    <w:pPr>
      <w:pStyle w:val="Encabezado"/>
      <w:jc w:val="right"/>
      <w:rPr>
        <w:rFonts w:ascii="Arial" w:hAnsi="Arial" w:cs="Arial"/>
        <w:b/>
      </w:rPr>
    </w:pPr>
    <w:r w:rsidRPr="0089685E">
      <w:rPr>
        <w:rFonts w:ascii="Arial" w:hAnsi="Arial" w:cs="Arial"/>
        <w:b/>
      </w:rPr>
      <w:t>CE/2025/050</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E2A4E" w14:textId="77777777" w:rsidR="003E2705" w:rsidRDefault="003E270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122ADE"/>
    <w:multiLevelType w:val="hybridMultilevel"/>
    <w:tmpl w:val="A76A3F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37E08A5"/>
    <w:multiLevelType w:val="multilevel"/>
    <w:tmpl w:val="00C60B88"/>
    <w:lvl w:ilvl="0">
      <w:start w:val="1"/>
      <w:numFmt w:val="decimal"/>
      <w:pStyle w:val="Ttulo1"/>
      <w:lvlText w:val="%1"/>
      <w:lvlJc w:val="left"/>
      <w:pPr>
        <w:ind w:left="432" w:hanging="432"/>
      </w:pPr>
      <w:rPr>
        <w:sz w:val="24"/>
        <w:szCs w:val="24"/>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46A01C06"/>
    <w:multiLevelType w:val="hybridMultilevel"/>
    <w:tmpl w:val="9CDAFB9E"/>
    <w:lvl w:ilvl="0" w:tplc="EBB62F9A">
      <w:start w:val="1"/>
      <w:numFmt w:val="upperRoman"/>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5BD840C9"/>
    <w:multiLevelType w:val="hybridMultilevel"/>
    <w:tmpl w:val="1CB83EDC"/>
    <w:lvl w:ilvl="0" w:tplc="E304C2F6">
      <w:start w:val="1"/>
      <w:numFmt w:val="lowerLetter"/>
      <w:lvlText w:val="%1)"/>
      <w:lvlJc w:val="left"/>
      <w:pPr>
        <w:ind w:left="1425" w:hanging="705"/>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7AD74A0C"/>
    <w:multiLevelType w:val="hybridMultilevel"/>
    <w:tmpl w:val="DD967C0C"/>
    <w:lvl w:ilvl="0" w:tplc="CA3C164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72A"/>
    <w:rsid w:val="002727F9"/>
    <w:rsid w:val="0029195E"/>
    <w:rsid w:val="002947FA"/>
    <w:rsid w:val="003E2705"/>
    <w:rsid w:val="004D5FC8"/>
    <w:rsid w:val="00622635"/>
    <w:rsid w:val="0065150D"/>
    <w:rsid w:val="00681B39"/>
    <w:rsid w:val="007611E1"/>
    <w:rsid w:val="007A0B63"/>
    <w:rsid w:val="0085148D"/>
    <w:rsid w:val="0089685E"/>
    <w:rsid w:val="008D1FB1"/>
    <w:rsid w:val="0092072A"/>
    <w:rsid w:val="00A20CC6"/>
    <w:rsid w:val="00AD45E6"/>
    <w:rsid w:val="00B90456"/>
    <w:rsid w:val="00BC2C83"/>
    <w:rsid w:val="00C04AF7"/>
    <w:rsid w:val="00C61377"/>
    <w:rsid w:val="00C6145D"/>
    <w:rsid w:val="00DF0244"/>
    <w:rsid w:val="00DF0DF4"/>
    <w:rsid w:val="00E55EF3"/>
    <w:rsid w:val="00EC0D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6E0F8"/>
  <w15:chartTrackingRefBased/>
  <w15:docId w15:val="{320ED2B6-5AA3-4FED-8BAB-FAEA48634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72A"/>
    <w:pPr>
      <w:spacing w:before="240" w:after="240" w:line="276" w:lineRule="auto"/>
      <w:jc w:val="both"/>
    </w:pPr>
    <w:rPr>
      <w:rFonts w:ascii="Exo" w:hAnsi="Exo"/>
    </w:rPr>
  </w:style>
  <w:style w:type="paragraph" w:styleId="Ttulo1">
    <w:name w:val="heading 1"/>
    <w:basedOn w:val="Normal"/>
    <w:next w:val="Normal"/>
    <w:link w:val="Ttulo1Car"/>
    <w:uiPriority w:val="9"/>
    <w:qFormat/>
    <w:rsid w:val="00BC2C83"/>
    <w:pPr>
      <w:keepNext/>
      <w:keepLines/>
      <w:numPr>
        <w:numId w:val="5"/>
      </w:numPr>
      <w:spacing w:before="600" w:after="360" w:line="264" w:lineRule="auto"/>
      <w:jc w:val="center"/>
      <w:outlineLvl w:val="0"/>
    </w:pPr>
    <w:rPr>
      <w:rFonts w:eastAsiaTheme="majorEastAsia" w:cstheme="majorBidi"/>
      <w:b/>
      <w:bCs/>
      <w:color w:val="0F4761" w:themeColor="accent1" w:themeShade="BF"/>
      <w:sz w:val="28"/>
      <w:szCs w:val="28"/>
    </w:rPr>
  </w:style>
  <w:style w:type="paragraph" w:styleId="Ttulo2">
    <w:name w:val="heading 2"/>
    <w:basedOn w:val="Normal"/>
    <w:next w:val="Normal"/>
    <w:link w:val="Ttulo2Car"/>
    <w:uiPriority w:val="9"/>
    <w:unhideWhenUsed/>
    <w:qFormat/>
    <w:rsid w:val="00BC2C83"/>
    <w:pPr>
      <w:keepNext/>
      <w:keepLines/>
      <w:numPr>
        <w:ilvl w:val="1"/>
        <w:numId w:val="5"/>
      </w:numPr>
      <w:spacing w:before="480" w:line="264" w:lineRule="auto"/>
      <w:outlineLvl w:val="1"/>
    </w:pPr>
    <w:rPr>
      <w:rFonts w:eastAsiaTheme="majorEastAsia" w:cstheme="majorBidi"/>
      <w:b/>
      <w:bCs/>
      <w:color w:val="0F4761" w:themeColor="accent1" w:themeShade="BF"/>
    </w:rPr>
  </w:style>
  <w:style w:type="paragraph" w:styleId="Ttulo3">
    <w:name w:val="heading 3"/>
    <w:basedOn w:val="Normal"/>
    <w:next w:val="Normal"/>
    <w:link w:val="Ttulo3Car"/>
    <w:uiPriority w:val="9"/>
    <w:semiHidden/>
    <w:unhideWhenUsed/>
    <w:qFormat/>
    <w:rsid w:val="0092072A"/>
    <w:pPr>
      <w:keepNext/>
      <w:keepLines/>
      <w:numPr>
        <w:ilvl w:val="2"/>
        <w:numId w:val="5"/>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2072A"/>
    <w:pPr>
      <w:keepNext/>
      <w:keepLines/>
      <w:numPr>
        <w:ilvl w:val="3"/>
        <w:numId w:val="5"/>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2072A"/>
    <w:pPr>
      <w:keepNext/>
      <w:keepLines/>
      <w:numPr>
        <w:ilvl w:val="4"/>
        <w:numId w:val="5"/>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2072A"/>
    <w:pPr>
      <w:keepNext/>
      <w:keepLines/>
      <w:numPr>
        <w:ilvl w:val="5"/>
        <w:numId w:val="5"/>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2072A"/>
    <w:pPr>
      <w:keepNext/>
      <w:keepLines/>
      <w:numPr>
        <w:ilvl w:val="6"/>
        <w:numId w:val="5"/>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2072A"/>
    <w:pPr>
      <w:keepNext/>
      <w:keepLines/>
      <w:numPr>
        <w:ilvl w:val="7"/>
        <w:numId w:val="5"/>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2072A"/>
    <w:pPr>
      <w:keepNext/>
      <w:keepLines/>
      <w:numPr>
        <w:ilvl w:val="8"/>
        <w:numId w:val="5"/>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C2C83"/>
    <w:rPr>
      <w:rFonts w:ascii="Exo" w:eastAsiaTheme="majorEastAsia" w:hAnsi="Exo" w:cstheme="majorBidi"/>
      <w:b/>
      <w:bCs/>
      <w:color w:val="0F4761" w:themeColor="accent1" w:themeShade="BF"/>
      <w:sz w:val="28"/>
      <w:szCs w:val="28"/>
    </w:rPr>
  </w:style>
  <w:style w:type="character" w:customStyle="1" w:styleId="Ttulo2Car">
    <w:name w:val="Título 2 Car"/>
    <w:basedOn w:val="Fuentedeprrafopredeter"/>
    <w:link w:val="Ttulo2"/>
    <w:uiPriority w:val="9"/>
    <w:rsid w:val="00BC2C83"/>
    <w:rPr>
      <w:rFonts w:ascii="Exo" w:eastAsiaTheme="majorEastAsia" w:hAnsi="Exo" w:cstheme="majorBidi"/>
      <w:b/>
      <w:bCs/>
      <w:color w:val="0F4761" w:themeColor="accent1" w:themeShade="BF"/>
    </w:rPr>
  </w:style>
  <w:style w:type="character" w:customStyle="1" w:styleId="Ttulo3Car">
    <w:name w:val="Título 3 Car"/>
    <w:basedOn w:val="Fuentedeprrafopredeter"/>
    <w:link w:val="Ttulo3"/>
    <w:uiPriority w:val="9"/>
    <w:semiHidden/>
    <w:rsid w:val="0092072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2072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2072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2072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2072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2072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2072A"/>
    <w:rPr>
      <w:rFonts w:eastAsiaTheme="majorEastAsia" w:cstheme="majorBidi"/>
      <w:color w:val="272727" w:themeColor="text1" w:themeTint="D8"/>
    </w:rPr>
  </w:style>
  <w:style w:type="paragraph" w:styleId="Ttulo">
    <w:name w:val="Title"/>
    <w:basedOn w:val="Normal"/>
    <w:next w:val="Normal"/>
    <w:link w:val="TtuloCar"/>
    <w:uiPriority w:val="10"/>
    <w:qFormat/>
    <w:rsid w:val="009207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2072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2072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2072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2072A"/>
    <w:pPr>
      <w:spacing w:before="160"/>
      <w:jc w:val="center"/>
    </w:pPr>
    <w:rPr>
      <w:i/>
      <w:iCs/>
      <w:color w:val="404040" w:themeColor="text1" w:themeTint="BF"/>
    </w:rPr>
  </w:style>
  <w:style w:type="character" w:customStyle="1" w:styleId="CitaCar">
    <w:name w:val="Cita Car"/>
    <w:basedOn w:val="Fuentedeprrafopredeter"/>
    <w:link w:val="Cita"/>
    <w:uiPriority w:val="29"/>
    <w:rsid w:val="0092072A"/>
    <w:rPr>
      <w:i/>
      <w:iCs/>
      <w:color w:val="404040" w:themeColor="text1" w:themeTint="BF"/>
    </w:rPr>
  </w:style>
  <w:style w:type="paragraph" w:styleId="Prrafodelista">
    <w:name w:val="List Paragraph"/>
    <w:basedOn w:val="Normal"/>
    <w:uiPriority w:val="34"/>
    <w:qFormat/>
    <w:rsid w:val="0092072A"/>
    <w:pPr>
      <w:ind w:left="720"/>
      <w:contextualSpacing/>
    </w:pPr>
  </w:style>
  <w:style w:type="character" w:styleId="nfasisintenso">
    <w:name w:val="Intense Emphasis"/>
    <w:basedOn w:val="Fuentedeprrafopredeter"/>
    <w:uiPriority w:val="21"/>
    <w:qFormat/>
    <w:rsid w:val="0092072A"/>
    <w:rPr>
      <w:i/>
      <w:iCs/>
      <w:color w:val="0F4761" w:themeColor="accent1" w:themeShade="BF"/>
    </w:rPr>
  </w:style>
  <w:style w:type="paragraph" w:styleId="Citadestacada">
    <w:name w:val="Intense Quote"/>
    <w:basedOn w:val="Normal"/>
    <w:next w:val="Normal"/>
    <w:link w:val="CitadestacadaCar"/>
    <w:uiPriority w:val="30"/>
    <w:qFormat/>
    <w:rsid w:val="009207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2072A"/>
    <w:rPr>
      <w:i/>
      <w:iCs/>
      <w:color w:val="0F4761" w:themeColor="accent1" w:themeShade="BF"/>
    </w:rPr>
  </w:style>
  <w:style w:type="character" w:styleId="Referenciaintensa">
    <w:name w:val="Intense Reference"/>
    <w:basedOn w:val="Fuentedeprrafopredeter"/>
    <w:uiPriority w:val="32"/>
    <w:qFormat/>
    <w:rsid w:val="0092072A"/>
    <w:rPr>
      <w:b/>
      <w:bCs/>
      <w:smallCaps/>
      <w:color w:val="0F4761" w:themeColor="accent1" w:themeShade="BF"/>
      <w:spacing w:val="5"/>
    </w:rPr>
  </w:style>
  <w:style w:type="paragraph" w:styleId="Encabezado">
    <w:name w:val="header"/>
    <w:basedOn w:val="Normal"/>
    <w:link w:val="EncabezadoCar"/>
    <w:uiPriority w:val="99"/>
    <w:unhideWhenUsed/>
    <w:rsid w:val="00BC2C83"/>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BC2C83"/>
    <w:rPr>
      <w:rFonts w:ascii="Exo" w:hAnsi="Exo"/>
    </w:rPr>
  </w:style>
  <w:style w:type="paragraph" w:styleId="Piedepgina">
    <w:name w:val="footer"/>
    <w:basedOn w:val="Normal"/>
    <w:link w:val="PiedepginaCar"/>
    <w:uiPriority w:val="99"/>
    <w:unhideWhenUsed/>
    <w:rsid w:val="00BC2C83"/>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BC2C83"/>
    <w:rPr>
      <w:rFonts w:ascii="Exo" w:hAnsi="Exo"/>
    </w:rPr>
  </w:style>
  <w:style w:type="table" w:styleId="Tablaconcuadrcula">
    <w:name w:val="Table Grid"/>
    <w:basedOn w:val="Tablanormal"/>
    <w:uiPriority w:val="39"/>
    <w:rsid w:val="00BC2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F0244"/>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02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22B70-4E60-44B0-ACDA-E96AA6C7F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4856</Words>
  <Characters>26712</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17</cp:revision>
  <cp:lastPrinted>2025-04-22T23:48:00Z</cp:lastPrinted>
  <dcterms:created xsi:type="dcterms:W3CDTF">2025-04-15T23:18:00Z</dcterms:created>
  <dcterms:modified xsi:type="dcterms:W3CDTF">2025-04-23T00:24:00Z</dcterms:modified>
</cp:coreProperties>
</file>