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02505" w14:textId="022BAAF9" w:rsidR="00E933EA" w:rsidRPr="00F51D73" w:rsidRDefault="001A53BD" w:rsidP="00E933EA">
      <w:pPr>
        <w:rPr>
          <w:rFonts w:ascii="Arial" w:hAnsi="Arial" w:cs="Arial"/>
          <w:b/>
          <w:bCs/>
        </w:rPr>
      </w:pPr>
      <w:r w:rsidRPr="00F51D73">
        <w:rPr>
          <w:rFonts w:ascii="Arial" w:hAnsi="Arial" w:cs="Arial"/>
          <w:b/>
          <w:bCs/>
        </w:rPr>
        <w:t>ACUERDO QUE, A PROPUESTA DE LA COMISIÓN PERMANENTE DE ORGANIZACIÓN ELECTORAL Y EDUCACIÓN CÍVICA, EMITE EL CONSEJO ESTATAL DEL INSTITUTO ELECTORAL Y DE PARTICIPACIÓN CIUDADANA DE TABASCO POR EL QUE APRUEBA EL PROCEDIMIENTO PARA LA VERIFICACIÓN DE LAS MEDIDAS DE SEGURIDAD ESTABLECIDAS EN LAS BOLETAS ELECTORALES, ACTAS DE JORNADA ELECTORAL, CLASIFICACIÓN, CONTEO Y CONSTANCIA DE CLAUSURA DE CASILLA SECCIONAL QUE SE UTILIZARÁN CON MOTIVO DEL PROCESO ELECTORAL LOCAL EXTRAORDINARIO PARA PERSONAS JUZGADORAS DEL PODER JUDICIAL DEL ESTADO DE TABASCO 2024-2025</w:t>
      </w:r>
    </w:p>
    <w:p w14:paraId="1ED5F7EE"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BD7D00" w:rsidRPr="00F51D73" w14:paraId="3527BB26" w14:textId="77777777" w:rsidTr="00211351">
        <w:trPr>
          <w:trHeight w:val="624"/>
          <w:jc w:val="center"/>
        </w:trPr>
        <w:tc>
          <w:tcPr>
            <w:tcW w:w="2042" w:type="pct"/>
            <w:shd w:val="clear" w:color="auto" w:fill="auto"/>
            <w:vAlign w:val="center"/>
          </w:tcPr>
          <w:p w14:paraId="11952980"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Comisión:</w:t>
            </w:r>
          </w:p>
        </w:tc>
        <w:tc>
          <w:tcPr>
            <w:tcW w:w="2958" w:type="pct"/>
            <w:shd w:val="clear" w:color="auto" w:fill="auto"/>
            <w:vAlign w:val="center"/>
          </w:tcPr>
          <w:p w14:paraId="2265C448"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Comisión Permanente de Organización Electoral y Educación Cívica del Instituto Electoral y de Participación Ciudadana de Tabasco.</w:t>
            </w:r>
          </w:p>
        </w:tc>
      </w:tr>
      <w:tr w:rsidR="00BD7D00" w:rsidRPr="00F51D73" w14:paraId="061C0D85" w14:textId="77777777" w:rsidTr="00211351">
        <w:trPr>
          <w:trHeight w:val="624"/>
          <w:jc w:val="center"/>
        </w:trPr>
        <w:tc>
          <w:tcPr>
            <w:tcW w:w="2042" w:type="pct"/>
            <w:shd w:val="clear" w:color="auto" w:fill="auto"/>
            <w:vAlign w:val="center"/>
          </w:tcPr>
          <w:p w14:paraId="50437519" w14:textId="77777777" w:rsidR="00E933EA" w:rsidRPr="009C71AD" w:rsidRDefault="00E933EA" w:rsidP="00211351">
            <w:pPr>
              <w:widowControl w:val="0"/>
              <w:spacing w:before="120" w:after="120" w:line="264" w:lineRule="auto"/>
              <w:ind w:left="57"/>
              <w:jc w:val="right"/>
              <w:rPr>
                <w:rFonts w:ascii="Arial" w:hAnsi="Arial" w:cs="Arial"/>
                <w:b/>
                <w:sz w:val="20"/>
                <w:szCs w:val="20"/>
              </w:rPr>
            </w:pPr>
            <w:bookmarkStart w:id="0" w:name="_Hlk186652747"/>
            <w:r w:rsidRPr="009C71AD">
              <w:rPr>
                <w:rFonts w:ascii="Arial" w:hAnsi="Arial" w:cs="Arial"/>
                <w:b/>
                <w:sz w:val="20"/>
                <w:szCs w:val="20"/>
              </w:rPr>
              <w:t>Consejo Estatal:</w:t>
            </w:r>
          </w:p>
        </w:tc>
        <w:tc>
          <w:tcPr>
            <w:tcW w:w="2958" w:type="pct"/>
            <w:shd w:val="clear" w:color="auto" w:fill="auto"/>
            <w:vAlign w:val="center"/>
          </w:tcPr>
          <w:p w14:paraId="46F0272F"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Consejo Estatal del Instituto Electoral y de Participación Ciudadana de Tabasco.</w:t>
            </w:r>
          </w:p>
        </w:tc>
      </w:tr>
      <w:tr w:rsidR="00BD7D00" w:rsidRPr="00F51D73" w14:paraId="0D7C54C3" w14:textId="77777777" w:rsidTr="00211351">
        <w:trPr>
          <w:trHeight w:val="624"/>
          <w:jc w:val="center"/>
        </w:trPr>
        <w:tc>
          <w:tcPr>
            <w:tcW w:w="2042" w:type="pct"/>
            <w:shd w:val="clear" w:color="auto" w:fill="auto"/>
            <w:vAlign w:val="center"/>
          </w:tcPr>
          <w:p w14:paraId="7D3F59D1"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Consejos Distritales:</w:t>
            </w:r>
          </w:p>
        </w:tc>
        <w:tc>
          <w:tcPr>
            <w:tcW w:w="2958" w:type="pct"/>
            <w:shd w:val="clear" w:color="auto" w:fill="auto"/>
            <w:vAlign w:val="center"/>
          </w:tcPr>
          <w:p w14:paraId="0265911A"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Consejos Electorales Distritales del Instituto Electoral y de Participación Ciudadana de Tabasco.</w:t>
            </w:r>
          </w:p>
        </w:tc>
      </w:tr>
      <w:tr w:rsidR="00BD7D00" w:rsidRPr="00F51D73" w14:paraId="723779CD" w14:textId="77777777" w:rsidTr="00211351">
        <w:trPr>
          <w:trHeight w:val="624"/>
          <w:jc w:val="center"/>
        </w:trPr>
        <w:tc>
          <w:tcPr>
            <w:tcW w:w="2042" w:type="pct"/>
            <w:shd w:val="clear" w:color="auto" w:fill="auto"/>
            <w:vAlign w:val="center"/>
          </w:tcPr>
          <w:p w14:paraId="75CC66CD"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Constitución Federal:</w:t>
            </w:r>
          </w:p>
        </w:tc>
        <w:tc>
          <w:tcPr>
            <w:tcW w:w="2958" w:type="pct"/>
            <w:shd w:val="clear" w:color="auto" w:fill="auto"/>
            <w:vAlign w:val="center"/>
          </w:tcPr>
          <w:p w14:paraId="3D90AC87"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Constitución Política de los Estados Unidos Mexicanos.</w:t>
            </w:r>
          </w:p>
        </w:tc>
      </w:tr>
      <w:tr w:rsidR="00BD7D00" w:rsidRPr="00F51D73" w14:paraId="04EEE14F" w14:textId="77777777" w:rsidTr="00211351">
        <w:trPr>
          <w:trHeight w:val="624"/>
          <w:jc w:val="center"/>
        </w:trPr>
        <w:tc>
          <w:tcPr>
            <w:tcW w:w="2042" w:type="pct"/>
            <w:shd w:val="clear" w:color="auto" w:fill="auto"/>
            <w:vAlign w:val="center"/>
          </w:tcPr>
          <w:p w14:paraId="5548A79B"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Constitución Local:</w:t>
            </w:r>
          </w:p>
        </w:tc>
        <w:tc>
          <w:tcPr>
            <w:tcW w:w="2958" w:type="pct"/>
            <w:shd w:val="clear" w:color="auto" w:fill="auto"/>
            <w:vAlign w:val="center"/>
          </w:tcPr>
          <w:p w14:paraId="5F52C225"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Constitución Política del Estado Libre y Soberano de Tabasco.</w:t>
            </w:r>
          </w:p>
        </w:tc>
      </w:tr>
      <w:tr w:rsidR="00BD7D00" w:rsidRPr="00F51D73" w14:paraId="4EAC4D7B" w14:textId="77777777" w:rsidTr="00211351">
        <w:trPr>
          <w:trHeight w:val="624"/>
          <w:jc w:val="center"/>
        </w:trPr>
        <w:tc>
          <w:tcPr>
            <w:tcW w:w="2042" w:type="pct"/>
            <w:shd w:val="clear" w:color="auto" w:fill="auto"/>
            <w:vAlign w:val="center"/>
          </w:tcPr>
          <w:p w14:paraId="5B463B56"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INE:</w:t>
            </w:r>
          </w:p>
        </w:tc>
        <w:tc>
          <w:tcPr>
            <w:tcW w:w="2958" w:type="pct"/>
            <w:shd w:val="clear" w:color="auto" w:fill="auto"/>
            <w:vAlign w:val="center"/>
          </w:tcPr>
          <w:p w14:paraId="305F2F74"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Instituto Nacional Electoral.</w:t>
            </w:r>
          </w:p>
        </w:tc>
      </w:tr>
      <w:tr w:rsidR="00BD7D00" w:rsidRPr="00F51D73" w14:paraId="18299A73" w14:textId="77777777" w:rsidTr="00211351">
        <w:trPr>
          <w:trHeight w:val="624"/>
          <w:jc w:val="center"/>
        </w:trPr>
        <w:tc>
          <w:tcPr>
            <w:tcW w:w="2042" w:type="pct"/>
            <w:shd w:val="clear" w:color="auto" w:fill="auto"/>
            <w:vAlign w:val="center"/>
          </w:tcPr>
          <w:p w14:paraId="43254771"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Instituto:</w:t>
            </w:r>
          </w:p>
        </w:tc>
        <w:tc>
          <w:tcPr>
            <w:tcW w:w="2958" w:type="pct"/>
            <w:shd w:val="clear" w:color="auto" w:fill="auto"/>
          </w:tcPr>
          <w:p w14:paraId="08329923"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Instituto Electoral y de Participación Ciudadana de Tabasco.</w:t>
            </w:r>
          </w:p>
        </w:tc>
      </w:tr>
      <w:tr w:rsidR="00BD7D00" w:rsidRPr="00F51D73" w14:paraId="499AABAB" w14:textId="77777777" w:rsidTr="00211351">
        <w:trPr>
          <w:trHeight w:val="624"/>
          <w:jc w:val="center"/>
        </w:trPr>
        <w:tc>
          <w:tcPr>
            <w:tcW w:w="2042" w:type="pct"/>
            <w:shd w:val="clear" w:color="auto" w:fill="auto"/>
            <w:vAlign w:val="center"/>
          </w:tcPr>
          <w:p w14:paraId="0F16F33D"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Ley Electoral:</w:t>
            </w:r>
          </w:p>
        </w:tc>
        <w:tc>
          <w:tcPr>
            <w:tcW w:w="2958" w:type="pct"/>
            <w:shd w:val="clear" w:color="auto" w:fill="auto"/>
            <w:vAlign w:val="center"/>
          </w:tcPr>
          <w:p w14:paraId="7E7E2D3E"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Ley Electoral y de Partidos Políticos del Estado de Tabasco.</w:t>
            </w:r>
          </w:p>
        </w:tc>
      </w:tr>
      <w:tr w:rsidR="00BD7D00" w:rsidRPr="00F51D73" w14:paraId="0C495D9F" w14:textId="77777777" w:rsidTr="00211351">
        <w:trPr>
          <w:trHeight w:val="624"/>
          <w:jc w:val="center"/>
        </w:trPr>
        <w:tc>
          <w:tcPr>
            <w:tcW w:w="2042" w:type="pct"/>
            <w:shd w:val="clear" w:color="auto" w:fill="auto"/>
            <w:vAlign w:val="center"/>
          </w:tcPr>
          <w:p w14:paraId="4DB89A9C"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lastRenderedPageBreak/>
              <w:t>Ley General:</w:t>
            </w:r>
          </w:p>
        </w:tc>
        <w:tc>
          <w:tcPr>
            <w:tcW w:w="2958" w:type="pct"/>
            <w:shd w:val="clear" w:color="auto" w:fill="auto"/>
            <w:vAlign w:val="center"/>
          </w:tcPr>
          <w:p w14:paraId="3E102432"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Ley General de Instituciones y Procedimientos Electorales.</w:t>
            </w:r>
          </w:p>
        </w:tc>
      </w:tr>
      <w:tr w:rsidR="00BD7D00" w:rsidRPr="00F51D73" w14:paraId="0793F8C4" w14:textId="77777777" w:rsidTr="00211351">
        <w:trPr>
          <w:trHeight w:val="624"/>
          <w:jc w:val="center"/>
        </w:trPr>
        <w:tc>
          <w:tcPr>
            <w:tcW w:w="2042" w:type="pct"/>
            <w:shd w:val="clear" w:color="auto" w:fill="auto"/>
            <w:vAlign w:val="center"/>
          </w:tcPr>
          <w:p w14:paraId="75994CDD"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Organismo electoral:</w:t>
            </w:r>
          </w:p>
        </w:tc>
        <w:tc>
          <w:tcPr>
            <w:tcW w:w="2958" w:type="pct"/>
            <w:shd w:val="clear" w:color="auto" w:fill="auto"/>
            <w:vAlign w:val="center"/>
          </w:tcPr>
          <w:p w14:paraId="1526ABA8"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 xml:space="preserve">Organismo(s) público(s) local(es) electoral(es). </w:t>
            </w:r>
          </w:p>
        </w:tc>
      </w:tr>
      <w:tr w:rsidR="00BD7D00" w:rsidRPr="00F51D73" w14:paraId="230096E4" w14:textId="77777777" w:rsidTr="00211351">
        <w:trPr>
          <w:trHeight w:val="624"/>
          <w:jc w:val="center"/>
        </w:trPr>
        <w:tc>
          <w:tcPr>
            <w:tcW w:w="2042" w:type="pct"/>
            <w:shd w:val="clear" w:color="auto" w:fill="auto"/>
            <w:vAlign w:val="center"/>
          </w:tcPr>
          <w:p w14:paraId="52BB3B89"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Proceso Electoral Extraordinario:</w:t>
            </w:r>
          </w:p>
        </w:tc>
        <w:tc>
          <w:tcPr>
            <w:tcW w:w="2958" w:type="pct"/>
            <w:shd w:val="clear" w:color="auto" w:fill="auto"/>
            <w:vAlign w:val="center"/>
          </w:tcPr>
          <w:p w14:paraId="73E7E9C8"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Proceso Electoral Local Extraordinario para personas juzgadoras del Poder Judicial del Estado de Tabasco 2024 – 2025.</w:t>
            </w:r>
          </w:p>
        </w:tc>
      </w:tr>
      <w:tr w:rsidR="00BD7D00" w:rsidRPr="00F51D73" w14:paraId="16ABE1D3" w14:textId="77777777" w:rsidTr="00211351">
        <w:trPr>
          <w:trHeight w:val="624"/>
          <w:jc w:val="center"/>
        </w:trPr>
        <w:tc>
          <w:tcPr>
            <w:tcW w:w="2042" w:type="pct"/>
            <w:shd w:val="clear" w:color="auto" w:fill="auto"/>
            <w:vAlign w:val="center"/>
          </w:tcPr>
          <w:p w14:paraId="68A97EC5"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Reglamento de Elecciones:</w:t>
            </w:r>
          </w:p>
        </w:tc>
        <w:tc>
          <w:tcPr>
            <w:tcW w:w="2958" w:type="pct"/>
            <w:shd w:val="clear" w:color="auto" w:fill="auto"/>
            <w:vAlign w:val="center"/>
          </w:tcPr>
          <w:p w14:paraId="49713285"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Reglamento de Elecciones del Instituto Nacional Electoral.</w:t>
            </w:r>
          </w:p>
        </w:tc>
      </w:tr>
      <w:tr w:rsidR="00BD7D00" w:rsidRPr="00F51D73" w14:paraId="44B3EA2E" w14:textId="77777777" w:rsidTr="00211351">
        <w:trPr>
          <w:trHeight w:val="624"/>
          <w:jc w:val="center"/>
        </w:trPr>
        <w:tc>
          <w:tcPr>
            <w:tcW w:w="2042" w:type="pct"/>
            <w:shd w:val="clear" w:color="auto" w:fill="auto"/>
            <w:vAlign w:val="center"/>
          </w:tcPr>
          <w:p w14:paraId="5B031665" w14:textId="77777777" w:rsidR="00E933EA" w:rsidRPr="009C71AD" w:rsidRDefault="00E933EA" w:rsidP="00211351">
            <w:pPr>
              <w:widowControl w:val="0"/>
              <w:spacing w:before="120" w:after="120" w:line="264" w:lineRule="auto"/>
              <w:ind w:left="57"/>
              <w:jc w:val="right"/>
              <w:rPr>
                <w:rFonts w:ascii="Arial" w:hAnsi="Arial" w:cs="Arial"/>
                <w:b/>
                <w:sz w:val="20"/>
                <w:szCs w:val="20"/>
              </w:rPr>
            </w:pPr>
            <w:r w:rsidRPr="009C71AD">
              <w:rPr>
                <w:rFonts w:ascii="Arial" w:hAnsi="Arial" w:cs="Arial"/>
                <w:b/>
                <w:sz w:val="20"/>
                <w:szCs w:val="20"/>
              </w:rPr>
              <w:t>Secretaría Ejecutiva:</w:t>
            </w:r>
          </w:p>
        </w:tc>
        <w:tc>
          <w:tcPr>
            <w:tcW w:w="2958" w:type="pct"/>
            <w:shd w:val="clear" w:color="auto" w:fill="auto"/>
            <w:vAlign w:val="center"/>
          </w:tcPr>
          <w:p w14:paraId="207F0A1E" w14:textId="77777777" w:rsidR="00E933EA" w:rsidRPr="009C71AD" w:rsidRDefault="00E933EA" w:rsidP="00211351">
            <w:pPr>
              <w:widowControl w:val="0"/>
              <w:spacing w:before="120" w:after="120" w:line="264" w:lineRule="auto"/>
              <w:ind w:left="57"/>
              <w:rPr>
                <w:rFonts w:ascii="Arial" w:hAnsi="Arial" w:cs="Arial"/>
                <w:sz w:val="20"/>
                <w:szCs w:val="20"/>
              </w:rPr>
            </w:pPr>
            <w:r w:rsidRPr="009C71AD">
              <w:rPr>
                <w:rFonts w:ascii="Arial" w:hAnsi="Arial" w:cs="Arial"/>
                <w:sz w:val="20"/>
                <w:szCs w:val="20"/>
              </w:rPr>
              <w:t>Secretaría Ejecutiva del Instituto Electoral y de Participación Ciudadana de Tabasco.</w:t>
            </w:r>
          </w:p>
        </w:tc>
      </w:tr>
    </w:tbl>
    <w:bookmarkEnd w:id="0"/>
    <w:p w14:paraId="452BB2EA" w14:textId="77777777" w:rsidR="00E933EA" w:rsidRPr="009C71AD" w:rsidRDefault="00E933EA" w:rsidP="005202A5">
      <w:pPr>
        <w:pStyle w:val="Ttulo1"/>
        <w:rPr>
          <w:rFonts w:ascii="Arial" w:hAnsi="Arial" w:cs="Arial"/>
          <w:color w:val="auto"/>
          <w:sz w:val="24"/>
          <w:szCs w:val="24"/>
        </w:rPr>
      </w:pPr>
      <w:r w:rsidRPr="009C71AD">
        <w:rPr>
          <w:rFonts w:ascii="Arial" w:hAnsi="Arial" w:cs="Arial"/>
          <w:color w:val="auto"/>
          <w:sz w:val="24"/>
          <w:szCs w:val="24"/>
        </w:rPr>
        <w:t>Antecedentes</w:t>
      </w:r>
    </w:p>
    <w:p w14:paraId="387B8A6F"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Fines del Instituto</w:t>
      </w:r>
    </w:p>
    <w:p w14:paraId="767A8C7A"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66C2173"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D4C1FCF"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w:t>
      </w:r>
      <w:r w:rsidRPr="009C71AD">
        <w:rPr>
          <w:rFonts w:ascii="Arial" w:hAnsi="Arial" w:cs="Arial"/>
          <w:sz w:val="22"/>
          <w:szCs w:val="22"/>
        </w:rPr>
        <w:lastRenderedPageBreak/>
        <w:t>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3C6CF24F"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Integración del órgano superior de dirección</w:t>
      </w:r>
    </w:p>
    <w:p w14:paraId="3A989DB0"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BE62C60"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84124A3"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162738D1"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Órganos centrales del Instituto</w:t>
      </w:r>
    </w:p>
    <w:p w14:paraId="79BB54DB"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De acuerdo con el artículo 105 numeral 1 de la Ley Electoral los órganos centrales del Instituto son los siguientes:</w:t>
      </w:r>
    </w:p>
    <w:p w14:paraId="22B358D6" w14:textId="77777777" w:rsidR="00E933EA" w:rsidRPr="009C71AD" w:rsidRDefault="00E933EA" w:rsidP="00E933EA">
      <w:pPr>
        <w:pStyle w:val="Prrafodelista"/>
        <w:widowControl w:val="0"/>
        <w:numPr>
          <w:ilvl w:val="0"/>
          <w:numId w:val="1"/>
        </w:numPr>
        <w:spacing w:line="264" w:lineRule="auto"/>
        <w:ind w:left="703" w:hanging="703"/>
        <w:rPr>
          <w:rFonts w:ascii="Arial" w:hAnsi="Arial" w:cs="Arial"/>
          <w:sz w:val="22"/>
          <w:szCs w:val="22"/>
        </w:rPr>
      </w:pPr>
      <w:r w:rsidRPr="009C71AD">
        <w:rPr>
          <w:rFonts w:ascii="Arial" w:hAnsi="Arial" w:cs="Arial"/>
          <w:sz w:val="22"/>
          <w:szCs w:val="22"/>
        </w:rPr>
        <w:t>Consejo Estatal;</w:t>
      </w:r>
    </w:p>
    <w:p w14:paraId="5563C635" w14:textId="77777777" w:rsidR="00E933EA" w:rsidRPr="009C71AD" w:rsidRDefault="00E933EA" w:rsidP="00E933EA">
      <w:pPr>
        <w:pStyle w:val="Prrafodelista"/>
        <w:widowControl w:val="0"/>
        <w:numPr>
          <w:ilvl w:val="0"/>
          <w:numId w:val="1"/>
        </w:numPr>
        <w:spacing w:line="264" w:lineRule="auto"/>
        <w:ind w:left="703" w:hanging="703"/>
        <w:rPr>
          <w:rFonts w:ascii="Arial" w:hAnsi="Arial" w:cs="Arial"/>
          <w:sz w:val="22"/>
          <w:szCs w:val="22"/>
        </w:rPr>
      </w:pPr>
      <w:r w:rsidRPr="009C71AD">
        <w:rPr>
          <w:rFonts w:ascii="Arial" w:hAnsi="Arial" w:cs="Arial"/>
          <w:sz w:val="22"/>
          <w:szCs w:val="22"/>
        </w:rPr>
        <w:t>Presidencia del Consejo Estatal;</w:t>
      </w:r>
    </w:p>
    <w:p w14:paraId="6FB7CF7E" w14:textId="77777777" w:rsidR="00E933EA" w:rsidRPr="009C71AD" w:rsidRDefault="00E933EA" w:rsidP="00E933EA">
      <w:pPr>
        <w:pStyle w:val="Prrafodelista"/>
        <w:widowControl w:val="0"/>
        <w:numPr>
          <w:ilvl w:val="0"/>
          <w:numId w:val="1"/>
        </w:numPr>
        <w:spacing w:line="264" w:lineRule="auto"/>
        <w:ind w:left="703" w:hanging="703"/>
        <w:rPr>
          <w:rFonts w:ascii="Arial" w:hAnsi="Arial" w:cs="Arial"/>
          <w:sz w:val="22"/>
          <w:szCs w:val="22"/>
        </w:rPr>
      </w:pPr>
      <w:r w:rsidRPr="009C71AD">
        <w:rPr>
          <w:rFonts w:ascii="Arial" w:hAnsi="Arial" w:cs="Arial"/>
          <w:sz w:val="22"/>
          <w:szCs w:val="22"/>
        </w:rPr>
        <w:t>Junta Estatal Ejecutiva;</w:t>
      </w:r>
    </w:p>
    <w:p w14:paraId="79A018B8" w14:textId="77777777" w:rsidR="00E933EA" w:rsidRPr="009C71AD" w:rsidRDefault="00E933EA" w:rsidP="00E933EA">
      <w:pPr>
        <w:pStyle w:val="Prrafodelista"/>
        <w:widowControl w:val="0"/>
        <w:numPr>
          <w:ilvl w:val="0"/>
          <w:numId w:val="1"/>
        </w:numPr>
        <w:spacing w:line="264" w:lineRule="auto"/>
        <w:ind w:left="703" w:hanging="703"/>
        <w:rPr>
          <w:rFonts w:ascii="Arial" w:hAnsi="Arial" w:cs="Arial"/>
          <w:sz w:val="22"/>
          <w:szCs w:val="22"/>
        </w:rPr>
      </w:pPr>
      <w:r w:rsidRPr="009C71AD">
        <w:rPr>
          <w:rFonts w:ascii="Arial" w:hAnsi="Arial" w:cs="Arial"/>
          <w:sz w:val="22"/>
          <w:szCs w:val="22"/>
        </w:rPr>
        <w:t>Secretaría Ejecutiva, y</w:t>
      </w:r>
    </w:p>
    <w:p w14:paraId="0DE1461B" w14:textId="5D1B6439" w:rsidR="00E933EA" w:rsidRDefault="00E933EA" w:rsidP="00E933EA">
      <w:pPr>
        <w:pStyle w:val="Prrafodelista"/>
        <w:widowControl w:val="0"/>
        <w:numPr>
          <w:ilvl w:val="0"/>
          <w:numId w:val="1"/>
        </w:numPr>
        <w:spacing w:line="264" w:lineRule="auto"/>
        <w:ind w:left="703" w:hanging="703"/>
        <w:rPr>
          <w:rFonts w:ascii="Arial" w:hAnsi="Arial" w:cs="Arial"/>
          <w:sz w:val="22"/>
          <w:szCs w:val="22"/>
        </w:rPr>
      </w:pPr>
      <w:r w:rsidRPr="009C71AD">
        <w:rPr>
          <w:rFonts w:ascii="Arial" w:hAnsi="Arial" w:cs="Arial"/>
          <w:sz w:val="22"/>
          <w:szCs w:val="22"/>
        </w:rPr>
        <w:t>Órgano Técnico de Fiscalización.</w:t>
      </w:r>
    </w:p>
    <w:p w14:paraId="7EE0C714" w14:textId="77777777" w:rsidR="009C71AD" w:rsidRPr="009C71AD" w:rsidRDefault="009C71AD" w:rsidP="009C71AD">
      <w:pPr>
        <w:pStyle w:val="Prrafodelista"/>
        <w:widowControl w:val="0"/>
        <w:spacing w:line="264" w:lineRule="auto"/>
        <w:ind w:left="703"/>
        <w:rPr>
          <w:rFonts w:ascii="Arial" w:hAnsi="Arial" w:cs="Arial"/>
          <w:sz w:val="22"/>
          <w:szCs w:val="22"/>
        </w:rPr>
      </w:pPr>
    </w:p>
    <w:p w14:paraId="164B25A5"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lastRenderedPageBreak/>
        <w:t xml:space="preserve">Reforma Constitucional </w:t>
      </w:r>
    </w:p>
    <w:p w14:paraId="5BEFE862"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1DB2CF58"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6FC93157"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Inicio del Proceso Electoral Extraordinario</w:t>
      </w:r>
    </w:p>
    <w:p w14:paraId="1476D6A9"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2E15D535"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Reforma a la Ley Electoral</w:t>
      </w:r>
    </w:p>
    <w:p w14:paraId="16A1147E" w14:textId="193FD230" w:rsidR="00E933EA" w:rsidRDefault="00E933EA" w:rsidP="00E933EA">
      <w:pPr>
        <w:widowControl w:val="0"/>
        <w:spacing w:line="264" w:lineRule="auto"/>
        <w:rPr>
          <w:rFonts w:ascii="Arial" w:hAnsi="Arial" w:cs="Arial"/>
          <w:sz w:val="22"/>
          <w:szCs w:val="22"/>
        </w:rPr>
      </w:pPr>
      <w:r w:rsidRPr="009C71AD">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3C9BEF21"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lastRenderedPageBreak/>
        <w:t xml:space="preserve">Directrices del INE </w:t>
      </w:r>
    </w:p>
    <w:p w14:paraId="45319829"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El 30 de enero de 2025, el Consejo General del INE mediante acuerdo INE/CG52/2025 emitió las directrices generales para la organización de los procesos electorales de los poderes judiciales de las entidades federativas en el Proceso Electoral Extraordinario.</w:t>
      </w:r>
    </w:p>
    <w:p w14:paraId="1AA72833"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Calendario electoral</w:t>
      </w:r>
    </w:p>
    <w:p w14:paraId="19BDF510"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El 5 de marzo de 2025, el Consejo Estatal aprobó el acuerdo CE/2025/021 relativo al calendario electoral para el Proceso Electoral Extraordinario.</w:t>
      </w:r>
    </w:p>
    <w:p w14:paraId="7B5B360C" w14:textId="1A158CCA"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 xml:space="preserve">Diseño e impresión de la documentación electoral </w:t>
      </w:r>
    </w:p>
    <w:p w14:paraId="5C7FAD19" w14:textId="7535554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El 5 de marzo de 2025, el Consejo Estatal aprobó el acuerdo CE/2025/022 relativo al diseño y la impresión de la documentación electoral que se utilizará en la jornada electoral del 1 de junio con motivo del Proceso Electoral Local Extraordinario para personas Juzgadoras del Poder Judicial del Estado de Tabasco 2024-2025.</w:t>
      </w:r>
    </w:p>
    <w:p w14:paraId="276F13B2"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 xml:space="preserve">Convenio de Coordinación </w:t>
      </w:r>
    </w:p>
    <w:p w14:paraId="6B5365EF"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 xml:space="preserve">El 14 de marzo de 2025, el INE y el Instituto suscribieron el Convenio General de Coordinación y Colaboración para establecer las bases de coordinación para hacer efectiva la realización del Proceso Electoral Extraordinario.   </w:t>
      </w:r>
    </w:p>
    <w:p w14:paraId="797A6C98"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Jornada electoral</w:t>
      </w:r>
    </w:p>
    <w:p w14:paraId="68A4FD46"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C956297"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Presentación de la propuesta</w:t>
      </w:r>
    </w:p>
    <w:p w14:paraId="29F3ED82"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 xml:space="preserve">El 14 de abril de 2025, el Secretario Técnico de la Comisión remitió a la Presidencia del Consejo, la propuesta relativa al procedimiento de recepción, embarque, traslado, distribución y custodia de la documentación y material electoral a los 16 Distritos </w:t>
      </w:r>
      <w:r w:rsidRPr="009C71AD">
        <w:rPr>
          <w:rFonts w:ascii="Arial" w:hAnsi="Arial" w:cs="Arial"/>
          <w:sz w:val="22"/>
          <w:szCs w:val="22"/>
        </w:rPr>
        <w:lastRenderedPageBreak/>
        <w:t>Judiciales Electorales Locales con motivo del Proceso Electoral Extraordinario, formulado por dicha Comisión; lo anterior, para efectos de someterlo a la deliberación de este Consejo Estatal.</w:t>
      </w:r>
    </w:p>
    <w:p w14:paraId="23387FDE" w14:textId="5C36BDA9" w:rsidR="004677C8" w:rsidRPr="009C71AD" w:rsidRDefault="00E933EA" w:rsidP="004677C8">
      <w:pPr>
        <w:pStyle w:val="Ttulo1"/>
        <w:rPr>
          <w:rFonts w:ascii="Arial" w:hAnsi="Arial" w:cs="Arial"/>
          <w:color w:val="auto"/>
          <w:sz w:val="24"/>
          <w:szCs w:val="24"/>
        </w:rPr>
      </w:pPr>
      <w:r w:rsidRPr="009C71AD">
        <w:rPr>
          <w:rFonts w:ascii="Arial" w:hAnsi="Arial" w:cs="Arial"/>
          <w:color w:val="auto"/>
          <w:sz w:val="24"/>
          <w:szCs w:val="24"/>
        </w:rPr>
        <w:t>Considerando</w:t>
      </w:r>
    </w:p>
    <w:p w14:paraId="74E1FDF0"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Competencia del Consejo Estatal</w:t>
      </w:r>
    </w:p>
    <w:p w14:paraId="1CD7D6D2"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Que, de conformidad con los artículos 115 numeral 1, fracción XL y 393 numeral 1, fracción II de la Ley Electoral, el Consejo Estatal es competente para organizar el proceso electivo de las personas juzgadoras, su jornada electoral y los cómputos de los resultados electorales, en los términos que determine la Ley General y la Ley Electoral; así como, para aprobar los lineamientos o acuerdos necesarios para llevar a cabo la organización, desarrollo y cómputo de la elección.</w:t>
      </w:r>
    </w:p>
    <w:p w14:paraId="1F58F6A8"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32FB3FA2"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 xml:space="preserve">Atribuciones de la Comisión  </w:t>
      </w:r>
    </w:p>
    <w:p w14:paraId="6BC4F0F5"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Que, de acuerdo a los dispuesto en los artículos 113, numerales 1 y 3 de la Ley Electoral; y 14, numeral 1, fracción VI y VII del Reglamento de Comisiones, la Comisión, es el órgano auxiliar del Consejo Estatal, que tiene entre otras funciones, formular recomendaciones y sugerir directrices a la Dirección de Organización Electoral y Educación Cívica, para el cumplimiento del Programa Anual, así como proponer al Consejo Estatal, políticas y programas generales en materia de Organización Electoral, Educación Cívica o Participación Ciudadana.</w:t>
      </w:r>
    </w:p>
    <w:p w14:paraId="7D5CCF4D"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Proceso electoral de las personas juzgadoras</w:t>
      </w:r>
    </w:p>
    <w:p w14:paraId="6C89B72E" w14:textId="462B101F" w:rsidR="00E933EA" w:rsidRDefault="00E933EA" w:rsidP="00E933EA">
      <w:pPr>
        <w:widowControl w:val="0"/>
        <w:spacing w:line="264" w:lineRule="auto"/>
        <w:rPr>
          <w:rFonts w:ascii="Arial" w:hAnsi="Arial" w:cs="Arial"/>
          <w:sz w:val="22"/>
          <w:szCs w:val="22"/>
        </w:rPr>
      </w:pPr>
      <w:r w:rsidRPr="009C71AD">
        <w:rPr>
          <w:rFonts w:ascii="Arial" w:hAnsi="Arial" w:cs="Arial"/>
          <w:sz w:val="22"/>
          <w:szCs w:val="22"/>
        </w:rPr>
        <w:t xml:space="preserve">Que, el artículo 386 numeral 1 de la Ley Electoral dispone que, el proceso electoral de las personas juzgadoras del Poder Judicial es el conjunto de actos ordenados por la </w:t>
      </w:r>
      <w:r w:rsidRPr="009C71AD">
        <w:rPr>
          <w:rFonts w:ascii="Arial" w:hAnsi="Arial" w:cs="Arial"/>
          <w:sz w:val="22"/>
          <w:szCs w:val="22"/>
        </w:rPr>
        <w:lastRenderedPageBreak/>
        <w:t>Constitución Local y la Ley Electoral, realizado por las autoridades electorales, el Congreso del Estado, así como la ciudadanía, que tiene por objeto la renovación periódica de las personas juzgadoras que integran el Poder Judicial.</w:t>
      </w:r>
    </w:p>
    <w:p w14:paraId="7A454370"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Etapas del proceso electoral de las personas juzgadoras</w:t>
      </w:r>
    </w:p>
    <w:p w14:paraId="4E3916E6"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Que, el artículo 387 numeral 1 de la Ley Electoral establece que, el proceso de elección de las personas juzgadoras del Poder Judicial comprende las siguientes etapas:</w:t>
      </w:r>
    </w:p>
    <w:p w14:paraId="7F304F17"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Preparación de la elección;</w:t>
      </w:r>
    </w:p>
    <w:p w14:paraId="7B5727E1"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Convocatoria y postulación de candidaturas;</w:t>
      </w:r>
    </w:p>
    <w:p w14:paraId="59A1CCC3"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Jornada electoral;</w:t>
      </w:r>
    </w:p>
    <w:p w14:paraId="2F392F94"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Cómputos y sumatoria;</w:t>
      </w:r>
    </w:p>
    <w:p w14:paraId="3FE31955"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Asignación de cargos, y</w:t>
      </w:r>
    </w:p>
    <w:p w14:paraId="064FA02F" w14:textId="77777777" w:rsidR="00E933EA" w:rsidRPr="009C71AD" w:rsidRDefault="00E933EA" w:rsidP="00E933EA">
      <w:pPr>
        <w:pStyle w:val="Prrafodelista"/>
        <w:widowControl w:val="0"/>
        <w:numPr>
          <w:ilvl w:val="0"/>
          <w:numId w:val="2"/>
        </w:numPr>
        <w:spacing w:line="264" w:lineRule="auto"/>
        <w:ind w:left="703" w:hanging="703"/>
        <w:rPr>
          <w:rFonts w:ascii="Arial" w:hAnsi="Arial" w:cs="Arial"/>
          <w:sz w:val="22"/>
          <w:szCs w:val="22"/>
        </w:rPr>
      </w:pPr>
      <w:r w:rsidRPr="009C71AD">
        <w:rPr>
          <w:rFonts w:ascii="Arial" w:hAnsi="Arial" w:cs="Arial"/>
          <w:sz w:val="22"/>
          <w:szCs w:val="22"/>
        </w:rPr>
        <w:t>La entrega de constancias de mayoría y declaración de validez de la elección.</w:t>
      </w:r>
    </w:p>
    <w:p w14:paraId="37C0D76F" w14:textId="245FEFA5"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7C15852D"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60A316F7"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6BB4F93D"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8CA8E80" w14:textId="242CD9E8" w:rsidR="00E933EA" w:rsidRDefault="00E933EA" w:rsidP="00E933EA">
      <w:pPr>
        <w:widowControl w:val="0"/>
        <w:spacing w:line="264" w:lineRule="auto"/>
        <w:rPr>
          <w:rFonts w:ascii="Arial" w:hAnsi="Arial" w:cs="Arial"/>
          <w:sz w:val="22"/>
          <w:szCs w:val="22"/>
        </w:rPr>
      </w:pPr>
      <w:r w:rsidRPr="009C71AD">
        <w:rPr>
          <w:rFonts w:ascii="Arial" w:hAnsi="Arial" w:cs="Arial"/>
          <w:sz w:val="22"/>
          <w:szCs w:val="22"/>
        </w:rPr>
        <w:t xml:space="preserve">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w:t>
      </w:r>
      <w:r w:rsidRPr="009C71AD">
        <w:rPr>
          <w:rFonts w:ascii="Arial" w:hAnsi="Arial" w:cs="Arial"/>
          <w:sz w:val="22"/>
          <w:szCs w:val="22"/>
        </w:rPr>
        <w:lastRenderedPageBreak/>
        <w:t>ganadoras y la emisión de la declaración de validez respectiva.</w:t>
      </w:r>
    </w:p>
    <w:p w14:paraId="2DC9895C"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27A7657E"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Derecho de la ciudadanía a participar en los procesos de selección y evaluación de candidaturas</w:t>
      </w:r>
    </w:p>
    <w:p w14:paraId="5BED48CC" w14:textId="77777777" w:rsidR="00E933EA" w:rsidRPr="009C71AD" w:rsidRDefault="00E933EA" w:rsidP="00E933EA">
      <w:pPr>
        <w:widowControl w:val="0"/>
        <w:spacing w:line="264" w:lineRule="auto"/>
        <w:rPr>
          <w:rFonts w:ascii="Arial" w:hAnsi="Arial" w:cs="Arial"/>
          <w:sz w:val="22"/>
          <w:szCs w:val="22"/>
        </w:rPr>
      </w:pPr>
      <w:r w:rsidRPr="009C71AD">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390E9287"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Facultad del INE para regular la documentación y material electorales</w:t>
      </w:r>
    </w:p>
    <w:p w14:paraId="7F180567"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579441BE"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Regulación de la documentación electoral en el Reglamento de Elecciones</w:t>
      </w:r>
    </w:p>
    <w:p w14:paraId="23F3913E" w14:textId="77777777" w:rsidR="009C71AD" w:rsidRDefault="00E933EA" w:rsidP="00E933EA">
      <w:pPr>
        <w:spacing w:line="264" w:lineRule="auto"/>
        <w:rPr>
          <w:rFonts w:ascii="Arial" w:hAnsi="Arial" w:cs="Arial"/>
          <w:sz w:val="22"/>
          <w:szCs w:val="22"/>
        </w:rPr>
      </w:pPr>
      <w:r w:rsidRPr="009C71AD">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09292FD8" w14:textId="77777777" w:rsidR="009C71AD" w:rsidRDefault="009C71AD" w:rsidP="00E933EA">
      <w:pPr>
        <w:spacing w:line="264" w:lineRule="auto"/>
        <w:rPr>
          <w:rFonts w:ascii="Arial" w:hAnsi="Arial" w:cs="Arial"/>
          <w:sz w:val="22"/>
          <w:szCs w:val="22"/>
        </w:rPr>
      </w:pPr>
    </w:p>
    <w:p w14:paraId="54B7A0D0" w14:textId="5DCFD4F2"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lastRenderedPageBreak/>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23A13DAE"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Responsable de la documentación y materiales electorales</w:t>
      </w:r>
    </w:p>
    <w:p w14:paraId="7BC8082F"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Que, el artículo 149 numeral 4 del Reglamento de Elecciones dispone que la Dirección Ejecutiva de Organización Electoral del INE,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6105E1A0"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Entrega de la documentación y material electorales a los Consejos Distritales</w:t>
      </w:r>
    </w:p>
    <w:p w14:paraId="39AD9A2E"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Que, de conformidad con lo dispuesto por los artículos 268 numeral 2, inciso e) de la Ley General y 218 numerales 1 y 2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5400B57F"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Entrega de la documentación y material electorales a las Presidencias de las Mesas Directivas de Casilla</w:t>
      </w:r>
    </w:p>
    <w:p w14:paraId="3A3F9A5C" w14:textId="26AD3E14" w:rsidR="00E933EA" w:rsidRDefault="00E933EA" w:rsidP="00E933EA">
      <w:pPr>
        <w:spacing w:line="264" w:lineRule="auto"/>
        <w:rPr>
          <w:rFonts w:ascii="Arial" w:hAnsi="Arial" w:cs="Arial"/>
          <w:sz w:val="22"/>
          <w:szCs w:val="22"/>
        </w:rPr>
      </w:pPr>
      <w:r w:rsidRPr="009C71AD">
        <w:rPr>
          <w:rFonts w:ascii="Arial" w:hAnsi="Arial" w:cs="Arial"/>
          <w:sz w:val="22"/>
          <w:szCs w:val="22"/>
        </w:rPr>
        <w:t xml:space="preserve">Que, los artículos 269 de la Ley General, 131 numeral 1, fracción IV y 219 numeral 1, fracción VII de la Ley Electoral, prevén que las o los Presidentes de los Consejos Distritales deberán entregar a las y los Presidentes de las Mesas Directivas de Casilla, dentro de los 5 días previos al día de la elección, la documentación y material electoral </w:t>
      </w:r>
      <w:r w:rsidRPr="009C71AD">
        <w:rPr>
          <w:rFonts w:ascii="Arial" w:hAnsi="Arial" w:cs="Arial"/>
          <w:sz w:val="22"/>
          <w:szCs w:val="22"/>
        </w:rPr>
        <w:lastRenderedPageBreak/>
        <w:t>aprobados por el Consejo Estatal, así como los útiles de escritorio y demás elementos necesarios para el desarrollo de la jornada electoral.</w:t>
      </w:r>
    </w:p>
    <w:p w14:paraId="3511915E" w14:textId="7777777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Documentación y materiales electorales en procesos de elección de personas juzgadoras</w:t>
      </w:r>
    </w:p>
    <w:p w14:paraId="7E0283BC"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4184B32A" w14:textId="77777777" w:rsidR="00E933EA" w:rsidRPr="009C71AD" w:rsidRDefault="00E933EA" w:rsidP="00E933EA">
      <w:pPr>
        <w:spacing w:line="264" w:lineRule="auto"/>
        <w:rPr>
          <w:rFonts w:ascii="Arial" w:hAnsi="Arial" w:cs="Arial"/>
          <w:sz w:val="22"/>
          <w:szCs w:val="22"/>
        </w:rPr>
      </w:pPr>
      <w:r w:rsidRPr="009C71AD">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4537644E" w14:textId="4EF343FF"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 xml:space="preserve">Medidas de seguridad de las boletas electorales </w:t>
      </w:r>
    </w:p>
    <w:p w14:paraId="790FCCCA" w14:textId="65847017" w:rsidR="00E933EA" w:rsidRPr="009C71AD" w:rsidRDefault="00E933EA" w:rsidP="00E933EA">
      <w:pPr>
        <w:rPr>
          <w:rFonts w:ascii="Arial" w:hAnsi="Arial" w:cs="Arial"/>
          <w:sz w:val="22"/>
          <w:szCs w:val="22"/>
        </w:rPr>
      </w:pPr>
      <w:r w:rsidRPr="009C71AD">
        <w:rPr>
          <w:rFonts w:ascii="Arial" w:hAnsi="Arial" w:cs="Arial"/>
          <w:sz w:val="22"/>
          <w:szCs w:val="22"/>
        </w:rPr>
        <w:t>Que, de conformidad con el artículo 163 numeral 1 del Reglamento de Elecciones, las boletas electorales, las actas electorales y el líquido indeleble a utilizarse en la Jornada Electoral respectiva, deberán contener las características y medidas de seguridad confiables y de calidad, de acuerdo con las especificaciones técnicas solicitadas, previstas en el anexo 4.1 del propio Reglamento, para evitar su falsificación.</w:t>
      </w:r>
    </w:p>
    <w:p w14:paraId="6E305405" w14:textId="77777777" w:rsidR="00E933EA" w:rsidRPr="009C71AD" w:rsidRDefault="00E933EA" w:rsidP="00E933EA">
      <w:pPr>
        <w:rPr>
          <w:rFonts w:ascii="Arial" w:hAnsi="Arial" w:cs="Arial"/>
          <w:sz w:val="22"/>
          <w:szCs w:val="22"/>
        </w:rPr>
      </w:pPr>
      <w:r w:rsidRPr="009C71AD">
        <w:rPr>
          <w:rFonts w:ascii="Arial" w:hAnsi="Arial" w:cs="Arial"/>
          <w:sz w:val="22"/>
          <w:szCs w:val="22"/>
        </w:rPr>
        <w:t>En ese mismo sentido el INE, a través de la Comisión Temporal del Proceso Electoral Extraordinario para la elección de diversos cargos del Poder Judicial de la Federación 2024-2025, aprobó mediante acuerdo INE/CTPEEPJF/004/2025 los formatos únicos de la boleta y demás documentación electoral de casilla seccional, así como de los materiales electorales, para las elecciones de los Poderes Judiciales Locales, estableciendo que el acta de la jornada electoral, clasificación y conteo, y constancia de clausura de casilla seccional, deben contener medidas de seguridad a efecto de evitar que sean falsificadas, mismas que se darán a conocer cuando se lleven a cabo los mecanismos de verificación previstos en el anexo 4.2 del Reglamento de Elecciones.</w:t>
      </w:r>
    </w:p>
    <w:p w14:paraId="4F1440B9" w14:textId="08522605" w:rsidR="00E933EA" w:rsidRPr="009C71AD" w:rsidRDefault="00E933EA" w:rsidP="00E933EA">
      <w:pPr>
        <w:rPr>
          <w:rFonts w:ascii="Arial" w:hAnsi="Arial" w:cs="Arial"/>
          <w:sz w:val="22"/>
          <w:szCs w:val="22"/>
        </w:rPr>
      </w:pPr>
      <w:r w:rsidRPr="009C71AD">
        <w:rPr>
          <w:rFonts w:ascii="Arial" w:hAnsi="Arial" w:cs="Arial"/>
          <w:sz w:val="22"/>
          <w:szCs w:val="22"/>
        </w:rPr>
        <w:t xml:space="preserve">En tal sentido, en sesiones extraordinarias de fechas 5, 14 y 25 de marzo de 2025, el Consejo Estatal aprobó los acuerdos CE/2025/022, CE/2025/027 y CE/2025/031, mediante los cuales el Órgano Máximo de Dirección de este Instituto, determinó el diseño y la impresión de la documentación que se utilizará en la Jornada Electoral y </w:t>
      </w:r>
      <w:r w:rsidRPr="009C71AD">
        <w:rPr>
          <w:rFonts w:ascii="Arial" w:hAnsi="Arial" w:cs="Arial"/>
          <w:sz w:val="22"/>
          <w:szCs w:val="22"/>
        </w:rPr>
        <w:lastRenderedPageBreak/>
        <w:t>designó a la empresa Talleres Gráficos de México para la producción de esta, así como los diseños de los materiales electorales, respectivamente.</w:t>
      </w:r>
    </w:p>
    <w:p w14:paraId="5703CB41" w14:textId="0C124EC7"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Verificación de las medidas de seguridad</w:t>
      </w:r>
    </w:p>
    <w:p w14:paraId="4799527B" w14:textId="77777777" w:rsidR="00E933EA" w:rsidRPr="009C71AD" w:rsidRDefault="00E933EA" w:rsidP="00E933EA">
      <w:pPr>
        <w:rPr>
          <w:rFonts w:ascii="Arial" w:hAnsi="Arial" w:cs="Arial"/>
          <w:sz w:val="22"/>
          <w:szCs w:val="22"/>
        </w:rPr>
      </w:pPr>
      <w:r w:rsidRPr="009C71AD">
        <w:rPr>
          <w:rFonts w:ascii="Arial" w:hAnsi="Arial" w:cs="Arial"/>
          <w:sz w:val="22"/>
          <w:szCs w:val="22"/>
        </w:rPr>
        <w:t>Que en términos del numeral 2 del artículo 163 del Reglamento de Elecciones, tanto para las elecciones federales como para las locales, se deberá realizar la verificación de las medidas de seguridad incorporadas en las boletas y actas electorales, así como el correcto funcionamiento del líquido indeleble y los elementos de identificación del aplicador, conforme al procedimiento descrito en el anexo 4.2 de dicho Reglamento.</w:t>
      </w:r>
    </w:p>
    <w:p w14:paraId="5FFE18AA" w14:textId="773BA4AC" w:rsidR="00E933EA" w:rsidRPr="009C71AD" w:rsidRDefault="00E933EA" w:rsidP="00E933EA">
      <w:pPr>
        <w:rPr>
          <w:rFonts w:ascii="Arial" w:hAnsi="Arial" w:cs="Arial"/>
          <w:sz w:val="22"/>
          <w:szCs w:val="22"/>
        </w:rPr>
      </w:pPr>
      <w:r w:rsidRPr="009C71AD">
        <w:rPr>
          <w:rFonts w:ascii="Arial" w:hAnsi="Arial" w:cs="Arial"/>
          <w:sz w:val="22"/>
          <w:szCs w:val="22"/>
        </w:rPr>
        <w:t>Además, conforme al numeral 3 del artículo señalado, en elecciones concurrentes, el INE suministrará el líquido indeleble en las casillas únicas. En caso de elecciones locales no concurrentes con una federal, los organismos electorales deberán designar a la empresa o institución que se hará cargo de la fabricación del líquido indeleble; de igual manera, establecerán la institución pública o privada que certificará la calidad de dicho material. Las instituciones para uno y otro caso deberán ser distintas.</w:t>
      </w:r>
    </w:p>
    <w:p w14:paraId="320525BF" w14:textId="462959A3" w:rsidR="00E933EA" w:rsidRPr="009C71AD" w:rsidRDefault="00E933EA" w:rsidP="00E933EA">
      <w:pPr>
        <w:pStyle w:val="Ttulo2"/>
        <w:rPr>
          <w:rFonts w:ascii="Arial" w:hAnsi="Arial" w:cs="Arial"/>
          <w:color w:val="auto"/>
          <w:sz w:val="22"/>
          <w:szCs w:val="22"/>
        </w:rPr>
      </w:pPr>
      <w:r w:rsidRPr="009C71AD">
        <w:rPr>
          <w:rFonts w:ascii="Arial" w:hAnsi="Arial" w:cs="Arial"/>
          <w:color w:val="auto"/>
          <w:sz w:val="22"/>
          <w:szCs w:val="22"/>
        </w:rPr>
        <w:t>Procedimiento específico para la verificación de las medidas de seguridad</w:t>
      </w:r>
    </w:p>
    <w:p w14:paraId="4BC53F16" w14:textId="77777777" w:rsidR="00695070" w:rsidRPr="009C71AD" w:rsidRDefault="00E933EA" w:rsidP="00695070">
      <w:pPr>
        <w:rPr>
          <w:rFonts w:ascii="Arial" w:hAnsi="Arial" w:cs="Arial"/>
          <w:sz w:val="22"/>
          <w:szCs w:val="22"/>
        </w:rPr>
      </w:pPr>
      <w:r w:rsidRPr="009C71AD">
        <w:rPr>
          <w:rFonts w:ascii="Arial" w:hAnsi="Arial" w:cs="Arial"/>
          <w:sz w:val="22"/>
          <w:szCs w:val="22"/>
        </w:rPr>
        <w:t xml:space="preserve">Que, </w:t>
      </w:r>
      <w:r w:rsidR="00695070" w:rsidRPr="009C71AD">
        <w:rPr>
          <w:rFonts w:ascii="Arial" w:hAnsi="Arial" w:cs="Arial"/>
          <w:sz w:val="22"/>
          <w:szCs w:val="22"/>
        </w:rPr>
        <w:t>a partir de las disposiciones mencionadas y con el propósito de garantizar la autenticidad de la documentación electoral que se utilizará en la Jornada Electoral, la Comisión propone la implementación de un procedimiento cuyo objetivo será verificar las medidas de seguridad con las que contarán las boletas electorales y las actas de la jornada electoral.</w:t>
      </w:r>
    </w:p>
    <w:p w14:paraId="0531E03E" w14:textId="7E43D78D" w:rsidR="00695070" w:rsidRPr="009C71AD" w:rsidRDefault="00695070" w:rsidP="00695070">
      <w:pPr>
        <w:rPr>
          <w:rFonts w:ascii="Arial" w:hAnsi="Arial" w:cs="Arial"/>
          <w:sz w:val="22"/>
          <w:szCs w:val="22"/>
        </w:rPr>
      </w:pPr>
      <w:r w:rsidRPr="009C71AD">
        <w:rPr>
          <w:rFonts w:ascii="Arial" w:hAnsi="Arial" w:cs="Arial"/>
          <w:sz w:val="22"/>
          <w:szCs w:val="22"/>
        </w:rPr>
        <w:t>El procedimiento se establece de acuerdo con lo que dispone el anexo 4.2 del Reglamento de Elecciones y tiene como base, el modelo de verificación aplicado en el pasado proceso electoral 2023 - 2024 en el que se utilizaron métodos sistemáticos con apoyo de las tecnologías de la información y la comunicación, bajo un formato aleatorio, revistiendo que estos actos se realicen ante la presencia de las Consejerías Electorales de los 16 Consejos Distritales y en su caso, en presencia de las presidencias de las Mesas Directivas de Casillas Seccionales Únicas, a fin de que estén en posibilidad de verificar que las medidas de seguridad aprobadas por el órgano máximo de dirección del Instituto, estén plasmadas en las boletas y el acta de jornada electoral.</w:t>
      </w:r>
    </w:p>
    <w:p w14:paraId="2715BF41" w14:textId="4FC64D80" w:rsidR="00695070" w:rsidRPr="009C71AD" w:rsidRDefault="00695070" w:rsidP="00E933EA">
      <w:pPr>
        <w:rPr>
          <w:rFonts w:ascii="Arial" w:hAnsi="Arial" w:cs="Arial"/>
          <w:sz w:val="22"/>
          <w:szCs w:val="22"/>
        </w:rPr>
      </w:pPr>
      <w:r w:rsidRPr="009C71AD">
        <w:rPr>
          <w:rFonts w:ascii="Arial" w:hAnsi="Arial" w:cs="Arial"/>
          <w:sz w:val="22"/>
          <w:szCs w:val="22"/>
        </w:rPr>
        <w:t xml:space="preserve">El procedimiento será de observancia obligatoria para el personal del Instituto y los 16 Consejos Distritales, quienes, dentro de su ámbito de competencia, serán las </w:t>
      </w:r>
      <w:r w:rsidRPr="009C71AD">
        <w:rPr>
          <w:rFonts w:ascii="Arial" w:hAnsi="Arial" w:cs="Arial"/>
          <w:sz w:val="22"/>
          <w:szCs w:val="22"/>
        </w:rPr>
        <w:lastRenderedPageBreak/>
        <w:t>responsables de garantizar el estricto cumplimiento del procedimiento, debiendo de vigilar su observancia y cumplimiento.</w:t>
      </w:r>
    </w:p>
    <w:p w14:paraId="56B820BE" w14:textId="172ECD92" w:rsidR="00695070" w:rsidRPr="009C71AD" w:rsidRDefault="00695070" w:rsidP="00695070">
      <w:pPr>
        <w:rPr>
          <w:rFonts w:ascii="Arial" w:hAnsi="Arial" w:cs="Arial"/>
          <w:sz w:val="22"/>
          <w:szCs w:val="22"/>
        </w:rPr>
      </w:pPr>
      <w:r w:rsidRPr="009C71AD">
        <w:rPr>
          <w:rFonts w:ascii="Arial" w:hAnsi="Arial" w:cs="Arial"/>
          <w:sz w:val="22"/>
          <w:szCs w:val="22"/>
        </w:rPr>
        <w:t>E</w:t>
      </w:r>
      <w:r w:rsidR="00050E77" w:rsidRPr="009C71AD">
        <w:rPr>
          <w:rFonts w:ascii="Arial" w:hAnsi="Arial" w:cs="Arial"/>
          <w:sz w:val="22"/>
          <w:szCs w:val="22"/>
        </w:rPr>
        <w:t>s</w:t>
      </w:r>
      <w:r w:rsidRPr="009C71AD">
        <w:rPr>
          <w:rFonts w:ascii="Arial" w:hAnsi="Arial" w:cs="Arial"/>
          <w:sz w:val="22"/>
          <w:szCs w:val="22"/>
        </w:rPr>
        <w:t xml:space="preserve"> de señalar que, la verificación partirá de una muestra aleatoria simple de una casilla (paquete electoral) por cada Distrito Electoral Judicial. La primera muestra se realizará previo a la entrega de los paquetes electorales a las Presidencias de las Mesas Directivas de Casillas Seccionales Únicas, con la base de datos de la totalidad de las Casillas Seccionales Únicas a instalarse el día de la jornada electoral para el Proceso Electoral Extraordinario, esto dará como resultado las casillas/paquetes electorales que serán sometidas a la verificación de las medidas de seguridad en cada uno de los órganos desconcentrados. Finalmente, el día de la Jornada Electoral se llevará a cabo una segunda verificación.</w:t>
      </w:r>
    </w:p>
    <w:p w14:paraId="6EE16BF8" w14:textId="77777777" w:rsidR="00695070" w:rsidRPr="009C71AD" w:rsidRDefault="00695070" w:rsidP="00695070">
      <w:pPr>
        <w:spacing w:line="264" w:lineRule="auto"/>
        <w:rPr>
          <w:rFonts w:ascii="Arial" w:hAnsi="Arial" w:cs="Arial"/>
          <w:sz w:val="22"/>
          <w:szCs w:val="22"/>
        </w:rPr>
      </w:pPr>
      <w:r w:rsidRPr="009C71AD">
        <w:rPr>
          <w:rFonts w:ascii="Arial" w:hAnsi="Arial" w:cs="Arial"/>
          <w:sz w:val="22"/>
          <w:szCs w:val="22"/>
        </w:rPr>
        <w:t>Sobre la base de las consideraciones señaladas, este Consejo Estatal emite el siguiente:</w:t>
      </w:r>
    </w:p>
    <w:p w14:paraId="58F7F19E" w14:textId="77777777" w:rsidR="00695070" w:rsidRPr="009C71AD" w:rsidRDefault="00695070" w:rsidP="00695070">
      <w:pPr>
        <w:pStyle w:val="Ttulo1"/>
        <w:rPr>
          <w:rFonts w:ascii="Arial" w:hAnsi="Arial" w:cs="Arial"/>
          <w:color w:val="auto"/>
          <w:sz w:val="24"/>
          <w:szCs w:val="24"/>
        </w:rPr>
      </w:pPr>
      <w:r w:rsidRPr="009C71AD">
        <w:rPr>
          <w:rFonts w:ascii="Arial" w:hAnsi="Arial" w:cs="Arial"/>
          <w:color w:val="auto"/>
          <w:sz w:val="24"/>
          <w:szCs w:val="24"/>
        </w:rPr>
        <w:t>Acuerdo</w:t>
      </w:r>
    </w:p>
    <w:p w14:paraId="3AFD2339" w14:textId="094D11E4" w:rsidR="00695070" w:rsidRPr="009C71AD" w:rsidRDefault="00695070" w:rsidP="00695070">
      <w:pPr>
        <w:spacing w:line="264" w:lineRule="auto"/>
        <w:rPr>
          <w:rFonts w:ascii="Arial" w:hAnsi="Arial" w:cs="Arial"/>
          <w:sz w:val="22"/>
          <w:szCs w:val="22"/>
        </w:rPr>
      </w:pPr>
      <w:r w:rsidRPr="009C71AD">
        <w:rPr>
          <w:rFonts w:ascii="Arial" w:hAnsi="Arial" w:cs="Arial"/>
          <w:b/>
          <w:bCs/>
          <w:sz w:val="22"/>
          <w:szCs w:val="22"/>
        </w:rPr>
        <w:t>Primero.</w:t>
      </w:r>
      <w:r w:rsidRPr="009C71AD">
        <w:rPr>
          <w:rFonts w:ascii="Arial" w:hAnsi="Arial" w:cs="Arial"/>
          <w:sz w:val="22"/>
          <w:szCs w:val="22"/>
        </w:rPr>
        <w:t xml:space="preserve"> Se aprueba el Procedimiento para la verificación de las medidas de seguridad establecidas en las boletas electorales, actas de jornada electoral, clasificación y conteo y constancia de clausura de casilla seccional que se utilizarán con motivo del Proceso Electoral Local Extraordinario para personas juzgadoras del Poder Judicial del Estado de Tabasco 2024-2025 anexo al presente acuerdo.</w:t>
      </w:r>
    </w:p>
    <w:p w14:paraId="1C3D1FF8" w14:textId="77777777" w:rsidR="00695070" w:rsidRPr="009C71AD" w:rsidRDefault="00695070" w:rsidP="00695070">
      <w:pPr>
        <w:spacing w:line="264" w:lineRule="auto"/>
        <w:rPr>
          <w:rFonts w:ascii="Arial" w:hAnsi="Arial" w:cs="Arial"/>
          <w:sz w:val="22"/>
          <w:szCs w:val="22"/>
        </w:rPr>
      </w:pPr>
      <w:r w:rsidRPr="009C71AD">
        <w:rPr>
          <w:rFonts w:ascii="Arial" w:hAnsi="Arial" w:cs="Arial"/>
          <w:b/>
          <w:bCs/>
          <w:sz w:val="22"/>
          <w:szCs w:val="22"/>
        </w:rPr>
        <w:t xml:space="preserve">Segundo. </w:t>
      </w:r>
      <w:r w:rsidRPr="009C71AD">
        <w:rPr>
          <w:rFonts w:ascii="Arial" w:hAnsi="Arial" w:cs="Arial"/>
          <w:sz w:val="22"/>
          <w:szCs w:val="22"/>
        </w:rPr>
        <w:t>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700033E6" w14:textId="77777777" w:rsidR="00695070" w:rsidRPr="009C71AD" w:rsidRDefault="00695070" w:rsidP="00695070">
      <w:pPr>
        <w:spacing w:line="264" w:lineRule="auto"/>
        <w:rPr>
          <w:rFonts w:ascii="Arial" w:hAnsi="Arial" w:cs="Arial"/>
          <w:sz w:val="22"/>
          <w:szCs w:val="22"/>
        </w:rPr>
      </w:pPr>
      <w:r w:rsidRPr="009C71AD">
        <w:rPr>
          <w:rFonts w:ascii="Arial" w:hAnsi="Arial" w:cs="Arial"/>
          <w:b/>
          <w:bCs/>
          <w:sz w:val="22"/>
          <w:szCs w:val="22"/>
        </w:rPr>
        <w:t xml:space="preserve">Tercero. </w:t>
      </w:r>
      <w:r w:rsidRPr="009C71AD">
        <w:rPr>
          <w:rFonts w:ascii="Arial" w:hAnsi="Arial" w:cs="Arial"/>
          <w:sz w:val="22"/>
          <w:szCs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2D3F158" w14:textId="77777777" w:rsidR="00695070" w:rsidRPr="009C71AD" w:rsidRDefault="00695070" w:rsidP="00695070">
      <w:pPr>
        <w:spacing w:line="264" w:lineRule="auto"/>
        <w:rPr>
          <w:rFonts w:ascii="Arial" w:hAnsi="Arial" w:cs="Arial"/>
          <w:sz w:val="22"/>
          <w:szCs w:val="22"/>
        </w:rPr>
      </w:pPr>
      <w:r w:rsidRPr="009C71AD">
        <w:rPr>
          <w:rFonts w:ascii="Arial" w:hAnsi="Arial" w:cs="Arial"/>
          <w:b/>
          <w:bCs/>
          <w:sz w:val="22"/>
          <w:szCs w:val="22"/>
        </w:rPr>
        <w:t>Cuarto.</w:t>
      </w:r>
      <w:r w:rsidRPr="009C71AD">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7DEA14D" w14:textId="27B24860" w:rsidR="00695070" w:rsidRPr="009C71AD" w:rsidRDefault="009A5E90" w:rsidP="009A5E90">
      <w:pPr>
        <w:rPr>
          <w:rFonts w:ascii="Arial" w:hAnsi="Arial" w:cs="Arial"/>
          <w:sz w:val="22"/>
          <w:szCs w:val="22"/>
        </w:rPr>
      </w:pPr>
      <w:r w:rsidRPr="009C71AD">
        <w:rPr>
          <w:rFonts w:ascii="Arial" w:hAnsi="Arial" w:cs="Arial"/>
          <w:sz w:val="22"/>
          <w:szCs w:val="22"/>
        </w:rPr>
        <w:lastRenderedPageBreak/>
        <w:t>El presente acuerdo fue aprobado en sesión extraordinaria</w:t>
      </w:r>
      <w:r w:rsidR="00447B0D" w:rsidRPr="009C71AD">
        <w:rPr>
          <w:rFonts w:ascii="Arial" w:hAnsi="Arial" w:cs="Arial"/>
          <w:sz w:val="22"/>
          <w:szCs w:val="22"/>
        </w:rPr>
        <w:t xml:space="preserve"> efectuada el</w:t>
      </w:r>
      <w:r w:rsidR="001D02F1" w:rsidRPr="009C71AD">
        <w:rPr>
          <w:rFonts w:ascii="Arial" w:hAnsi="Arial" w:cs="Arial"/>
          <w:sz w:val="22"/>
          <w:szCs w:val="22"/>
        </w:rPr>
        <w:t xml:space="preserve"> día</w:t>
      </w:r>
      <w:r w:rsidR="00447B0D" w:rsidRPr="009C71AD">
        <w:rPr>
          <w:rFonts w:ascii="Arial" w:hAnsi="Arial" w:cs="Arial"/>
          <w:sz w:val="22"/>
          <w:szCs w:val="22"/>
        </w:rPr>
        <w:t xml:space="preserve"> veintiuno </w:t>
      </w:r>
      <w:r w:rsidRPr="009C71AD">
        <w:rPr>
          <w:rFonts w:ascii="Arial" w:hAnsi="Arial" w:cs="Arial"/>
          <w:sz w:val="22"/>
          <w:szCs w:val="22"/>
        </w:rPr>
        <w:t xml:space="preserve">de abril del año dos mil veinticinco, por votación unánime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9C71AD">
        <w:rPr>
          <w:rFonts w:ascii="Arial" w:hAnsi="Arial" w:cs="Arial"/>
          <w:sz w:val="22"/>
          <w:szCs w:val="22"/>
        </w:rPr>
        <w:t>Beaurregard</w:t>
      </w:r>
      <w:proofErr w:type="spellEnd"/>
      <w:r w:rsidRPr="009C71AD">
        <w:rPr>
          <w:rFonts w:ascii="Arial" w:hAnsi="Arial" w:cs="Arial"/>
          <w:sz w:val="22"/>
          <w:szCs w:val="22"/>
        </w:rPr>
        <w:t xml:space="preserve">, Mtra. Ruth </w:t>
      </w:r>
      <w:proofErr w:type="spellStart"/>
      <w:r w:rsidRPr="009C71AD">
        <w:rPr>
          <w:rFonts w:ascii="Arial" w:hAnsi="Arial" w:cs="Arial"/>
          <w:sz w:val="22"/>
          <w:szCs w:val="22"/>
        </w:rPr>
        <w:t>Lizette</w:t>
      </w:r>
      <w:proofErr w:type="spellEnd"/>
      <w:r w:rsidRPr="009C71AD">
        <w:rPr>
          <w:rFonts w:ascii="Arial" w:hAnsi="Arial" w:cs="Arial"/>
          <w:sz w:val="22"/>
          <w:szCs w:val="22"/>
        </w:rPr>
        <w:t xml:space="preserve"> Toledo Peral y la Consejera Presidenta,</w:t>
      </w:r>
      <w:r w:rsidR="00F40C77" w:rsidRPr="009C71AD">
        <w:rPr>
          <w:rFonts w:ascii="Arial" w:hAnsi="Arial" w:cs="Arial"/>
          <w:sz w:val="22"/>
          <w:szCs w:val="22"/>
        </w:rPr>
        <w:t xml:space="preserve"> Mtra. Elizabeth Nava Gutiérrez.</w:t>
      </w:r>
    </w:p>
    <w:p w14:paraId="22DEC2C4" w14:textId="77777777" w:rsidR="00695070" w:rsidRPr="009C71AD" w:rsidRDefault="00695070" w:rsidP="00695070">
      <w:pPr>
        <w:spacing w:line="264" w:lineRule="auto"/>
        <w:rPr>
          <w:rFonts w:ascii="Arial" w:hAnsi="Arial" w:cs="Arial"/>
          <w:sz w:val="22"/>
          <w:szCs w:val="22"/>
        </w:rPr>
      </w:pPr>
    </w:p>
    <w:p w14:paraId="56E2B118" w14:textId="3C3E38F8" w:rsidR="00695070" w:rsidRPr="009C71AD" w:rsidRDefault="00695070" w:rsidP="00695070">
      <w:pPr>
        <w:spacing w:line="264" w:lineRule="auto"/>
        <w:rPr>
          <w:rFonts w:ascii="Arial" w:hAnsi="Arial" w:cs="Arial"/>
          <w:sz w:val="22"/>
          <w:szCs w:val="22"/>
        </w:rPr>
      </w:pPr>
      <w:bookmarkStart w:id="1" w:name="_GoBack"/>
      <w:bookmarkEnd w:id="1"/>
    </w:p>
    <w:p w14:paraId="3F2FB1AC" w14:textId="77777777" w:rsidR="009A5E90" w:rsidRPr="009C71AD" w:rsidRDefault="009A5E90" w:rsidP="00695070">
      <w:pPr>
        <w:spacing w:line="264" w:lineRule="auto"/>
        <w:rPr>
          <w:rFonts w:ascii="Arial" w:hAnsi="Arial" w:cs="Arial"/>
          <w:sz w:val="22"/>
          <w:szCs w:val="22"/>
        </w:rPr>
      </w:pPr>
    </w:p>
    <w:tbl>
      <w:tblPr>
        <w:tblStyle w:val="Tablaconcuadrcula"/>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1"/>
        <w:gridCol w:w="250"/>
        <w:gridCol w:w="4452"/>
      </w:tblGrid>
      <w:tr w:rsidR="00695070" w:rsidRPr="009C71AD" w14:paraId="220AF04E" w14:textId="77777777" w:rsidTr="009A5E90">
        <w:trPr>
          <w:trHeight w:val="931"/>
        </w:trPr>
        <w:tc>
          <w:tcPr>
            <w:tcW w:w="4651" w:type="dxa"/>
          </w:tcPr>
          <w:p w14:paraId="51B0C208" w14:textId="22D6B0F6" w:rsidR="00695070" w:rsidRPr="009C71AD" w:rsidRDefault="009A5E90" w:rsidP="00211351">
            <w:pPr>
              <w:spacing w:before="0" w:after="0" w:line="264" w:lineRule="auto"/>
              <w:jc w:val="center"/>
              <w:rPr>
                <w:rFonts w:ascii="Arial" w:hAnsi="Arial" w:cs="Arial"/>
                <w:b/>
                <w:bCs/>
                <w:sz w:val="22"/>
                <w:szCs w:val="22"/>
              </w:rPr>
            </w:pPr>
            <w:r w:rsidRPr="009C71AD">
              <w:rPr>
                <w:rFonts w:ascii="Arial" w:hAnsi="Arial" w:cs="Arial"/>
                <w:b/>
                <w:bCs/>
                <w:sz w:val="22"/>
                <w:szCs w:val="22"/>
              </w:rPr>
              <w:t xml:space="preserve">MTRA. ELIZABETH NAVA </w:t>
            </w:r>
            <w:r w:rsidR="00695070" w:rsidRPr="009C71AD">
              <w:rPr>
                <w:rFonts w:ascii="Arial" w:hAnsi="Arial" w:cs="Arial"/>
                <w:b/>
                <w:bCs/>
                <w:sz w:val="22"/>
                <w:szCs w:val="22"/>
              </w:rPr>
              <w:t>GUTIÉRREZ</w:t>
            </w:r>
          </w:p>
          <w:p w14:paraId="05107E5B" w14:textId="77777777" w:rsidR="00695070" w:rsidRPr="009C71AD" w:rsidRDefault="00695070" w:rsidP="00211351">
            <w:pPr>
              <w:spacing w:before="0" w:after="0" w:line="264" w:lineRule="auto"/>
              <w:jc w:val="center"/>
              <w:rPr>
                <w:rFonts w:ascii="Arial" w:hAnsi="Arial" w:cs="Arial"/>
                <w:b/>
                <w:bCs/>
                <w:sz w:val="22"/>
                <w:szCs w:val="22"/>
              </w:rPr>
            </w:pPr>
            <w:r w:rsidRPr="009C71AD">
              <w:rPr>
                <w:rFonts w:ascii="Arial" w:hAnsi="Arial" w:cs="Arial"/>
                <w:b/>
                <w:bCs/>
                <w:sz w:val="22"/>
                <w:szCs w:val="22"/>
              </w:rPr>
              <w:t>CONSEJERA PRESIDENTA</w:t>
            </w:r>
          </w:p>
        </w:tc>
        <w:tc>
          <w:tcPr>
            <w:tcW w:w="250" w:type="dxa"/>
          </w:tcPr>
          <w:p w14:paraId="64CC2D8B" w14:textId="77777777" w:rsidR="00695070" w:rsidRPr="009C71AD" w:rsidRDefault="00695070" w:rsidP="00211351">
            <w:pPr>
              <w:spacing w:before="0" w:after="0" w:line="264" w:lineRule="auto"/>
              <w:rPr>
                <w:rFonts w:ascii="Arial" w:hAnsi="Arial" w:cs="Arial"/>
                <w:b/>
                <w:bCs/>
                <w:sz w:val="22"/>
                <w:szCs w:val="22"/>
              </w:rPr>
            </w:pPr>
          </w:p>
        </w:tc>
        <w:tc>
          <w:tcPr>
            <w:tcW w:w="4452" w:type="dxa"/>
          </w:tcPr>
          <w:p w14:paraId="07FC0817" w14:textId="77777777" w:rsidR="00695070" w:rsidRPr="009C71AD" w:rsidRDefault="00695070" w:rsidP="00211351">
            <w:pPr>
              <w:spacing w:before="0" w:after="0" w:line="264" w:lineRule="auto"/>
              <w:jc w:val="center"/>
              <w:rPr>
                <w:rFonts w:ascii="Arial" w:hAnsi="Arial" w:cs="Arial"/>
                <w:b/>
                <w:bCs/>
                <w:sz w:val="22"/>
                <w:szCs w:val="22"/>
              </w:rPr>
            </w:pPr>
            <w:r w:rsidRPr="009C71AD">
              <w:rPr>
                <w:rFonts w:ascii="Arial" w:hAnsi="Arial" w:cs="Arial"/>
                <w:b/>
                <w:bCs/>
                <w:sz w:val="22"/>
                <w:szCs w:val="22"/>
              </w:rPr>
              <w:t>LIC. JORGE ALBERTO ZAVALA FRÍAS</w:t>
            </w:r>
          </w:p>
          <w:p w14:paraId="6ACEFE9E" w14:textId="77777777" w:rsidR="00695070" w:rsidRPr="009C71AD" w:rsidRDefault="00695070" w:rsidP="00211351">
            <w:pPr>
              <w:spacing w:before="0" w:after="0" w:line="264" w:lineRule="auto"/>
              <w:jc w:val="center"/>
              <w:rPr>
                <w:rFonts w:ascii="Arial" w:hAnsi="Arial" w:cs="Arial"/>
                <w:b/>
                <w:bCs/>
                <w:sz w:val="22"/>
                <w:szCs w:val="22"/>
              </w:rPr>
            </w:pPr>
            <w:r w:rsidRPr="009C71AD">
              <w:rPr>
                <w:rFonts w:ascii="Arial" w:hAnsi="Arial" w:cs="Arial"/>
                <w:b/>
                <w:bCs/>
                <w:sz w:val="22"/>
                <w:szCs w:val="22"/>
              </w:rPr>
              <w:t>SECRETARIO DEL CONSEJO</w:t>
            </w:r>
          </w:p>
        </w:tc>
      </w:tr>
    </w:tbl>
    <w:p w14:paraId="7D3B816F" w14:textId="77777777" w:rsidR="00695070" w:rsidRPr="009C71AD" w:rsidRDefault="00695070" w:rsidP="00695070">
      <w:pPr>
        <w:rPr>
          <w:rFonts w:ascii="Arial" w:hAnsi="Arial" w:cs="Arial"/>
          <w:sz w:val="22"/>
          <w:szCs w:val="22"/>
        </w:rPr>
      </w:pPr>
    </w:p>
    <w:sectPr w:rsidR="00695070" w:rsidRPr="009C71AD" w:rsidSect="009C71AD">
      <w:headerReference w:type="default" r:id="rId7"/>
      <w:footerReference w:type="default" r:id="rId8"/>
      <w:pgSz w:w="12240" w:h="15840" w:code="1"/>
      <w:pgMar w:top="3103" w:right="2034"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741A" w14:textId="77777777" w:rsidR="00850C11" w:rsidRDefault="00850C11" w:rsidP="00695070">
      <w:pPr>
        <w:spacing w:before="0" w:after="0" w:line="240" w:lineRule="auto"/>
      </w:pPr>
      <w:r>
        <w:separator/>
      </w:r>
    </w:p>
  </w:endnote>
  <w:endnote w:type="continuationSeparator" w:id="0">
    <w:p w14:paraId="7E8F7234" w14:textId="77777777" w:rsidR="00850C11" w:rsidRDefault="00850C11" w:rsidP="006950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8D07C3BE-D1FD-41E7-8C56-5BBBBDFBB015}"/>
    <w:embedBold r:id="rId2" w:fontKey="{DFB5EBCC-ABF2-46DC-A459-9541E75E60DD}"/>
    <w:embedItalic r:id="rId3" w:fontKey="{E302E2F4-B613-46F5-B3F5-715885496CC4}"/>
  </w:font>
  <w:font w:name="Exo">
    <w:altName w:val="Times New Roman"/>
    <w:charset w:val="00"/>
    <w:family w:val="auto"/>
    <w:pitch w:val="variable"/>
    <w:sig w:usb0="00000001" w:usb1="4000204B" w:usb2="00000000" w:usb3="00000000" w:csb0="00000193" w:csb1="00000000"/>
  </w:font>
  <w:font w:name="Aptos Display">
    <w:charset w:val="00"/>
    <w:family w:val="swiss"/>
    <w:pitch w:val="variable"/>
    <w:sig w:usb0="20000287" w:usb1="00000003" w:usb2="00000000" w:usb3="00000000" w:csb0="0000019F" w:csb1="00000000"/>
    <w:embedRegular r:id="rId4" w:fontKey="{3DDCB040-F3B7-4296-B095-D1E6D60547A4}"/>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13671062"/>
      <w:docPartObj>
        <w:docPartGallery w:val="Page Numbers (Top of Page)"/>
        <w:docPartUnique/>
      </w:docPartObj>
    </w:sdtPr>
    <w:sdtEndPr/>
    <w:sdtContent>
      <w:p w14:paraId="16AD501D" w14:textId="5F5092D8" w:rsidR="00695070" w:rsidRPr="009C71AD" w:rsidRDefault="00695070" w:rsidP="00695070">
        <w:pPr>
          <w:pStyle w:val="Piedepgina"/>
          <w:jc w:val="right"/>
          <w:rPr>
            <w:rFonts w:ascii="Arial" w:hAnsi="Arial" w:cs="Arial"/>
            <w:color w:val="993366"/>
            <w:sz w:val="20"/>
            <w:szCs w:val="20"/>
          </w:rPr>
        </w:pPr>
        <w:r w:rsidRPr="009C71AD">
          <w:rPr>
            <w:rFonts w:ascii="Arial" w:hAnsi="Arial" w:cs="Arial"/>
            <w:b/>
            <w:bCs/>
            <w:color w:val="993366"/>
          </w:rPr>
          <w:t xml:space="preserve">Página </w:t>
        </w:r>
        <w:r w:rsidRPr="009C71AD">
          <w:rPr>
            <w:rFonts w:ascii="Arial" w:hAnsi="Arial" w:cs="Arial"/>
            <w:b/>
            <w:bCs/>
            <w:color w:val="993366"/>
          </w:rPr>
          <w:fldChar w:fldCharType="begin"/>
        </w:r>
        <w:r w:rsidRPr="009C71AD">
          <w:rPr>
            <w:rFonts w:ascii="Arial" w:hAnsi="Arial" w:cs="Arial"/>
            <w:b/>
            <w:bCs/>
            <w:color w:val="993366"/>
          </w:rPr>
          <w:instrText>PAGE</w:instrText>
        </w:r>
        <w:r w:rsidRPr="009C71AD">
          <w:rPr>
            <w:rFonts w:ascii="Arial" w:hAnsi="Arial" w:cs="Arial"/>
            <w:b/>
            <w:bCs/>
            <w:color w:val="993366"/>
          </w:rPr>
          <w:fldChar w:fldCharType="separate"/>
        </w:r>
        <w:r w:rsidR="009C71AD">
          <w:rPr>
            <w:rFonts w:ascii="Arial" w:hAnsi="Arial" w:cs="Arial"/>
            <w:b/>
            <w:bCs/>
            <w:noProof/>
            <w:color w:val="993366"/>
          </w:rPr>
          <w:t>13</w:t>
        </w:r>
        <w:r w:rsidRPr="009C71AD">
          <w:rPr>
            <w:rFonts w:ascii="Arial" w:hAnsi="Arial" w:cs="Arial"/>
            <w:b/>
            <w:bCs/>
            <w:color w:val="993366"/>
          </w:rPr>
          <w:fldChar w:fldCharType="end"/>
        </w:r>
        <w:r w:rsidRPr="009C71AD">
          <w:rPr>
            <w:rFonts w:ascii="Arial" w:hAnsi="Arial" w:cs="Arial"/>
            <w:b/>
            <w:bCs/>
            <w:color w:val="993366"/>
          </w:rPr>
          <w:t xml:space="preserve"> | </w:t>
        </w:r>
        <w:r w:rsidRPr="009C71AD">
          <w:rPr>
            <w:rFonts w:ascii="Arial" w:hAnsi="Arial" w:cs="Arial"/>
            <w:b/>
            <w:bCs/>
            <w:color w:val="993366"/>
          </w:rPr>
          <w:fldChar w:fldCharType="begin"/>
        </w:r>
        <w:r w:rsidRPr="009C71AD">
          <w:rPr>
            <w:rFonts w:ascii="Arial" w:hAnsi="Arial" w:cs="Arial"/>
            <w:b/>
            <w:bCs/>
            <w:color w:val="993366"/>
          </w:rPr>
          <w:instrText>NUMPAGES</w:instrText>
        </w:r>
        <w:r w:rsidRPr="009C71AD">
          <w:rPr>
            <w:rFonts w:ascii="Arial" w:hAnsi="Arial" w:cs="Arial"/>
            <w:b/>
            <w:bCs/>
            <w:color w:val="993366"/>
          </w:rPr>
          <w:fldChar w:fldCharType="separate"/>
        </w:r>
        <w:r w:rsidR="009C71AD">
          <w:rPr>
            <w:rFonts w:ascii="Arial" w:hAnsi="Arial" w:cs="Arial"/>
            <w:b/>
            <w:bCs/>
            <w:noProof/>
            <w:color w:val="993366"/>
          </w:rPr>
          <w:t>13</w:t>
        </w:r>
        <w:r w:rsidRPr="009C71AD">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CC1E" w14:textId="77777777" w:rsidR="00850C11" w:rsidRDefault="00850C11" w:rsidP="00695070">
      <w:pPr>
        <w:spacing w:before="0" w:after="0" w:line="240" w:lineRule="auto"/>
      </w:pPr>
      <w:r>
        <w:separator/>
      </w:r>
    </w:p>
  </w:footnote>
  <w:footnote w:type="continuationSeparator" w:id="0">
    <w:p w14:paraId="45223FF1" w14:textId="77777777" w:rsidR="00850C11" w:rsidRDefault="00850C11" w:rsidP="006950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695070" w14:paraId="40E069AF" w14:textId="77777777" w:rsidTr="00211351">
      <w:tc>
        <w:tcPr>
          <w:tcW w:w="1813" w:type="dxa"/>
        </w:tcPr>
        <w:p w14:paraId="4A1745C1" w14:textId="77777777" w:rsidR="00695070" w:rsidRDefault="00695070" w:rsidP="00695070">
          <w:pPr>
            <w:pStyle w:val="Encabezado"/>
          </w:pPr>
          <w:r>
            <w:rPr>
              <w:b/>
              <w:noProof/>
              <w:sz w:val="32"/>
              <w:lang w:val="es-MX" w:eastAsia="es-MX"/>
            </w:rPr>
            <w:drawing>
              <wp:inline distT="0" distB="0" distL="0" distR="0" wp14:anchorId="7C433D35" wp14:editId="3A9003E7">
                <wp:extent cx="1014331" cy="1199403"/>
                <wp:effectExtent l="0" t="0" r="0" b="1270"/>
                <wp:docPr id="35" name="Imagen 3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79DBC976" w14:textId="77777777" w:rsidR="00695070" w:rsidRPr="00B33A23" w:rsidRDefault="00695070" w:rsidP="00695070">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7FCCB796" w14:textId="77777777" w:rsidR="00695070" w:rsidRDefault="00695070" w:rsidP="00695070">
          <w:pPr>
            <w:pStyle w:val="Encabezado"/>
            <w:spacing w:before="60"/>
            <w:jc w:val="center"/>
          </w:pPr>
          <w:r w:rsidRPr="00B33A23">
            <w:rPr>
              <w:rFonts w:ascii="Arial" w:hAnsi="Arial" w:cs="Arial"/>
              <w:b/>
              <w:bCs/>
              <w:sz w:val="28"/>
              <w:szCs w:val="28"/>
            </w:rPr>
            <w:t>CONSEJO ESTATAL</w:t>
          </w:r>
        </w:p>
      </w:tc>
      <w:tc>
        <w:tcPr>
          <w:tcW w:w="1560" w:type="dxa"/>
        </w:tcPr>
        <w:p w14:paraId="6BAC0248" w14:textId="77777777" w:rsidR="00695070" w:rsidRDefault="00695070" w:rsidP="00695070">
          <w:pPr>
            <w:pStyle w:val="Encabezado"/>
            <w:spacing w:before="480"/>
            <w:jc w:val="right"/>
          </w:pPr>
          <w:r>
            <w:rPr>
              <w:noProof/>
              <w:lang w:val="es-MX" w:eastAsia="es-MX"/>
            </w:rPr>
            <w:drawing>
              <wp:inline distT="0" distB="0" distL="0" distR="0" wp14:anchorId="41F29341" wp14:editId="1207F264">
                <wp:extent cx="921600" cy="756000"/>
                <wp:effectExtent l="0" t="0" r="0" b="6350"/>
                <wp:docPr id="3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856A545" w14:textId="13E375BE" w:rsidR="00695070" w:rsidRPr="001A53BD" w:rsidRDefault="001A53BD" w:rsidP="001A53BD">
    <w:pPr>
      <w:pStyle w:val="Encabezado"/>
      <w:jc w:val="right"/>
      <w:rPr>
        <w:rFonts w:ascii="Arial" w:hAnsi="Arial" w:cs="Arial"/>
        <w:b/>
      </w:rPr>
    </w:pPr>
    <w:r w:rsidRPr="001A53BD">
      <w:rPr>
        <w:rFonts w:ascii="Arial" w:hAnsi="Arial" w:cs="Arial"/>
        <w:b/>
      </w:rPr>
      <w:t>CE</w:t>
    </w:r>
    <w:r w:rsidR="00B80800">
      <w:rPr>
        <w:rFonts w:ascii="Arial" w:hAnsi="Arial" w:cs="Arial"/>
        <w:b/>
      </w:rPr>
      <w:t>/</w:t>
    </w:r>
    <w:r w:rsidRPr="001A53BD">
      <w:rPr>
        <w:rFonts w:ascii="Arial" w:hAnsi="Arial" w:cs="Arial"/>
        <w:b/>
      </w:rPr>
      <w:t>2025</w:t>
    </w:r>
    <w:r w:rsidR="00B80800">
      <w:rPr>
        <w:rFonts w:ascii="Arial" w:hAnsi="Arial" w:cs="Arial"/>
        <w:b/>
      </w:rPr>
      <w:t>/</w:t>
    </w:r>
    <w:r w:rsidRPr="001A53BD">
      <w:rPr>
        <w:rFonts w:ascii="Arial" w:hAnsi="Arial" w:cs="Arial"/>
        <w:b/>
      </w:rPr>
      <w:t>049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B5AA5"/>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EA"/>
    <w:rsid w:val="00050E77"/>
    <w:rsid w:val="0009687A"/>
    <w:rsid w:val="001A53BD"/>
    <w:rsid w:val="001D02F1"/>
    <w:rsid w:val="001D3632"/>
    <w:rsid w:val="00200627"/>
    <w:rsid w:val="00447B0D"/>
    <w:rsid w:val="004677C8"/>
    <w:rsid w:val="005202A5"/>
    <w:rsid w:val="00695070"/>
    <w:rsid w:val="007A0B63"/>
    <w:rsid w:val="007A42FD"/>
    <w:rsid w:val="00850C11"/>
    <w:rsid w:val="00926AE6"/>
    <w:rsid w:val="009A5E90"/>
    <w:rsid w:val="009C71AD"/>
    <w:rsid w:val="00A37BC3"/>
    <w:rsid w:val="00B80800"/>
    <w:rsid w:val="00BC425F"/>
    <w:rsid w:val="00BD7D00"/>
    <w:rsid w:val="00C46FA7"/>
    <w:rsid w:val="00C55123"/>
    <w:rsid w:val="00CF13F5"/>
    <w:rsid w:val="00DF0DF4"/>
    <w:rsid w:val="00E52D93"/>
    <w:rsid w:val="00E933EA"/>
    <w:rsid w:val="00F40C77"/>
    <w:rsid w:val="00F51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5062"/>
  <w15:chartTrackingRefBased/>
  <w15:docId w15:val="{92748098-6E4E-4E79-8998-699327C6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3EA"/>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E933EA"/>
    <w:pPr>
      <w:keepNext/>
      <w:keepLines/>
      <w:numPr>
        <w:numId w:val="3"/>
      </w:numPr>
      <w:spacing w:before="600" w:after="360" w:line="264" w:lineRule="auto"/>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E933EA"/>
    <w:pPr>
      <w:keepNext/>
      <w:keepLines/>
      <w:numPr>
        <w:ilvl w:val="1"/>
        <w:numId w:val="3"/>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E933EA"/>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3EA"/>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3EA"/>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3EA"/>
    <w:pPr>
      <w:keepNext/>
      <w:keepLines/>
      <w:numPr>
        <w:ilvl w:val="5"/>
        <w:numId w:val="3"/>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3EA"/>
    <w:pPr>
      <w:keepNext/>
      <w:keepLines/>
      <w:numPr>
        <w:ilvl w:val="6"/>
        <w:numId w:val="3"/>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3EA"/>
    <w:pPr>
      <w:keepNext/>
      <w:keepLines/>
      <w:numPr>
        <w:ilvl w:val="7"/>
        <w:numId w:val="3"/>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3EA"/>
    <w:pPr>
      <w:keepNext/>
      <w:keepLines/>
      <w:numPr>
        <w:ilvl w:val="8"/>
        <w:numId w:val="3"/>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3EA"/>
    <w:rPr>
      <w:rFonts w:ascii="Exo" w:eastAsiaTheme="majorEastAsia" w:hAnsi="Exo" w:cstheme="majorBidi"/>
      <w:b/>
      <w:bCs/>
      <w:color w:val="0F4761" w:themeColor="accent1" w:themeShade="BF"/>
      <w:sz w:val="28"/>
      <w:szCs w:val="28"/>
      <w:lang w:val="es-ES"/>
    </w:rPr>
  </w:style>
  <w:style w:type="character" w:customStyle="1" w:styleId="Ttulo2Car">
    <w:name w:val="Título 2 Car"/>
    <w:basedOn w:val="Fuentedeprrafopredeter"/>
    <w:link w:val="Ttulo2"/>
    <w:uiPriority w:val="9"/>
    <w:rsid w:val="00E933EA"/>
    <w:rPr>
      <w:rFonts w:ascii="Exo" w:eastAsiaTheme="majorEastAsia" w:hAnsi="Exo" w:cstheme="majorBidi"/>
      <w:b/>
      <w:bCs/>
      <w:color w:val="0F4761" w:themeColor="accent1" w:themeShade="BF"/>
      <w:lang w:val="es-ES"/>
    </w:rPr>
  </w:style>
  <w:style w:type="character" w:customStyle="1" w:styleId="Ttulo3Car">
    <w:name w:val="Título 3 Car"/>
    <w:basedOn w:val="Fuentedeprrafopredeter"/>
    <w:link w:val="Ttulo3"/>
    <w:uiPriority w:val="9"/>
    <w:semiHidden/>
    <w:rsid w:val="00E933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33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33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33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3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3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3EA"/>
    <w:rPr>
      <w:rFonts w:eastAsiaTheme="majorEastAsia" w:cstheme="majorBidi"/>
      <w:color w:val="272727" w:themeColor="text1" w:themeTint="D8"/>
    </w:rPr>
  </w:style>
  <w:style w:type="paragraph" w:styleId="Ttulo">
    <w:name w:val="Title"/>
    <w:basedOn w:val="Normal"/>
    <w:next w:val="Normal"/>
    <w:link w:val="TtuloCar"/>
    <w:uiPriority w:val="10"/>
    <w:qFormat/>
    <w:rsid w:val="00E93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3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3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3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3EA"/>
    <w:pPr>
      <w:spacing w:before="160"/>
      <w:jc w:val="center"/>
    </w:pPr>
    <w:rPr>
      <w:i/>
      <w:iCs/>
      <w:color w:val="404040" w:themeColor="text1" w:themeTint="BF"/>
    </w:rPr>
  </w:style>
  <w:style w:type="character" w:customStyle="1" w:styleId="CitaCar">
    <w:name w:val="Cita Car"/>
    <w:basedOn w:val="Fuentedeprrafopredeter"/>
    <w:link w:val="Cita"/>
    <w:uiPriority w:val="29"/>
    <w:rsid w:val="00E933EA"/>
    <w:rPr>
      <w:i/>
      <w:iCs/>
      <w:color w:val="404040" w:themeColor="text1" w:themeTint="BF"/>
    </w:rPr>
  </w:style>
  <w:style w:type="paragraph" w:styleId="Prrafodelista">
    <w:name w:val="List Paragraph"/>
    <w:basedOn w:val="Normal"/>
    <w:uiPriority w:val="34"/>
    <w:qFormat/>
    <w:rsid w:val="00E933EA"/>
    <w:pPr>
      <w:ind w:left="720"/>
      <w:contextualSpacing/>
    </w:pPr>
  </w:style>
  <w:style w:type="character" w:styleId="nfasisintenso">
    <w:name w:val="Intense Emphasis"/>
    <w:basedOn w:val="Fuentedeprrafopredeter"/>
    <w:uiPriority w:val="21"/>
    <w:qFormat/>
    <w:rsid w:val="00E933EA"/>
    <w:rPr>
      <w:i/>
      <w:iCs/>
      <w:color w:val="0F4761" w:themeColor="accent1" w:themeShade="BF"/>
    </w:rPr>
  </w:style>
  <w:style w:type="paragraph" w:styleId="Citadestacada">
    <w:name w:val="Intense Quote"/>
    <w:basedOn w:val="Normal"/>
    <w:next w:val="Normal"/>
    <w:link w:val="CitadestacadaCar"/>
    <w:uiPriority w:val="30"/>
    <w:qFormat/>
    <w:rsid w:val="00E9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3EA"/>
    <w:rPr>
      <w:i/>
      <w:iCs/>
      <w:color w:val="0F4761" w:themeColor="accent1" w:themeShade="BF"/>
    </w:rPr>
  </w:style>
  <w:style w:type="character" w:styleId="Referenciaintensa">
    <w:name w:val="Intense Reference"/>
    <w:basedOn w:val="Fuentedeprrafopredeter"/>
    <w:uiPriority w:val="32"/>
    <w:qFormat/>
    <w:rsid w:val="00E933EA"/>
    <w:rPr>
      <w:b/>
      <w:bCs/>
      <w:smallCaps/>
      <w:color w:val="0F4761" w:themeColor="accent1" w:themeShade="BF"/>
      <w:spacing w:val="5"/>
    </w:rPr>
  </w:style>
  <w:style w:type="table" w:styleId="Tablaconcuadrcula">
    <w:name w:val="Table Grid"/>
    <w:basedOn w:val="Tablanormal"/>
    <w:uiPriority w:val="39"/>
    <w:rsid w:val="0069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507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95070"/>
    <w:rPr>
      <w:rFonts w:ascii="Exo" w:hAnsi="Exo"/>
      <w:lang w:val="es-ES"/>
    </w:rPr>
  </w:style>
  <w:style w:type="paragraph" w:styleId="Piedepgina">
    <w:name w:val="footer"/>
    <w:basedOn w:val="Normal"/>
    <w:link w:val="PiedepginaCar"/>
    <w:uiPriority w:val="99"/>
    <w:unhideWhenUsed/>
    <w:rsid w:val="0069507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95070"/>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4005</Words>
  <Characters>22033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17</cp:revision>
  <dcterms:created xsi:type="dcterms:W3CDTF">2025-04-16T00:17:00Z</dcterms:created>
  <dcterms:modified xsi:type="dcterms:W3CDTF">2025-04-22T23:44:00Z</dcterms:modified>
</cp:coreProperties>
</file>