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35A5" w14:textId="24813323" w:rsidR="009A12E9" w:rsidRPr="002D5F88" w:rsidRDefault="002D5F88" w:rsidP="009C2F84">
      <w:pPr>
        <w:spacing w:line="264" w:lineRule="auto"/>
        <w:rPr>
          <w:rFonts w:ascii="Arial" w:hAnsi="Arial" w:cs="Arial"/>
          <w:b/>
          <w:bCs/>
        </w:rPr>
      </w:pPr>
      <w:r w:rsidRPr="002D5F88">
        <w:rPr>
          <w:rFonts w:ascii="Arial" w:hAnsi="Arial" w:cs="Arial"/>
          <w:b/>
          <w:bCs/>
        </w:rPr>
        <w:t>ACUERDO QUE, A PROPUESTA DE LA COMISIÓN PERMANENTE DE ORGANIZACIÓN ELECTORAL Y EDUCACIÓN CÍVICA, EMITE EL CONSEJO ESTATAL DEL INSTITUTO ELECTORAL Y DE PARTICIPACIÓN CIUDADANA DE TABASCO POR EL QUE APRUEBA EL  PROCEDIMIENTO DE RECEPCIÓN, EMBARQUE, TRASLADO, DISTRIBUCIÓN Y CUSTODIA DE LA DOCUMENTACIÓN Y MATERIAL ELECTORAL A LOS 16 DISTRITOS JUDICIALES ELECTORALES LOCALES CON MOTIVO DEL PROCESO ELECTORAL LOCAL EXTRAORDINARIO PARA PERSONAS JUZGADORAS DEL PODER JUDICIAL DEL ESTADO DE TABASCO 2024-2025</w:t>
      </w:r>
    </w:p>
    <w:p w14:paraId="5BDB324B"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E35791" w:rsidRPr="002D5F88" w14:paraId="32B646BC" w14:textId="77777777" w:rsidTr="001704A8">
        <w:trPr>
          <w:trHeight w:val="624"/>
          <w:jc w:val="center"/>
        </w:trPr>
        <w:tc>
          <w:tcPr>
            <w:tcW w:w="2042" w:type="pct"/>
            <w:shd w:val="clear" w:color="auto" w:fill="auto"/>
            <w:vAlign w:val="center"/>
          </w:tcPr>
          <w:p w14:paraId="24273F16" w14:textId="03719420" w:rsidR="00EF6423" w:rsidRPr="002D5F88" w:rsidRDefault="00EF6423"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Comisión:</w:t>
            </w:r>
          </w:p>
        </w:tc>
        <w:tc>
          <w:tcPr>
            <w:tcW w:w="2958" w:type="pct"/>
            <w:shd w:val="clear" w:color="auto" w:fill="auto"/>
            <w:vAlign w:val="center"/>
          </w:tcPr>
          <w:p w14:paraId="10AC07DC" w14:textId="2E3A1768" w:rsidR="00EF6423" w:rsidRPr="002D5F88" w:rsidRDefault="00EF6423"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Comisión Permanente de Organización Electoral y Educación Cívica del Instituto Electoral y de Participación Ciudadana de Tabasco.</w:t>
            </w:r>
          </w:p>
        </w:tc>
      </w:tr>
      <w:tr w:rsidR="00E35791" w:rsidRPr="002D5F88" w14:paraId="7B6869C0" w14:textId="77777777" w:rsidTr="001704A8">
        <w:trPr>
          <w:trHeight w:val="624"/>
          <w:jc w:val="center"/>
        </w:trPr>
        <w:tc>
          <w:tcPr>
            <w:tcW w:w="2042" w:type="pct"/>
            <w:shd w:val="clear" w:color="auto" w:fill="auto"/>
            <w:vAlign w:val="center"/>
          </w:tcPr>
          <w:p w14:paraId="03255120" w14:textId="77777777" w:rsidR="009A12E9" w:rsidRPr="002D5F88" w:rsidRDefault="009A12E9" w:rsidP="009C2F84">
            <w:pPr>
              <w:widowControl w:val="0"/>
              <w:spacing w:before="120" w:after="120" w:line="264" w:lineRule="auto"/>
              <w:ind w:left="57"/>
              <w:jc w:val="right"/>
              <w:rPr>
                <w:rFonts w:ascii="Arial" w:hAnsi="Arial" w:cs="Arial"/>
                <w:b/>
                <w:sz w:val="20"/>
                <w:szCs w:val="20"/>
              </w:rPr>
            </w:pPr>
            <w:bookmarkStart w:id="0" w:name="_Hlk186652747"/>
            <w:r w:rsidRPr="002D5F88">
              <w:rPr>
                <w:rFonts w:ascii="Arial" w:hAnsi="Arial" w:cs="Arial"/>
                <w:b/>
                <w:sz w:val="20"/>
                <w:szCs w:val="20"/>
              </w:rPr>
              <w:t>Consejo Estatal:</w:t>
            </w:r>
          </w:p>
        </w:tc>
        <w:tc>
          <w:tcPr>
            <w:tcW w:w="2958" w:type="pct"/>
            <w:shd w:val="clear" w:color="auto" w:fill="auto"/>
            <w:vAlign w:val="center"/>
          </w:tcPr>
          <w:p w14:paraId="49A5DEFD"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Consejo Estatal del Instituto Electoral y de Participación Ciudadana de Tabasco.</w:t>
            </w:r>
          </w:p>
        </w:tc>
      </w:tr>
      <w:tr w:rsidR="00E35791" w:rsidRPr="002D5F88" w14:paraId="398928BB" w14:textId="77777777" w:rsidTr="001704A8">
        <w:trPr>
          <w:trHeight w:val="624"/>
          <w:jc w:val="center"/>
        </w:trPr>
        <w:tc>
          <w:tcPr>
            <w:tcW w:w="2042" w:type="pct"/>
            <w:shd w:val="clear" w:color="auto" w:fill="auto"/>
            <w:vAlign w:val="center"/>
          </w:tcPr>
          <w:p w14:paraId="6FADD36C"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Consejos Distritales:</w:t>
            </w:r>
          </w:p>
        </w:tc>
        <w:tc>
          <w:tcPr>
            <w:tcW w:w="2958" w:type="pct"/>
            <w:shd w:val="clear" w:color="auto" w:fill="auto"/>
            <w:vAlign w:val="center"/>
          </w:tcPr>
          <w:p w14:paraId="7A94CCFE"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Consejos Electorales Distritales del Instituto Electoral y de Participación Ciudadana de Tabasco.</w:t>
            </w:r>
          </w:p>
        </w:tc>
      </w:tr>
      <w:tr w:rsidR="00E35791" w:rsidRPr="002D5F88" w14:paraId="4A8729BC" w14:textId="77777777" w:rsidTr="001704A8">
        <w:trPr>
          <w:trHeight w:val="624"/>
          <w:jc w:val="center"/>
        </w:trPr>
        <w:tc>
          <w:tcPr>
            <w:tcW w:w="2042" w:type="pct"/>
            <w:shd w:val="clear" w:color="auto" w:fill="auto"/>
            <w:vAlign w:val="center"/>
          </w:tcPr>
          <w:p w14:paraId="5DEC5C88"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Constitución Federal:</w:t>
            </w:r>
          </w:p>
        </w:tc>
        <w:tc>
          <w:tcPr>
            <w:tcW w:w="2958" w:type="pct"/>
            <w:shd w:val="clear" w:color="auto" w:fill="auto"/>
            <w:vAlign w:val="center"/>
          </w:tcPr>
          <w:p w14:paraId="4FA6BC00"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Constitución Política de los Estados Unidos Mexicanos.</w:t>
            </w:r>
          </w:p>
        </w:tc>
      </w:tr>
      <w:tr w:rsidR="00E35791" w:rsidRPr="002D5F88" w14:paraId="50163B58" w14:textId="77777777" w:rsidTr="001704A8">
        <w:trPr>
          <w:trHeight w:val="624"/>
          <w:jc w:val="center"/>
        </w:trPr>
        <w:tc>
          <w:tcPr>
            <w:tcW w:w="2042" w:type="pct"/>
            <w:shd w:val="clear" w:color="auto" w:fill="auto"/>
            <w:vAlign w:val="center"/>
          </w:tcPr>
          <w:p w14:paraId="3E58F40E"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Constitución Local:</w:t>
            </w:r>
          </w:p>
        </w:tc>
        <w:tc>
          <w:tcPr>
            <w:tcW w:w="2958" w:type="pct"/>
            <w:shd w:val="clear" w:color="auto" w:fill="auto"/>
            <w:vAlign w:val="center"/>
          </w:tcPr>
          <w:p w14:paraId="75977FFE"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Constitución Política del Estado Libre y Soberano de Tabasco.</w:t>
            </w:r>
          </w:p>
        </w:tc>
      </w:tr>
      <w:tr w:rsidR="00E35791" w:rsidRPr="002D5F88" w14:paraId="3EAE726C" w14:textId="77777777" w:rsidTr="001704A8">
        <w:trPr>
          <w:trHeight w:val="624"/>
          <w:jc w:val="center"/>
        </w:trPr>
        <w:tc>
          <w:tcPr>
            <w:tcW w:w="2042" w:type="pct"/>
            <w:shd w:val="clear" w:color="auto" w:fill="auto"/>
            <w:vAlign w:val="center"/>
          </w:tcPr>
          <w:p w14:paraId="7FEF7369"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INE:</w:t>
            </w:r>
          </w:p>
        </w:tc>
        <w:tc>
          <w:tcPr>
            <w:tcW w:w="2958" w:type="pct"/>
            <w:shd w:val="clear" w:color="auto" w:fill="auto"/>
            <w:vAlign w:val="center"/>
          </w:tcPr>
          <w:p w14:paraId="202B782F"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Instituto Nacional Electoral.</w:t>
            </w:r>
          </w:p>
        </w:tc>
      </w:tr>
      <w:tr w:rsidR="00E35791" w:rsidRPr="002D5F88" w14:paraId="004E9FCA" w14:textId="77777777" w:rsidTr="001704A8">
        <w:trPr>
          <w:trHeight w:val="624"/>
          <w:jc w:val="center"/>
        </w:trPr>
        <w:tc>
          <w:tcPr>
            <w:tcW w:w="2042" w:type="pct"/>
            <w:shd w:val="clear" w:color="auto" w:fill="auto"/>
            <w:vAlign w:val="center"/>
          </w:tcPr>
          <w:p w14:paraId="456880C9"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Instituto:</w:t>
            </w:r>
          </w:p>
        </w:tc>
        <w:tc>
          <w:tcPr>
            <w:tcW w:w="2958" w:type="pct"/>
            <w:shd w:val="clear" w:color="auto" w:fill="auto"/>
          </w:tcPr>
          <w:p w14:paraId="552179E8"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Instituto Electoral y de Participación Ciudadana de Tabasco.</w:t>
            </w:r>
          </w:p>
        </w:tc>
      </w:tr>
      <w:tr w:rsidR="00E35791" w:rsidRPr="002D5F88" w14:paraId="1E9453DD" w14:textId="77777777" w:rsidTr="001704A8">
        <w:trPr>
          <w:trHeight w:val="624"/>
          <w:jc w:val="center"/>
        </w:trPr>
        <w:tc>
          <w:tcPr>
            <w:tcW w:w="2042" w:type="pct"/>
            <w:shd w:val="clear" w:color="auto" w:fill="auto"/>
            <w:vAlign w:val="center"/>
          </w:tcPr>
          <w:p w14:paraId="6354A813"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Ley Electoral:</w:t>
            </w:r>
          </w:p>
        </w:tc>
        <w:tc>
          <w:tcPr>
            <w:tcW w:w="2958" w:type="pct"/>
            <w:shd w:val="clear" w:color="auto" w:fill="auto"/>
            <w:vAlign w:val="center"/>
          </w:tcPr>
          <w:p w14:paraId="41C0DABD"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Ley Electoral y de Partidos Políticos del Estado de Tabasco.</w:t>
            </w:r>
          </w:p>
        </w:tc>
      </w:tr>
      <w:tr w:rsidR="00E35791" w:rsidRPr="002D5F88" w14:paraId="6812974E" w14:textId="77777777" w:rsidTr="001704A8">
        <w:trPr>
          <w:trHeight w:val="624"/>
          <w:jc w:val="center"/>
        </w:trPr>
        <w:tc>
          <w:tcPr>
            <w:tcW w:w="2042" w:type="pct"/>
            <w:shd w:val="clear" w:color="auto" w:fill="auto"/>
            <w:vAlign w:val="center"/>
          </w:tcPr>
          <w:p w14:paraId="3B61F889"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Ley General:</w:t>
            </w:r>
          </w:p>
        </w:tc>
        <w:tc>
          <w:tcPr>
            <w:tcW w:w="2958" w:type="pct"/>
            <w:shd w:val="clear" w:color="auto" w:fill="auto"/>
            <w:vAlign w:val="center"/>
          </w:tcPr>
          <w:p w14:paraId="388882E7"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Ley General de Instituciones y Procedimientos Electorales.</w:t>
            </w:r>
          </w:p>
        </w:tc>
      </w:tr>
      <w:tr w:rsidR="00E35791" w:rsidRPr="002D5F88" w14:paraId="0815ACD1" w14:textId="77777777" w:rsidTr="001704A8">
        <w:trPr>
          <w:trHeight w:val="624"/>
          <w:jc w:val="center"/>
        </w:trPr>
        <w:tc>
          <w:tcPr>
            <w:tcW w:w="2042" w:type="pct"/>
            <w:shd w:val="clear" w:color="auto" w:fill="auto"/>
            <w:vAlign w:val="center"/>
          </w:tcPr>
          <w:p w14:paraId="2C437ECD"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lastRenderedPageBreak/>
              <w:t>Organismo electoral:</w:t>
            </w:r>
          </w:p>
        </w:tc>
        <w:tc>
          <w:tcPr>
            <w:tcW w:w="2958" w:type="pct"/>
            <w:shd w:val="clear" w:color="auto" w:fill="auto"/>
            <w:vAlign w:val="center"/>
          </w:tcPr>
          <w:p w14:paraId="346454CB"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 xml:space="preserve">Organismo(s) público(s) local(es) electoral(es). </w:t>
            </w:r>
          </w:p>
        </w:tc>
      </w:tr>
      <w:tr w:rsidR="00E35791" w:rsidRPr="002D5F88" w14:paraId="40410DAB" w14:textId="77777777" w:rsidTr="001704A8">
        <w:trPr>
          <w:trHeight w:val="624"/>
          <w:jc w:val="center"/>
        </w:trPr>
        <w:tc>
          <w:tcPr>
            <w:tcW w:w="2042" w:type="pct"/>
            <w:shd w:val="clear" w:color="auto" w:fill="auto"/>
            <w:vAlign w:val="center"/>
          </w:tcPr>
          <w:p w14:paraId="429382D3" w14:textId="49F720C1"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Proceso Electoral Extraordinario:</w:t>
            </w:r>
          </w:p>
        </w:tc>
        <w:tc>
          <w:tcPr>
            <w:tcW w:w="2958" w:type="pct"/>
            <w:shd w:val="clear" w:color="auto" w:fill="auto"/>
            <w:vAlign w:val="center"/>
          </w:tcPr>
          <w:p w14:paraId="300EBBA2"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Proceso Electoral Local Extraordinario para personas juzgadoras del Poder Judicial del Estado de Tabasco 2024 – 2025.</w:t>
            </w:r>
          </w:p>
        </w:tc>
      </w:tr>
      <w:tr w:rsidR="00E35791" w:rsidRPr="002D5F88" w14:paraId="4D8B5C95" w14:textId="77777777" w:rsidTr="001704A8">
        <w:trPr>
          <w:trHeight w:val="624"/>
          <w:jc w:val="center"/>
        </w:trPr>
        <w:tc>
          <w:tcPr>
            <w:tcW w:w="2042" w:type="pct"/>
            <w:shd w:val="clear" w:color="auto" w:fill="auto"/>
            <w:vAlign w:val="center"/>
          </w:tcPr>
          <w:p w14:paraId="1AB62E78"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Reglamento de Elecciones:</w:t>
            </w:r>
          </w:p>
        </w:tc>
        <w:tc>
          <w:tcPr>
            <w:tcW w:w="2958" w:type="pct"/>
            <w:shd w:val="clear" w:color="auto" w:fill="auto"/>
            <w:vAlign w:val="center"/>
          </w:tcPr>
          <w:p w14:paraId="5A2160CC"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Reglamento de Elecciones del Instituto Nacional Electoral.</w:t>
            </w:r>
          </w:p>
        </w:tc>
      </w:tr>
      <w:tr w:rsidR="00E35791" w:rsidRPr="002D5F88" w14:paraId="06B21C70" w14:textId="77777777" w:rsidTr="001704A8">
        <w:trPr>
          <w:trHeight w:val="624"/>
          <w:jc w:val="center"/>
        </w:trPr>
        <w:tc>
          <w:tcPr>
            <w:tcW w:w="2042" w:type="pct"/>
            <w:shd w:val="clear" w:color="auto" w:fill="auto"/>
            <w:vAlign w:val="center"/>
          </w:tcPr>
          <w:p w14:paraId="766B9E3C" w14:textId="77777777" w:rsidR="009A12E9" w:rsidRPr="002D5F88" w:rsidRDefault="009A12E9" w:rsidP="009C2F84">
            <w:pPr>
              <w:widowControl w:val="0"/>
              <w:spacing w:before="120" w:after="120" w:line="264" w:lineRule="auto"/>
              <w:ind w:left="57"/>
              <w:jc w:val="right"/>
              <w:rPr>
                <w:rFonts w:ascii="Arial" w:hAnsi="Arial" w:cs="Arial"/>
                <w:b/>
                <w:sz w:val="20"/>
                <w:szCs w:val="20"/>
              </w:rPr>
            </w:pPr>
            <w:r w:rsidRPr="002D5F88">
              <w:rPr>
                <w:rFonts w:ascii="Arial" w:hAnsi="Arial" w:cs="Arial"/>
                <w:b/>
                <w:sz w:val="20"/>
                <w:szCs w:val="20"/>
              </w:rPr>
              <w:t>Secretaría Ejecutiva:</w:t>
            </w:r>
          </w:p>
        </w:tc>
        <w:tc>
          <w:tcPr>
            <w:tcW w:w="2958" w:type="pct"/>
            <w:shd w:val="clear" w:color="auto" w:fill="auto"/>
            <w:vAlign w:val="center"/>
          </w:tcPr>
          <w:p w14:paraId="19A26966" w14:textId="77777777" w:rsidR="009A12E9" w:rsidRPr="002D5F88" w:rsidRDefault="009A12E9" w:rsidP="009C2F84">
            <w:pPr>
              <w:widowControl w:val="0"/>
              <w:spacing w:before="120" w:after="120" w:line="264" w:lineRule="auto"/>
              <w:ind w:left="57"/>
              <w:rPr>
                <w:rFonts w:ascii="Arial" w:hAnsi="Arial" w:cs="Arial"/>
                <w:sz w:val="20"/>
                <w:szCs w:val="20"/>
              </w:rPr>
            </w:pPr>
            <w:r w:rsidRPr="002D5F88">
              <w:rPr>
                <w:rFonts w:ascii="Arial" w:hAnsi="Arial" w:cs="Arial"/>
                <w:sz w:val="20"/>
                <w:szCs w:val="20"/>
              </w:rPr>
              <w:t>Secretaría Ejecutiva del Instituto Electoral y de Participación Ciudadana de Tabasco.</w:t>
            </w:r>
          </w:p>
        </w:tc>
      </w:tr>
    </w:tbl>
    <w:bookmarkEnd w:id="0"/>
    <w:p w14:paraId="79F9B8DE" w14:textId="77777777" w:rsidR="009A12E9" w:rsidRPr="002D5F88" w:rsidRDefault="009A12E9" w:rsidP="009C2F84">
      <w:pPr>
        <w:pStyle w:val="Ttulo1"/>
        <w:spacing w:line="264" w:lineRule="auto"/>
        <w:rPr>
          <w:rFonts w:ascii="Arial" w:hAnsi="Arial" w:cs="Arial"/>
          <w:color w:val="auto"/>
          <w:sz w:val="24"/>
          <w:szCs w:val="24"/>
        </w:rPr>
      </w:pPr>
      <w:r w:rsidRPr="002D5F88">
        <w:rPr>
          <w:rFonts w:ascii="Arial" w:hAnsi="Arial" w:cs="Arial"/>
          <w:color w:val="auto"/>
          <w:sz w:val="24"/>
          <w:szCs w:val="24"/>
        </w:rPr>
        <w:t>Antecedentes</w:t>
      </w:r>
    </w:p>
    <w:p w14:paraId="7C362816"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Fines del Instituto</w:t>
      </w:r>
    </w:p>
    <w:p w14:paraId="44ACD58B"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5891195"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66746408"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w:t>
      </w:r>
      <w:r w:rsidRPr="002D5F88">
        <w:rPr>
          <w:rFonts w:ascii="Arial" w:hAnsi="Arial" w:cs="Arial"/>
          <w:sz w:val="22"/>
          <w:szCs w:val="22"/>
        </w:rPr>
        <w:lastRenderedPageBreak/>
        <w:t>y electoral, y organizar o coadyuvar a la realización de los ejercicios de consultas populares y demás formas de participación ciudadana.</w:t>
      </w:r>
    </w:p>
    <w:p w14:paraId="1A2E7E1F"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Integración del órgano superior de dirección</w:t>
      </w:r>
    </w:p>
    <w:p w14:paraId="04A91E5E"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6FEAAFA"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2F226D0"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EC7EC47"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Órganos centrales del Instituto</w:t>
      </w:r>
    </w:p>
    <w:p w14:paraId="46C03D27"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De acuerdo con el artículo 105 numeral 1 de la Ley Electoral los órganos centrales del Instituto son los siguientes:</w:t>
      </w:r>
    </w:p>
    <w:p w14:paraId="57F6E772" w14:textId="77777777" w:rsidR="009A12E9" w:rsidRPr="002D5F88" w:rsidRDefault="009A12E9" w:rsidP="009C2F84">
      <w:pPr>
        <w:pStyle w:val="Prrafodelista"/>
        <w:widowControl w:val="0"/>
        <w:numPr>
          <w:ilvl w:val="0"/>
          <w:numId w:val="2"/>
        </w:numPr>
        <w:spacing w:line="264" w:lineRule="auto"/>
        <w:ind w:left="703" w:hanging="703"/>
        <w:rPr>
          <w:rFonts w:ascii="Arial" w:hAnsi="Arial" w:cs="Arial"/>
          <w:sz w:val="22"/>
          <w:szCs w:val="22"/>
        </w:rPr>
      </w:pPr>
      <w:r w:rsidRPr="002D5F88">
        <w:rPr>
          <w:rFonts w:ascii="Arial" w:hAnsi="Arial" w:cs="Arial"/>
          <w:sz w:val="22"/>
          <w:szCs w:val="22"/>
        </w:rPr>
        <w:t>Consejo Estatal;</w:t>
      </w:r>
    </w:p>
    <w:p w14:paraId="3619D7EE" w14:textId="77777777" w:rsidR="009A12E9" w:rsidRPr="002D5F88" w:rsidRDefault="009A12E9" w:rsidP="009C2F84">
      <w:pPr>
        <w:pStyle w:val="Prrafodelista"/>
        <w:widowControl w:val="0"/>
        <w:numPr>
          <w:ilvl w:val="0"/>
          <w:numId w:val="2"/>
        </w:numPr>
        <w:spacing w:line="264" w:lineRule="auto"/>
        <w:ind w:left="703" w:hanging="703"/>
        <w:rPr>
          <w:rFonts w:ascii="Arial" w:hAnsi="Arial" w:cs="Arial"/>
          <w:sz w:val="22"/>
          <w:szCs w:val="22"/>
        </w:rPr>
      </w:pPr>
      <w:r w:rsidRPr="002D5F88">
        <w:rPr>
          <w:rFonts w:ascii="Arial" w:hAnsi="Arial" w:cs="Arial"/>
          <w:sz w:val="22"/>
          <w:szCs w:val="22"/>
        </w:rPr>
        <w:t>Presidencia del Consejo Estatal;</w:t>
      </w:r>
    </w:p>
    <w:p w14:paraId="187DA54C" w14:textId="77777777" w:rsidR="009A12E9" w:rsidRPr="002D5F88" w:rsidRDefault="009A12E9" w:rsidP="009C2F84">
      <w:pPr>
        <w:pStyle w:val="Prrafodelista"/>
        <w:widowControl w:val="0"/>
        <w:numPr>
          <w:ilvl w:val="0"/>
          <w:numId w:val="2"/>
        </w:numPr>
        <w:spacing w:line="264" w:lineRule="auto"/>
        <w:ind w:left="703" w:hanging="703"/>
        <w:rPr>
          <w:rFonts w:ascii="Arial" w:hAnsi="Arial" w:cs="Arial"/>
          <w:sz w:val="22"/>
          <w:szCs w:val="22"/>
        </w:rPr>
      </w:pPr>
      <w:r w:rsidRPr="002D5F88">
        <w:rPr>
          <w:rFonts w:ascii="Arial" w:hAnsi="Arial" w:cs="Arial"/>
          <w:sz w:val="22"/>
          <w:szCs w:val="22"/>
        </w:rPr>
        <w:t>Junta Estatal Ejecutiva;</w:t>
      </w:r>
    </w:p>
    <w:p w14:paraId="273B144D" w14:textId="77777777" w:rsidR="009A12E9" w:rsidRPr="002D5F88" w:rsidRDefault="009A12E9" w:rsidP="009C2F84">
      <w:pPr>
        <w:pStyle w:val="Prrafodelista"/>
        <w:widowControl w:val="0"/>
        <w:numPr>
          <w:ilvl w:val="0"/>
          <w:numId w:val="2"/>
        </w:numPr>
        <w:spacing w:line="264" w:lineRule="auto"/>
        <w:ind w:left="703" w:hanging="703"/>
        <w:rPr>
          <w:rFonts w:ascii="Arial" w:hAnsi="Arial" w:cs="Arial"/>
          <w:sz w:val="22"/>
          <w:szCs w:val="22"/>
        </w:rPr>
      </w:pPr>
      <w:r w:rsidRPr="002D5F88">
        <w:rPr>
          <w:rFonts w:ascii="Arial" w:hAnsi="Arial" w:cs="Arial"/>
          <w:sz w:val="22"/>
          <w:szCs w:val="22"/>
        </w:rPr>
        <w:t>Secretaría Ejecutiva, y</w:t>
      </w:r>
    </w:p>
    <w:p w14:paraId="20869096" w14:textId="77777777" w:rsidR="009A12E9" w:rsidRPr="002D5F88" w:rsidRDefault="009A12E9" w:rsidP="009C2F84">
      <w:pPr>
        <w:pStyle w:val="Prrafodelista"/>
        <w:widowControl w:val="0"/>
        <w:numPr>
          <w:ilvl w:val="0"/>
          <w:numId w:val="2"/>
        </w:numPr>
        <w:spacing w:line="264" w:lineRule="auto"/>
        <w:ind w:left="703" w:hanging="703"/>
        <w:rPr>
          <w:rFonts w:ascii="Arial" w:hAnsi="Arial" w:cs="Arial"/>
          <w:sz w:val="22"/>
          <w:szCs w:val="22"/>
        </w:rPr>
      </w:pPr>
      <w:r w:rsidRPr="002D5F88">
        <w:rPr>
          <w:rFonts w:ascii="Arial" w:hAnsi="Arial" w:cs="Arial"/>
          <w:sz w:val="22"/>
          <w:szCs w:val="22"/>
        </w:rPr>
        <w:t>Órgano Técnico de Fiscalización.</w:t>
      </w:r>
    </w:p>
    <w:p w14:paraId="65659053"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 xml:space="preserve">Reforma Constitucional </w:t>
      </w:r>
    </w:p>
    <w:p w14:paraId="045EA516"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w:t>
      </w:r>
      <w:r w:rsidRPr="002D5F88">
        <w:rPr>
          <w:rFonts w:ascii="Arial" w:hAnsi="Arial" w:cs="Arial"/>
          <w:sz w:val="22"/>
          <w:szCs w:val="22"/>
        </w:rPr>
        <w:lastRenderedPageBreak/>
        <w:t>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DEFE3CE"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3703331F"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Inicio del Proceso Electoral Extraordinario</w:t>
      </w:r>
    </w:p>
    <w:p w14:paraId="10CD0B93"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541BBAE"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Reforma a la Ley Electoral</w:t>
      </w:r>
    </w:p>
    <w:p w14:paraId="65C9BB4E"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04F9BC18" w14:textId="68423B29" w:rsidR="00BF6924" w:rsidRPr="002D5F88" w:rsidRDefault="00BF6924"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 xml:space="preserve">Directrices del INE </w:t>
      </w:r>
    </w:p>
    <w:p w14:paraId="6F7DD829" w14:textId="7BB19F89" w:rsidR="00BF6924" w:rsidRPr="002D5F88" w:rsidRDefault="00BF6924" w:rsidP="009C2F84">
      <w:pPr>
        <w:widowControl w:val="0"/>
        <w:spacing w:line="264" w:lineRule="auto"/>
        <w:rPr>
          <w:rFonts w:ascii="Arial" w:hAnsi="Arial" w:cs="Arial"/>
          <w:sz w:val="22"/>
          <w:szCs w:val="22"/>
        </w:rPr>
      </w:pPr>
      <w:r w:rsidRPr="002D5F88">
        <w:rPr>
          <w:rFonts w:ascii="Arial" w:hAnsi="Arial" w:cs="Arial"/>
          <w:sz w:val="22"/>
          <w:szCs w:val="22"/>
        </w:rPr>
        <w:t>El 30 de enero de 2025, el Consejo General del INE mediante acuerdo INE/CG52/2025 emitió las directrices generales para la organización de los procesos electorales de los poderes judiciales de las entidades federativas en el Proceso Electoral Extraordinario.</w:t>
      </w:r>
    </w:p>
    <w:p w14:paraId="5C58C3DB" w14:textId="4AEAFBA3" w:rsidR="00E13F7F" w:rsidRPr="002D5F88" w:rsidRDefault="00E13F7F"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lastRenderedPageBreak/>
        <w:t>Calendario electoral</w:t>
      </w:r>
    </w:p>
    <w:p w14:paraId="6FF1EE97" w14:textId="545E90EF" w:rsidR="00E13F7F" w:rsidRPr="002D5F88" w:rsidRDefault="00E13F7F" w:rsidP="009C2F84">
      <w:pPr>
        <w:widowControl w:val="0"/>
        <w:spacing w:line="264" w:lineRule="auto"/>
        <w:rPr>
          <w:rFonts w:ascii="Arial" w:hAnsi="Arial" w:cs="Arial"/>
          <w:sz w:val="22"/>
          <w:szCs w:val="22"/>
        </w:rPr>
      </w:pPr>
      <w:r w:rsidRPr="002D5F88">
        <w:rPr>
          <w:rFonts w:ascii="Arial" w:hAnsi="Arial" w:cs="Arial"/>
          <w:sz w:val="22"/>
          <w:szCs w:val="22"/>
        </w:rPr>
        <w:t>El 5 de marzo de 2025, el Consejo Estatal aprobó el acuerdo CE/2025/021 relativo al calendario electoral para el Proceso Electoral Extraordinario.</w:t>
      </w:r>
    </w:p>
    <w:p w14:paraId="0225F040" w14:textId="13D86105" w:rsidR="00E13F7F" w:rsidRPr="002D5F88" w:rsidRDefault="00E13F7F"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 xml:space="preserve">Convenio de Coordinación </w:t>
      </w:r>
    </w:p>
    <w:p w14:paraId="1A815B38" w14:textId="56F0AE79" w:rsidR="00E13F7F" w:rsidRPr="002D5F88" w:rsidRDefault="00E13F7F" w:rsidP="009C2F84">
      <w:pPr>
        <w:widowControl w:val="0"/>
        <w:spacing w:line="264" w:lineRule="auto"/>
        <w:rPr>
          <w:rFonts w:ascii="Arial" w:hAnsi="Arial" w:cs="Arial"/>
          <w:sz w:val="22"/>
          <w:szCs w:val="22"/>
        </w:rPr>
      </w:pPr>
      <w:r w:rsidRPr="002D5F88">
        <w:rPr>
          <w:rFonts w:ascii="Arial" w:hAnsi="Arial" w:cs="Arial"/>
          <w:sz w:val="22"/>
          <w:szCs w:val="22"/>
        </w:rPr>
        <w:t xml:space="preserve">El 14 de marzo de 2025, el INE y el Instituto suscribieron el Convenio General de Coordinación y Colaboración para establecer las bases de coordinación para hacer efectiva la realización del Proceso Electoral Extraordinario.   </w:t>
      </w:r>
    </w:p>
    <w:p w14:paraId="607AC73E"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Jornada electoral</w:t>
      </w:r>
    </w:p>
    <w:p w14:paraId="613A8C22"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6EDB724E" w14:textId="35FB311F" w:rsidR="00227089" w:rsidRPr="002D5F88" w:rsidRDefault="00227089" w:rsidP="00227089">
      <w:pPr>
        <w:pStyle w:val="Ttulo2"/>
        <w:rPr>
          <w:rFonts w:ascii="Arial" w:hAnsi="Arial" w:cs="Arial"/>
          <w:color w:val="auto"/>
          <w:sz w:val="22"/>
          <w:szCs w:val="22"/>
        </w:rPr>
      </w:pPr>
      <w:r w:rsidRPr="002D5F88">
        <w:rPr>
          <w:rFonts w:ascii="Arial" w:hAnsi="Arial" w:cs="Arial"/>
          <w:color w:val="auto"/>
          <w:sz w:val="22"/>
          <w:szCs w:val="22"/>
        </w:rPr>
        <w:t>Presentación de la propuesta</w:t>
      </w:r>
    </w:p>
    <w:p w14:paraId="4B35E53E" w14:textId="3D0D5ABF" w:rsidR="00227089" w:rsidRPr="002D5F88" w:rsidRDefault="00227089" w:rsidP="00227089">
      <w:pPr>
        <w:widowControl w:val="0"/>
        <w:spacing w:line="264" w:lineRule="auto"/>
        <w:rPr>
          <w:rFonts w:ascii="Arial" w:hAnsi="Arial" w:cs="Arial"/>
          <w:sz w:val="22"/>
          <w:szCs w:val="22"/>
        </w:rPr>
      </w:pPr>
      <w:r w:rsidRPr="002D5F88">
        <w:rPr>
          <w:rFonts w:ascii="Arial" w:hAnsi="Arial" w:cs="Arial"/>
          <w:sz w:val="22"/>
          <w:szCs w:val="22"/>
        </w:rPr>
        <w:t>El 14 de abril de 2025, el Secretario Técnico de la Comisión remitió a la Presidencia del Consejo, la propuesta relativa al procedimiento de recepción, embarque, traslado, distribución y custodia de la documentación y material electoral a los 16 Distritos Judiciales Electorales Locales con motivo del Proceso Electoral Extraordinario, formulado por dicha Comisión; lo anterior, para efectos de someterlo a la deliberación de este Consejo Estatal.</w:t>
      </w:r>
    </w:p>
    <w:p w14:paraId="1E1EE2CC" w14:textId="77777777" w:rsidR="009A12E9" w:rsidRPr="002D5F88" w:rsidRDefault="009A12E9" w:rsidP="009C2F84">
      <w:pPr>
        <w:pStyle w:val="Ttulo1"/>
        <w:spacing w:line="264" w:lineRule="auto"/>
        <w:rPr>
          <w:rFonts w:ascii="Arial" w:hAnsi="Arial" w:cs="Arial"/>
          <w:color w:val="auto"/>
          <w:sz w:val="24"/>
          <w:szCs w:val="24"/>
        </w:rPr>
      </w:pPr>
      <w:bookmarkStart w:id="1" w:name="_Hlk195630129"/>
      <w:r w:rsidRPr="002D5F88">
        <w:rPr>
          <w:rFonts w:ascii="Arial" w:hAnsi="Arial" w:cs="Arial"/>
          <w:color w:val="auto"/>
          <w:sz w:val="24"/>
          <w:szCs w:val="24"/>
        </w:rPr>
        <w:t>Considerando</w:t>
      </w:r>
    </w:p>
    <w:p w14:paraId="21EF7BE9"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Competencia del Consejo Estatal</w:t>
      </w:r>
    </w:p>
    <w:p w14:paraId="7B715E47" w14:textId="5E55E1A9"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 xml:space="preserve">Que, de conformidad con los artículos 115 numeral 1, fracción XL y 393 numeral 1, fracción </w:t>
      </w:r>
      <w:r w:rsidR="00630D70" w:rsidRPr="002D5F88">
        <w:rPr>
          <w:rFonts w:ascii="Arial" w:hAnsi="Arial" w:cs="Arial"/>
          <w:sz w:val="22"/>
          <w:szCs w:val="22"/>
        </w:rPr>
        <w:t>I</w:t>
      </w:r>
      <w:r w:rsidRPr="002D5F88">
        <w:rPr>
          <w:rFonts w:ascii="Arial" w:hAnsi="Arial" w:cs="Arial"/>
          <w:sz w:val="22"/>
          <w:szCs w:val="22"/>
        </w:rPr>
        <w:t xml:space="preserve">I de la Ley Electoral, el Consejo Estatal es competente para organizar el proceso electivo de las personas juzgadoras, su jornada electoral y los cómputos de los resultados electorales, en los términos que determine la Ley General y la Ley Electoral; así como, para </w:t>
      </w:r>
      <w:r w:rsidR="00630D70" w:rsidRPr="002D5F88">
        <w:rPr>
          <w:rFonts w:ascii="Arial" w:hAnsi="Arial" w:cs="Arial"/>
          <w:sz w:val="22"/>
          <w:szCs w:val="22"/>
        </w:rPr>
        <w:t>aprobar los lineamientos o acuerdos necesarios para llevar a cabo la organización, desarrollo y cómputo de la elección</w:t>
      </w:r>
      <w:r w:rsidRPr="002D5F88">
        <w:rPr>
          <w:rFonts w:ascii="Arial" w:hAnsi="Arial" w:cs="Arial"/>
          <w:sz w:val="22"/>
          <w:szCs w:val="22"/>
        </w:rPr>
        <w:t>.</w:t>
      </w:r>
    </w:p>
    <w:p w14:paraId="473AB251"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lastRenderedPageBreak/>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1959A4B6" w14:textId="77777777" w:rsidR="00E13F7F" w:rsidRPr="002D5F88" w:rsidRDefault="00E13F7F"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 xml:space="preserve">Atribuciones de la Comisión  </w:t>
      </w:r>
    </w:p>
    <w:p w14:paraId="1F10AA4B" w14:textId="77777777" w:rsidR="00E13F7F" w:rsidRPr="002D5F88" w:rsidRDefault="00E13F7F" w:rsidP="009C2F84">
      <w:pPr>
        <w:spacing w:line="264" w:lineRule="auto"/>
        <w:rPr>
          <w:rFonts w:ascii="Arial" w:hAnsi="Arial" w:cs="Arial"/>
          <w:sz w:val="22"/>
          <w:szCs w:val="22"/>
        </w:rPr>
      </w:pPr>
      <w:r w:rsidRPr="002D5F88">
        <w:rPr>
          <w:rFonts w:ascii="Arial" w:hAnsi="Arial" w:cs="Arial"/>
          <w:sz w:val="22"/>
          <w:szCs w:val="22"/>
        </w:rPr>
        <w:t>Que, de acuerdo a los dispuesto en los artículos 113, numerales 1 y 3 de la Ley Electoral; y 14, numeral 1, fracción VI y VII del Reglamento de Comisiones, la Comisión, es el órgano auxiliar del Consejo Estatal, que tiene entre otras funciones, formular recomendaciones y sugerir directrices a la Dirección de Organización Electoral y Educación Cívica, para el cumplimiento del Programa Anual, así como proponer al Consejo Estatal, políticas y programas generales en materia de Organización Electoral, Educación Cívica o Participación Ciudadana.</w:t>
      </w:r>
    </w:p>
    <w:p w14:paraId="31D7B640"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Proceso electoral de las personas juzgadoras</w:t>
      </w:r>
    </w:p>
    <w:p w14:paraId="3B779383"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7562CF65"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Etapas del proceso electoral de las personas juzgadoras</w:t>
      </w:r>
    </w:p>
    <w:p w14:paraId="6ABB487B"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Que, el artículo 387 numeral 1 de la Ley Electoral establece que, el proceso de elección de las personas juzgadoras del Poder Judicial comprende las siguientes etapas:</w:t>
      </w:r>
    </w:p>
    <w:p w14:paraId="2DD87B04" w14:textId="77777777" w:rsidR="009A12E9" w:rsidRPr="002D5F88"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Preparación de la elección;</w:t>
      </w:r>
    </w:p>
    <w:p w14:paraId="64F4043E" w14:textId="77777777" w:rsidR="009A12E9" w:rsidRPr="002D5F88"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Convocatoria y postulación de candidaturas;</w:t>
      </w:r>
    </w:p>
    <w:p w14:paraId="0053BCC8" w14:textId="77777777" w:rsidR="009A12E9" w:rsidRPr="002D5F88"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Jornada electoral;</w:t>
      </w:r>
    </w:p>
    <w:p w14:paraId="277DFA9B" w14:textId="77777777" w:rsidR="009A12E9" w:rsidRPr="002D5F88"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Cómputos y sumatoria;</w:t>
      </w:r>
    </w:p>
    <w:p w14:paraId="2703DDC2" w14:textId="77777777" w:rsidR="009A12E9" w:rsidRPr="002D5F88"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Asignación de cargos, y</w:t>
      </w:r>
    </w:p>
    <w:p w14:paraId="5A5F2E59" w14:textId="54B737A2" w:rsidR="009A12E9" w:rsidRDefault="009A12E9" w:rsidP="009C2F84">
      <w:pPr>
        <w:pStyle w:val="Prrafodelista"/>
        <w:widowControl w:val="0"/>
        <w:numPr>
          <w:ilvl w:val="0"/>
          <w:numId w:val="1"/>
        </w:numPr>
        <w:spacing w:line="264" w:lineRule="auto"/>
        <w:ind w:left="703" w:hanging="703"/>
        <w:rPr>
          <w:rFonts w:ascii="Arial" w:hAnsi="Arial" w:cs="Arial"/>
          <w:sz w:val="22"/>
          <w:szCs w:val="22"/>
        </w:rPr>
      </w:pPr>
      <w:r w:rsidRPr="002D5F88">
        <w:rPr>
          <w:rFonts w:ascii="Arial" w:hAnsi="Arial" w:cs="Arial"/>
          <w:sz w:val="22"/>
          <w:szCs w:val="22"/>
        </w:rPr>
        <w:t>La entrega de constancias de mayoría y declaración de validez de la elección.</w:t>
      </w:r>
    </w:p>
    <w:p w14:paraId="13DE2E93" w14:textId="77777777" w:rsidR="002D5F88" w:rsidRPr="002D5F88" w:rsidRDefault="002D5F88" w:rsidP="002D5F88">
      <w:pPr>
        <w:pStyle w:val="Prrafodelista"/>
        <w:widowControl w:val="0"/>
        <w:spacing w:line="264" w:lineRule="auto"/>
        <w:ind w:left="703"/>
        <w:rPr>
          <w:rFonts w:ascii="Arial" w:hAnsi="Arial" w:cs="Arial"/>
          <w:sz w:val="22"/>
          <w:szCs w:val="22"/>
        </w:rPr>
      </w:pPr>
    </w:p>
    <w:p w14:paraId="1081E221"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lastRenderedPageBreak/>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61CCBEA3"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06BA6B54"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38B42F83"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738F7EB1"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2FC3ECA"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0201BA35"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Derecho de la ciudadanía a participar en los procesos de selección y evaluación de candidaturas</w:t>
      </w:r>
    </w:p>
    <w:p w14:paraId="1751292C" w14:textId="77777777" w:rsidR="009A12E9" w:rsidRPr="002D5F88" w:rsidRDefault="009A12E9" w:rsidP="009C2F84">
      <w:pPr>
        <w:widowControl w:val="0"/>
        <w:spacing w:line="264" w:lineRule="auto"/>
        <w:rPr>
          <w:rFonts w:ascii="Arial" w:hAnsi="Arial" w:cs="Arial"/>
          <w:sz w:val="22"/>
          <w:szCs w:val="22"/>
        </w:rPr>
      </w:pPr>
      <w:r w:rsidRPr="002D5F88">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1FA52D05"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lastRenderedPageBreak/>
        <w:t>Facultad del INE para regular la documentación y material electorales</w:t>
      </w:r>
    </w:p>
    <w:p w14:paraId="1EBCCD7E"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4C2428D9"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Regulación de la documentación electoral en el Reglamento de Elecciones</w:t>
      </w:r>
    </w:p>
    <w:p w14:paraId="223FF103"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0A0DD450"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4F96BAD5"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Responsable de la documentación y materiales electorales</w:t>
      </w:r>
    </w:p>
    <w:p w14:paraId="648A58F0"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el artículo 149 numeral 4 del Reglamento de Elecciones dispone que la Dirección Ejecutiva de Organización Electoral del INE,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2A82EE0B"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lastRenderedPageBreak/>
        <w:t>Directrices para la documentación y material electoral</w:t>
      </w:r>
    </w:p>
    <w:p w14:paraId="55944640" w14:textId="15EC1848"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el artículo 402 numeral 1 y 3 de la Ley Electoral dispone que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 en ese sentido no habrá modificación a las boletas en caso de sustitución de una o más candidaturas si éstas ya estuvieran impresas.</w:t>
      </w:r>
    </w:p>
    <w:p w14:paraId="7BF2E353" w14:textId="649814BF"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 xml:space="preserve">Acorde a lo anterior y de conformidad con el acuerdo INE/CG52/2025, el Consejo General del INE determinó como directriz general relacionada con la documentación y el material electoral que, debido a las particularidades de las elecciones de diversos cargos de los poderes judiciales locales, será el propio INE quien aprobará los formatos únicos, diseños y especificaciones técnicas de la documentación y los materiales electorales que se requieran para tales elecciones. Asimismo, el INE definirá los colores Pantone para identificar los diversos cargos a elegir a nivel local.  </w:t>
      </w:r>
    </w:p>
    <w:p w14:paraId="3007E45C"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Además, los criterios de dotación para la documentación y los materiales electorales para los casos de concurrencia estarán establecidos en el anexo 4.1 del Reglamento de Elecciones y el Modelo de Centro de Votación.</w:t>
      </w:r>
    </w:p>
    <w:p w14:paraId="516EBA28" w14:textId="78EE1C80"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Entrega de la documentación y material electorales a los Consejos Distritales</w:t>
      </w:r>
    </w:p>
    <w:p w14:paraId="1FE87670"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de conformidad con lo dispuesto por los artículos 268 numeral 2, inciso e) de la Ley General y 218 numerales 1 y 2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34145B5D"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Entrega de la documentación y material electorales a las Presidencias de las Mesas Directivas de Casilla</w:t>
      </w:r>
    </w:p>
    <w:p w14:paraId="0C01CCDD" w14:textId="61C8439F"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 xml:space="preserve">Que, los artículos 269 de la Ley General, 131 numeral 1, fracción IV y 219 numeral 1, fracción VII de la Ley Electoral, prevén que las o los Presidentes de los Consejos Distritales deberán entregar a las y los Presidentes de las Mesas Directivas de Casilla, dentro de los 5 días previos al día de la elección, la documentación y material electoral aprobados por el </w:t>
      </w:r>
      <w:r w:rsidRPr="002D5F88">
        <w:rPr>
          <w:rFonts w:ascii="Arial" w:hAnsi="Arial" w:cs="Arial"/>
          <w:sz w:val="22"/>
          <w:szCs w:val="22"/>
        </w:rPr>
        <w:lastRenderedPageBreak/>
        <w:t>Consejo Estatal, así como los útiles de escritorio y demás elementos necesarios para el desarrollo de la jornada electoral.</w:t>
      </w:r>
    </w:p>
    <w:p w14:paraId="3C1CF81A" w14:textId="77777777"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Documentación y materiales electorales en procesos de elección de personas juzgadoras</w:t>
      </w:r>
    </w:p>
    <w:p w14:paraId="3E66D1AA"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098646E5"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45838876" w14:textId="44B9EF46" w:rsidR="009A12E9" w:rsidRPr="002D5F88" w:rsidRDefault="009A12E9" w:rsidP="009C2F84">
      <w:pPr>
        <w:pStyle w:val="Ttulo2"/>
        <w:spacing w:line="264" w:lineRule="auto"/>
        <w:rPr>
          <w:rFonts w:ascii="Arial" w:hAnsi="Arial" w:cs="Arial"/>
          <w:color w:val="auto"/>
          <w:sz w:val="22"/>
          <w:szCs w:val="22"/>
        </w:rPr>
      </w:pPr>
      <w:r w:rsidRPr="002D5F88">
        <w:rPr>
          <w:rFonts w:ascii="Arial" w:hAnsi="Arial" w:cs="Arial"/>
          <w:color w:val="auto"/>
          <w:sz w:val="22"/>
          <w:szCs w:val="22"/>
        </w:rPr>
        <w:t>Procedimiento propuesto por la Comisión</w:t>
      </w:r>
    </w:p>
    <w:p w14:paraId="696ACB40" w14:textId="4F72461E"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 xml:space="preserve">Que, en cumplimiento a los trabajos de coordinación y colaboración entre INE y el Instituto, así como a las disposiciones legales en la materia señaladas con antelación, se implementan las medidas que fortalecen los tramos de control y custodia para la debida integración y oportuna remisión de documentación y material electoral a los órganos electorales distritales y funcionariado de las Mesas Directivas de Casillas Seccionales </w:t>
      </w:r>
      <w:r w:rsidR="00E13F7F" w:rsidRPr="002D5F88">
        <w:rPr>
          <w:rFonts w:ascii="Arial" w:hAnsi="Arial" w:cs="Arial"/>
          <w:sz w:val="22"/>
          <w:szCs w:val="22"/>
        </w:rPr>
        <w:t>Únicas correspondientes</w:t>
      </w:r>
      <w:r w:rsidRPr="002D5F88">
        <w:rPr>
          <w:rFonts w:ascii="Arial" w:hAnsi="Arial" w:cs="Arial"/>
          <w:sz w:val="22"/>
          <w:szCs w:val="22"/>
        </w:rPr>
        <w:t xml:space="preserve"> al Proceso Electoral Extraordinario. </w:t>
      </w:r>
    </w:p>
    <w:bookmarkEnd w:id="1"/>
    <w:p w14:paraId="41044D9C" w14:textId="1A61F448"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t xml:space="preserve">De conformidad con el Plan de Trabajo de la Comisión para el año 2025, y el </w:t>
      </w:r>
      <w:r w:rsidR="00E13F7F" w:rsidRPr="002D5F88">
        <w:rPr>
          <w:rFonts w:ascii="Arial" w:hAnsi="Arial" w:cs="Arial"/>
          <w:sz w:val="22"/>
          <w:szCs w:val="22"/>
        </w:rPr>
        <w:t>C</w:t>
      </w:r>
      <w:r w:rsidRPr="002D5F88">
        <w:rPr>
          <w:rFonts w:ascii="Arial" w:hAnsi="Arial" w:cs="Arial"/>
          <w:sz w:val="22"/>
          <w:szCs w:val="22"/>
        </w:rPr>
        <w:t xml:space="preserve">alendario </w:t>
      </w:r>
      <w:r w:rsidR="00E13F7F" w:rsidRPr="002D5F88">
        <w:rPr>
          <w:rFonts w:ascii="Arial" w:hAnsi="Arial" w:cs="Arial"/>
          <w:sz w:val="22"/>
          <w:szCs w:val="22"/>
        </w:rPr>
        <w:t>E</w:t>
      </w:r>
      <w:r w:rsidRPr="002D5F88">
        <w:rPr>
          <w:rFonts w:ascii="Arial" w:hAnsi="Arial" w:cs="Arial"/>
          <w:sz w:val="22"/>
          <w:szCs w:val="22"/>
        </w:rPr>
        <w:t xml:space="preserve">lectoral del Instituto </w:t>
      </w:r>
      <w:r w:rsidR="00E13F7F" w:rsidRPr="002D5F88">
        <w:rPr>
          <w:rFonts w:ascii="Arial" w:hAnsi="Arial" w:cs="Arial"/>
          <w:sz w:val="22"/>
          <w:szCs w:val="22"/>
        </w:rPr>
        <w:t xml:space="preserve">para el ejercicio </w:t>
      </w:r>
      <w:r w:rsidRPr="002D5F88">
        <w:rPr>
          <w:rFonts w:ascii="Arial" w:hAnsi="Arial" w:cs="Arial"/>
          <w:sz w:val="22"/>
          <w:szCs w:val="22"/>
        </w:rPr>
        <w:t xml:space="preserve">2025, se presenta el procedimiento de recepción, embarque, traslado, distribución y custodia de la documentación y material electoral a los 16 Distritos Judiciales Electorales Locales con motivo del Proceso Electoral Extraordinario. </w:t>
      </w:r>
    </w:p>
    <w:p w14:paraId="77E2741A" w14:textId="75F66368" w:rsidR="009A12E9" w:rsidRDefault="009A12E9" w:rsidP="009C2F84">
      <w:pPr>
        <w:spacing w:line="264" w:lineRule="auto"/>
        <w:rPr>
          <w:rFonts w:ascii="Arial" w:hAnsi="Arial" w:cs="Arial"/>
          <w:sz w:val="22"/>
          <w:szCs w:val="22"/>
        </w:rPr>
      </w:pPr>
      <w:r w:rsidRPr="002D5F88">
        <w:rPr>
          <w:rFonts w:ascii="Arial" w:hAnsi="Arial" w:cs="Arial"/>
          <w:sz w:val="22"/>
          <w:szCs w:val="22"/>
        </w:rPr>
        <w:t xml:space="preserve">Asimismo, se señalan las directrices de control que deberán de implementar cada órgano desconcentrado en el ámbito de su competencia para el traslado, entrega y/o recepción de los paquetes electorales a las Mesas Directivas de Casillas Seccionales Únicas, adicionalmente prevé un breve procedimiento en aquellos casos donde la documentación o material electoral se recibe por el </w:t>
      </w:r>
      <w:r w:rsidR="00E13F7F" w:rsidRPr="002D5F88">
        <w:rPr>
          <w:rFonts w:ascii="Arial" w:hAnsi="Arial" w:cs="Arial"/>
          <w:sz w:val="22"/>
          <w:szCs w:val="22"/>
        </w:rPr>
        <w:t xml:space="preserve">órgano desconcentrado </w:t>
      </w:r>
      <w:r w:rsidRPr="002D5F88">
        <w:rPr>
          <w:rFonts w:ascii="Arial" w:hAnsi="Arial" w:cs="Arial"/>
          <w:sz w:val="22"/>
          <w:szCs w:val="22"/>
        </w:rPr>
        <w:t>o funcionariado de Mesa Directiva de Casilla Seccional Única distinto al que fue remitido, lo que permite dotar de certeza a quienes sean partícipes en el procedimiento de referencia, asegurando así la preservación y garantía de respaldo de la documentación y materiales electorales.</w:t>
      </w:r>
    </w:p>
    <w:p w14:paraId="085086EB" w14:textId="77777777" w:rsidR="002D5F88" w:rsidRPr="002D5F88" w:rsidRDefault="002D5F88" w:rsidP="009C2F84">
      <w:pPr>
        <w:spacing w:line="264" w:lineRule="auto"/>
        <w:rPr>
          <w:rFonts w:ascii="Arial" w:hAnsi="Arial" w:cs="Arial"/>
          <w:sz w:val="22"/>
          <w:szCs w:val="22"/>
        </w:rPr>
      </w:pPr>
    </w:p>
    <w:p w14:paraId="274DA836" w14:textId="77777777" w:rsidR="009A12E9" w:rsidRPr="002D5F88" w:rsidRDefault="009A12E9" w:rsidP="009C2F84">
      <w:pPr>
        <w:spacing w:line="264" w:lineRule="auto"/>
        <w:rPr>
          <w:rFonts w:ascii="Arial" w:hAnsi="Arial" w:cs="Arial"/>
          <w:sz w:val="22"/>
          <w:szCs w:val="22"/>
        </w:rPr>
      </w:pPr>
      <w:r w:rsidRPr="002D5F88">
        <w:rPr>
          <w:rFonts w:ascii="Arial" w:hAnsi="Arial" w:cs="Arial"/>
          <w:sz w:val="22"/>
          <w:szCs w:val="22"/>
        </w:rPr>
        <w:lastRenderedPageBreak/>
        <w:t>Sobre la base de las consideraciones señaladas, este Consejo Estatal emite el siguiente:</w:t>
      </w:r>
    </w:p>
    <w:p w14:paraId="693AD4AA" w14:textId="77777777" w:rsidR="009A12E9" w:rsidRPr="002D5F88" w:rsidRDefault="009A12E9" w:rsidP="009C2F84">
      <w:pPr>
        <w:pStyle w:val="Ttulo1"/>
        <w:spacing w:line="264" w:lineRule="auto"/>
        <w:rPr>
          <w:rFonts w:ascii="Arial" w:hAnsi="Arial" w:cs="Arial"/>
          <w:color w:val="auto"/>
          <w:sz w:val="24"/>
          <w:szCs w:val="24"/>
        </w:rPr>
      </w:pPr>
      <w:r w:rsidRPr="002D5F88">
        <w:rPr>
          <w:rFonts w:ascii="Arial" w:hAnsi="Arial" w:cs="Arial"/>
          <w:color w:val="auto"/>
          <w:sz w:val="24"/>
          <w:szCs w:val="24"/>
        </w:rPr>
        <w:t>Acuerdo</w:t>
      </w:r>
    </w:p>
    <w:p w14:paraId="4714D1FB" w14:textId="3F11E27D" w:rsidR="00E13F7F" w:rsidRPr="002D5F88" w:rsidRDefault="009A12E9" w:rsidP="009C2F84">
      <w:pPr>
        <w:spacing w:line="264" w:lineRule="auto"/>
        <w:rPr>
          <w:rFonts w:ascii="Arial" w:hAnsi="Arial" w:cs="Arial"/>
          <w:sz w:val="22"/>
          <w:szCs w:val="22"/>
        </w:rPr>
      </w:pPr>
      <w:r w:rsidRPr="002D5F88">
        <w:rPr>
          <w:rFonts w:ascii="Arial" w:hAnsi="Arial" w:cs="Arial"/>
          <w:b/>
          <w:bCs/>
          <w:sz w:val="22"/>
          <w:szCs w:val="22"/>
        </w:rPr>
        <w:t>Primero.</w:t>
      </w:r>
      <w:r w:rsidRPr="002D5F88">
        <w:rPr>
          <w:rFonts w:ascii="Arial" w:hAnsi="Arial" w:cs="Arial"/>
          <w:sz w:val="22"/>
          <w:szCs w:val="22"/>
        </w:rPr>
        <w:t xml:space="preserve"> Se </w:t>
      </w:r>
      <w:r w:rsidR="00E13F7F" w:rsidRPr="002D5F88">
        <w:rPr>
          <w:rFonts w:ascii="Arial" w:hAnsi="Arial" w:cs="Arial"/>
          <w:sz w:val="22"/>
          <w:szCs w:val="22"/>
        </w:rPr>
        <w:t>aprueba el procedimiento de recepción, embarque, traslado, distribución y custodia de la documentación y material electoral a los 16 Distritos Judiciales Electorales Locales con motivo del Proceso Electoral Local Extraordinario para personas juzgadoras del Poder Judicial del Estado de Tabasco 2024-2025</w:t>
      </w:r>
      <w:r w:rsidR="00BF6924" w:rsidRPr="002D5F88">
        <w:rPr>
          <w:rFonts w:ascii="Arial" w:hAnsi="Arial" w:cs="Arial"/>
          <w:sz w:val="22"/>
          <w:szCs w:val="22"/>
        </w:rPr>
        <w:t xml:space="preserve"> anexo al presente acuerdo.</w:t>
      </w:r>
    </w:p>
    <w:p w14:paraId="12E34FA7" w14:textId="54FECC41" w:rsidR="00E13F7F" w:rsidRPr="002D5F88" w:rsidRDefault="00E13F7F" w:rsidP="009C2F84">
      <w:pPr>
        <w:spacing w:line="264" w:lineRule="auto"/>
        <w:rPr>
          <w:rFonts w:ascii="Arial" w:hAnsi="Arial" w:cs="Arial"/>
          <w:sz w:val="22"/>
          <w:szCs w:val="22"/>
        </w:rPr>
      </w:pPr>
      <w:r w:rsidRPr="002D5F88">
        <w:rPr>
          <w:rFonts w:ascii="Arial" w:hAnsi="Arial" w:cs="Arial"/>
          <w:b/>
          <w:bCs/>
          <w:sz w:val="22"/>
          <w:szCs w:val="22"/>
        </w:rPr>
        <w:t xml:space="preserve">Segundo. </w:t>
      </w:r>
      <w:r w:rsidRPr="002D5F88">
        <w:rPr>
          <w:rFonts w:ascii="Arial" w:hAnsi="Arial" w:cs="Arial"/>
          <w:sz w:val="22"/>
          <w:szCs w:val="22"/>
        </w:rPr>
        <w:t>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35738306" w14:textId="2C923E9C" w:rsidR="00E13F7F" w:rsidRPr="002D5F88" w:rsidRDefault="00E13F7F" w:rsidP="009C2F84">
      <w:pPr>
        <w:spacing w:line="264" w:lineRule="auto"/>
        <w:rPr>
          <w:rFonts w:ascii="Arial" w:hAnsi="Arial" w:cs="Arial"/>
          <w:sz w:val="22"/>
          <w:szCs w:val="22"/>
        </w:rPr>
      </w:pPr>
      <w:r w:rsidRPr="002D5F88">
        <w:rPr>
          <w:rFonts w:ascii="Arial" w:hAnsi="Arial" w:cs="Arial"/>
          <w:b/>
          <w:bCs/>
          <w:sz w:val="22"/>
          <w:szCs w:val="22"/>
        </w:rPr>
        <w:t xml:space="preserve">Tercero. </w:t>
      </w:r>
      <w:r w:rsidRPr="002D5F88">
        <w:rPr>
          <w:rFonts w:ascii="Arial" w:hAnsi="Arial" w:cs="Arial"/>
          <w:sz w:val="22"/>
          <w:szCs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2B76505A" w14:textId="43D6EE4A" w:rsidR="00E13F7F" w:rsidRPr="002D5F88" w:rsidRDefault="00E13F7F" w:rsidP="009C2F84">
      <w:pPr>
        <w:spacing w:line="264" w:lineRule="auto"/>
        <w:rPr>
          <w:rFonts w:ascii="Arial" w:hAnsi="Arial" w:cs="Arial"/>
          <w:sz w:val="22"/>
          <w:szCs w:val="22"/>
        </w:rPr>
      </w:pPr>
      <w:r w:rsidRPr="002D5F88">
        <w:rPr>
          <w:rFonts w:ascii="Arial" w:hAnsi="Arial" w:cs="Arial"/>
          <w:b/>
          <w:bCs/>
          <w:sz w:val="22"/>
          <w:szCs w:val="22"/>
        </w:rPr>
        <w:t>Cuarto.</w:t>
      </w:r>
      <w:r w:rsidRPr="002D5F88">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4F557FF" w14:textId="16D8E9DC" w:rsidR="00E13F7F" w:rsidRPr="002D5F88" w:rsidRDefault="00E13F7F" w:rsidP="009C2F84">
      <w:pPr>
        <w:spacing w:line="264" w:lineRule="auto"/>
        <w:rPr>
          <w:rFonts w:ascii="Arial" w:hAnsi="Arial" w:cs="Arial"/>
          <w:sz w:val="22"/>
          <w:szCs w:val="22"/>
        </w:rPr>
      </w:pPr>
      <w:r w:rsidRPr="002D5F88">
        <w:rPr>
          <w:rFonts w:ascii="Arial" w:hAnsi="Arial" w:cs="Arial"/>
          <w:sz w:val="22"/>
          <w:szCs w:val="22"/>
        </w:rPr>
        <w:t>El presente acuerdo fue aprobado en sesión</w:t>
      </w:r>
      <w:r w:rsidR="002D5F88">
        <w:rPr>
          <w:rFonts w:ascii="Arial" w:hAnsi="Arial" w:cs="Arial"/>
          <w:sz w:val="22"/>
          <w:szCs w:val="22"/>
        </w:rPr>
        <w:t xml:space="preserve"> extraordinaria</w:t>
      </w:r>
      <w:r w:rsidRPr="002D5F88">
        <w:rPr>
          <w:rFonts w:ascii="Arial" w:hAnsi="Arial" w:cs="Arial"/>
          <w:sz w:val="22"/>
          <w:szCs w:val="22"/>
        </w:rPr>
        <w:t xml:space="preserve"> efectuada el</w:t>
      </w:r>
      <w:r w:rsidR="002D5F88">
        <w:rPr>
          <w:rFonts w:ascii="Arial" w:hAnsi="Arial" w:cs="Arial"/>
          <w:sz w:val="22"/>
          <w:szCs w:val="22"/>
        </w:rPr>
        <w:t xml:space="preserve"> día veintiuno</w:t>
      </w:r>
      <w:r w:rsidRPr="002D5F88">
        <w:rPr>
          <w:rFonts w:ascii="Arial" w:hAnsi="Arial" w:cs="Arial"/>
          <w:sz w:val="22"/>
          <w:szCs w:val="22"/>
        </w:rPr>
        <w:t xml:space="preserve">  de </w:t>
      </w:r>
      <w:r w:rsidR="002D5F88">
        <w:rPr>
          <w:rFonts w:ascii="Arial" w:hAnsi="Arial" w:cs="Arial"/>
          <w:sz w:val="22"/>
          <w:szCs w:val="22"/>
        </w:rPr>
        <w:t>abril</w:t>
      </w:r>
      <w:r w:rsidRPr="002D5F88">
        <w:rPr>
          <w:rFonts w:ascii="Arial" w:hAnsi="Arial" w:cs="Arial"/>
          <w:sz w:val="22"/>
          <w:szCs w:val="22"/>
        </w:rPr>
        <w:t xml:space="preserve"> del año dos mil veinticinco, por votación</w:t>
      </w:r>
      <w:r w:rsidR="002D5F88">
        <w:rPr>
          <w:rFonts w:ascii="Arial" w:hAnsi="Arial" w:cs="Arial"/>
          <w:sz w:val="22"/>
          <w:szCs w:val="22"/>
        </w:rPr>
        <w:t xml:space="preserve"> unánime</w:t>
      </w:r>
      <w:r w:rsidRPr="002D5F88">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w:t>
      </w:r>
      <w:bookmarkStart w:id="2" w:name="_GoBack"/>
      <w:bookmarkEnd w:id="2"/>
      <w:r w:rsidRPr="002D5F88">
        <w:rPr>
          <w:rFonts w:ascii="Arial" w:hAnsi="Arial" w:cs="Arial"/>
          <w:sz w:val="22"/>
          <w:szCs w:val="22"/>
        </w:rPr>
        <w:t>mir Hernández Venegas, Licda. Ángela Guadalupe Araujo Segura, Licda. Monserrat Martínez Beaurregard, Mtra. Ruth Lizette Toledo Peral y la Consejera Presidenta, Mtra. Elizabeth Nava Gutiérrez.</w:t>
      </w:r>
    </w:p>
    <w:p w14:paraId="033DC089" w14:textId="187A34F0" w:rsidR="00E13F7F" w:rsidRDefault="00E13F7F" w:rsidP="009C2F84">
      <w:pPr>
        <w:spacing w:line="264" w:lineRule="auto"/>
        <w:rPr>
          <w:rFonts w:ascii="Arial" w:hAnsi="Arial" w:cs="Arial"/>
          <w:sz w:val="22"/>
          <w:szCs w:val="22"/>
        </w:rPr>
      </w:pPr>
    </w:p>
    <w:p w14:paraId="234D8A05" w14:textId="77777777" w:rsidR="002D5F88" w:rsidRPr="002D5F88" w:rsidRDefault="002D5F88" w:rsidP="009C2F84">
      <w:pPr>
        <w:spacing w:line="264" w:lineRule="auto"/>
        <w:rPr>
          <w:rFonts w:ascii="Arial" w:hAnsi="Arial" w:cs="Arial"/>
          <w:sz w:val="22"/>
          <w:szCs w:val="22"/>
        </w:rPr>
      </w:pPr>
    </w:p>
    <w:p w14:paraId="730FF4A6" w14:textId="77777777" w:rsidR="00E13F7F" w:rsidRPr="002D5F88" w:rsidRDefault="00E13F7F" w:rsidP="009C2F84">
      <w:pPr>
        <w:spacing w:line="264" w:lineRule="auto"/>
        <w:rPr>
          <w:rFonts w:ascii="Arial" w:hAnsi="Arial" w:cs="Arial"/>
          <w:sz w:val="22"/>
          <w:szCs w:val="22"/>
        </w:rPr>
      </w:pPr>
    </w:p>
    <w:tbl>
      <w:tblPr>
        <w:tblStyle w:val="Tablaconcuadrcula"/>
        <w:tblW w:w="9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3"/>
        <w:gridCol w:w="248"/>
        <w:gridCol w:w="4416"/>
      </w:tblGrid>
      <w:tr w:rsidR="00E13F7F" w:rsidRPr="002D5F88" w14:paraId="4AA4B154" w14:textId="77777777" w:rsidTr="002D5F88">
        <w:trPr>
          <w:trHeight w:val="870"/>
        </w:trPr>
        <w:tc>
          <w:tcPr>
            <w:tcW w:w="4613" w:type="dxa"/>
          </w:tcPr>
          <w:p w14:paraId="46297CF1" w14:textId="77777777" w:rsidR="00E13F7F" w:rsidRPr="002D5F88" w:rsidRDefault="00E13F7F" w:rsidP="009C2F84">
            <w:pPr>
              <w:spacing w:before="0" w:after="0" w:line="264" w:lineRule="auto"/>
              <w:jc w:val="center"/>
              <w:rPr>
                <w:rFonts w:ascii="Arial" w:hAnsi="Arial" w:cs="Arial"/>
                <w:b/>
                <w:bCs/>
                <w:sz w:val="22"/>
                <w:szCs w:val="22"/>
              </w:rPr>
            </w:pPr>
            <w:r w:rsidRPr="002D5F88">
              <w:rPr>
                <w:rFonts w:ascii="Arial" w:hAnsi="Arial" w:cs="Arial"/>
                <w:b/>
                <w:bCs/>
                <w:sz w:val="22"/>
                <w:szCs w:val="22"/>
              </w:rPr>
              <w:t>MTRA. ELIZABETH NAVA GUTIÉRREZ</w:t>
            </w:r>
          </w:p>
          <w:p w14:paraId="40AB050A" w14:textId="77777777" w:rsidR="00E13F7F" w:rsidRPr="002D5F88" w:rsidRDefault="00E13F7F" w:rsidP="009C2F84">
            <w:pPr>
              <w:spacing w:before="0" w:after="0" w:line="264" w:lineRule="auto"/>
              <w:jc w:val="center"/>
              <w:rPr>
                <w:rFonts w:ascii="Arial" w:hAnsi="Arial" w:cs="Arial"/>
                <w:b/>
                <w:bCs/>
                <w:sz w:val="22"/>
                <w:szCs w:val="22"/>
              </w:rPr>
            </w:pPr>
            <w:r w:rsidRPr="002D5F88">
              <w:rPr>
                <w:rFonts w:ascii="Arial" w:hAnsi="Arial" w:cs="Arial"/>
                <w:b/>
                <w:bCs/>
                <w:sz w:val="22"/>
                <w:szCs w:val="22"/>
              </w:rPr>
              <w:t>CONSEJERA PRESIDENTA</w:t>
            </w:r>
          </w:p>
        </w:tc>
        <w:tc>
          <w:tcPr>
            <w:tcW w:w="248" w:type="dxa"/>
          </w:tcPr>
          <w:p w14:paraId="7BED2227" w14:textId="77777777" w:rsidR="00E13F7F" w:rsidRPr="002D5F88" w:rsidRDefault="00E13F7F" w:rsidP="009C2F84">
            <w:pPr>
              <w:spacing w:before="0" w:after="0" w:line="264" w:lineRule="auto"/>
              <w:rPr>
                <w:rFonts w:ascii="Arial" w:hAnsi="Arial" w:cs="Arial"/>
                <w:b/>
                <w:bCs/>
                <w:sz w:val="22"/>
                <w:szCs w:val="22"/>
              </w:rPr>
            </w:pPr>
          </w:p>
        </w:tc>
        <w:tc>
          <w:tcPr>
            <w:tcW w:w="4416" w:type="dxa"/>
          </w:tcPr>
          <w:p w14:paraId="534423FC" w14:textId="77777777" w:rsidR="00E13F7F" w:rsidRPr="002D5F88" w:rsidRDefault="00E13F7F" w:rsidP="009C2F84">
            <w:pPr>
              <w:spacing w:before="0" w:after="0" w:line="264" w:lineRule="auto"/>
              <w:jc w:val="center"/>
              <w:rPr>
                <w:rFonts w:ascii="Arial" w:hAnsi="Arial" w:cs="Arial"/>
                <w:b/>
                <w:bCs/>
                <w:sz w:val="22"/>
                <w:szCs w:val="22"/>
              </w:rPr>
            </w:pPr>
            <w:r w:rsidRPr="002D5F88">
              <w:rPr>
                <w:rFonts w:ascii="Arial" w:hAnsi="Arial" w:cs="Arial"/>
                <w:b/>
                <w:bCs/>
                <w:sz w:val="22"/>
                <w:szCs w:val="22"/>
              </w:rPr>
              <w:t>LIC. JORGE ALBERTO ZAVALA FRÍAS</w:t>
            </w:r>
          </w:p>
          <w:p w14:paraId="78255116" w14:textId="77777777" w:rsidR="00E13F7F" w:rsidRPr="002D5F88" w:rsidRDefault="00E13F7F" w:rsidP="009C2F84">
            <w:pPr>
              <w:spacing w:before="0" w:after="0" w:line="264" w:lineRule="auto"/>
              <w:jc w:val="center"/>
              <w:rPr>
                <w:rFonts w:ascii="Arial" w:hAnsi="Arial" w:cs="Arial"/>
                <w:b/>
                <w:bCs/>
                <w:sz w:val="22"/>
                <w:szCs w:val="22"/>
              </w:rPr>
            </w:pPr>
            <w:r w:rsidRPr="002D5F88">
              <w:rPr>
                <w:rFonts w:ascii="Arial" w:hAnsi="Arial" w:cs="Arial"/>
                <w:b/>
                <w:bCs/>
                <w:sz w:val="22"/>
                <w:szCs w:val="22"/>
              </w:rPr>
              <w:t>SECRETARIO DEL CONSEJO</w:t>
            </w:r>
          </w:p>
        </w:tc>
      </w:tr>
    </w:tbl>
    <w:p w14:paraId="35EC0FB4" w14:textId="77777777" w:rsidR="009A12E9" w:rsidRPr="002D5F88" w:rsidRDefault="009A12E9" w:rsidP="009C2F84">
      <w:pPr>
        <w:spacing w:line="264" w:lineRule="auto"/>
        <w:rPr>
          <w:rFonts w:ascii="Arial" w:hAnsi="Arial" w:cs="Arial"/>
          <w:sz w:val="22"/>
          <w:szCs w:val="22"/>
        </w:rPr>
      </w:pPr>
    </w:p>
    <w:sectPr w:rsidR="009A12E9" w:rsidRPr="002D5F88" w:rsidSect="009C2F84">
      <w:headerReference w:type="default" r:id="rId7"/>
      <w:footerReference w:type="default" r:id="rId8"/>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E164F" w14:textId="77777777" w:rsidR="00701911" w:rsidRDefault="00701911" w:rsidP="00BF6924">
      <w:pPr>
        <w:spacing w:before="0" w:after="0" w:line="240" w:lineRule="auto"/>
      </w:pPr>
      <w:r>
        <w:separator/>
      </w:r>
    </w:p>
  </w:endnote>
  <w:endnote w:type="continuationSeparator" w:id="0">
    <w:p w14:paraId="1F2A1835" w14:textId="77777777" w:rsidR="00701911" w:rsidRDefault="00701911" w:rsidP="00BF69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EAC8CC3-CA8C-445C-B054-EB4A26FBCD4B}"/>
    <w:embedBold r:id="rId2" w:fontKey="{495DEC2E-6009-43CF-88AA-310F12C62430}"/>
    <w:embedItalic r:id="rId3" w:fontKey="{A1335715-A4A5-42CD-AA13-CC057B3CDFA3}"/>
  </w:font>
  <w:font w:name="Exo">
    <w:charset w:val="00"/>
    <w:family w:val="auto"/>
    <w:pitch w:val="variable"/>
    <w:sig w:usb0="A00000FF" w:usb1="4000204B" w:usb2="00000000" w:usb3="00000000" w:csb0="00000193" w:csb1="00000000"/>
    <w:embedRegular r:id="rId4" w:fontKey="{AEF86593-5DB9-4B7F-AE6B-50357D4FB281}"/>
    <w:embedBold r:id="rId5" w:fontKey="{170A099D-8888-452A-983A-91572F7939C6}"/>
    <w:embedItalic r:id="rId6" w:fontKey="{7648861B-6776-4DC3-B070-ACFF01E73E3E}"/>
  </w:font>
  <w:font w:name="Aptos Display">
    <w:charset w:val="00"/>
    <w:family w:val="swiss"/>
    <w:pitch w:val="variable"/>
    <w:sig w:usb0="20000287" w:usb1="00000003" w:usb2="00000000" w:usb3="00000000" w:csb0="0000019F" w:csb1="00000000"/>
    <w:embedRegular r:id="rId7" w:fontKey="{1B360E64-7D3B-499A-A748-C039ED64FCB8}"/>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4667166"/>
      <w:docPartObj>
        <w:docPartGallery w:val="Page Numbers (Top of Page)"/>
        <w:docPartUnique/>
      </w:docPartObj>
    </w:sdtPr>
    <w:sdtEndPr/>
    <w:sdtContent>
      <w:p w14:paraId="377B67D0" w14:textId="7A62875F" w:rsidR="00BF6924" w:rsidRPr="002D5F88" w:rsidRDefault="00BF6924" w:rsidP="00BF6924">
        <w:pPr>
          <w:pStyle w:val="Piedepgina"/>
          <w:jc w:val="right"/>
          <w:rPr>
            <w:rFonts w:ascii="Arial" w:hAnsi="Arial" w:cs="Arial"/>
            <w:color w:val="993366"/>
            <w:sz w:val="20"/>
            <w:szCs w:val="20"/>
          </w:rPr>
        </w:pPr>
        <w:r w:rsidRPr="002D5F88">
          <w:rPr>
            <w:rFonts w:ascii="Arial" w:hAnsi="Arial" w:cs="Arial"/>
            <w:b/>
            <w:bCs/>
            <w:color w:val="993366"/>
          </w:rPr>
          <w:t xml:space="preserve">Página </w:t>
        </w:r>
        <w:r w:rsidRPr="002D5F88">
          <w:rPr>
            <w:rFonts w:ascii="Arial" w:hAnsi="Arial" w:cs="Arial"/>
            <w:b/>
            <w:bCs/>
            <w:color w:val="993366"/>
          </w:rPr>
          <w:fldChar w:fldCharType="begin"/>
        </w:r>
        <w:r w:rsidRPr="002D5F88">
          <w:rPr>
            <w:rFonts w:ascii="Arial" w:hAnsi="Arial" w:cs="Arial"/>
            <w:b/>
            <w:bCs/>
            <w:color w:val="993366"/>
          </w:rPr>
          <w:instrText>PAGE</w:instrText>
        </w:r>
        <w:r w:rsidRPr="002D5F88">
          <w:rPr>
            <w:rFonts w:ascii="Arial" w:hAnsi="Arial" w:cs="Arial"/>
            <w:b/>
            <w:bCs/>
            <w:color w:val="993366"/>
          </w:rPr>
          <w:fldChar w:fldCharType="separate"/>
        </w:r>
        <w:r w:rsidR="002D5F88">
          <w:rPr>
            <w:rFonts w:ascii="Arial" w:hAnsi="Arial" w:cs="Arial"/>
            <w:b/>
            <w:bCs/>
            <w:noProof/>
            <w:color w:val="993366"/>
          </w:rPr>
          <w:t>11</w:t>
        </w:r>
        <w:r w:rsidRPr="002D5F88">
          <w:rPr>
            <w:rFonts w:ascii="Arial" w:hAnsi="Arial" w:cs="Arial"/>
            <w:b/>
            <w:bCs/>
            <w:color w:val="993366"/>
          </w:rPr>
          <w:fldChar w:fldCharType="end"/>
        </w:r>
        <w:r w:rsidRPr="002D5F88">
          <w:rPr>
            <w:rFonts w:ascii="Arial" w:hAnsi="Arial" w:cs="Arial"/>
            <w:b/>
            <w:bCs/>
            <w:color w:val="993366"/>
          </w:rPr>
          <w:t xml:space="preserve"> | </w:t>
        </w:r>
        <w:r w:rsidRPr="002D5F88">
          <w:rPr>
            <w:rFonts w:ascii="Arial" w:hAnsi="Arial" w:cs="Arial"/>
            <w:b/>
            <w:bCs/>
            <w:color w:val="993366"/>
          </w:rPr>
          <w:fldChar w:fldCharType="begin"/>
        </w:r>
        <w:r w:rsidRPr="002D5F88">
          <w:rPr>
            <w:rFonts w:ascii="Arial" w:hAnsi="Arial" w:cs="Arial"/>
            <w:b/>
            <w:bCs/>
            <w:color w:val="993366"/>
          </w:rPr>
          <w:instrText>NUMPAGES</w:instrText>
        </w:r>
        <w:r w:rsidRPr="002D5F88">
          <w:rPr>
            <w:rFonts w:ascii="Arial" w:hAnsi="Arial" w:cs="Arial"/>
            <w:b/>
            <w:bCs/>
            <w:color w:val="993366"/>
          </w:rPr>
          <w:fldChar w:fldCharType="separate"/>
        </w:r>
        <w:r w:rsidR="002D5F88">
          <w:rPr>
            <w:rFonts w:ascii="Arial" w:hAnsi="Arial" w:cs="Arial"/>
            <w:b/>
            <w:bCs/>
            <w:noProof/>
            <w:color w:val="993366"/>
          </w:rPr>
          <w:t>11</w:t>
        </w:r>
        <w:r w:rsidRPr="002D5F8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8A83" w14:textId="77777777" w:rsidR="00701911" w:rsidRDefault="00701911" w:rsidP="00BF6924">
      <w:pPr>
        <w:spacing w:before="0" w:after="0" w:line="240" w:lineRule="auto"/>
      </w:pPr>
      <w:r>
        <w:separator/>
      </w:r>
    </w:p>
  </w:footnote>
  <w:footnote w:type="continuationSeparator" w:id="0">
    <w:p w14:paraId="429FF333" w14:textId="77777777" w:rsidR="00701911" w:rsidRDefault="00701911" w:rsidP="00BF69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BF6924" w14:paraId="15B1A785" w14:textId="77777777" w:rsidTr="001704A8">
      <w:tc>
        <w:tcPr>
          <w:tcW w:w="1813" w:type="dxa"/>
        </w:tcPr>
        <w:p w14:paraId="140DCB11" w14:textId="77777777" w:rsidR="00BF6924" w:rsidRDefault="00BF6924" w:rsidP="00BF6924">
          <w:pPr>
            <w:pStyle w:val="Encabezado"/>
          </w:pPr>
          <w:r>
            <w:rPr>
              <w:b/>
              <w:noProof/>
              <w:sz w:val="32"/>
              <w:lang w:eastAsia="es-MX"/>
            </w:rPr>
            <w:drawing>
              <wp:inline distT="0" distB="0" distL="0" distR="0" wp14:anchorId="5B7452C9" wp14:editId="1898CF13">
                <wp:extent cx="1014331" cy="1199403"/>
                <wp:effectExtent l="0" t="0" r="0" b="1270"/>
                <wp:docPr id="284571351" name="Imagen 28457135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70340E75" w14:textId="77777777" w:rsidR="00BF6924" w:rsidRPr="00B33A23" w:rsidRDefault="00BF6924" w:rsidP="00BF6924">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181BA30E" w14:textId="77777777" w:rsidR="00BF6924" w:rsidRDefault="00BF6924" w:rsidP="00BF6924">
          <w:pPr>
            <w:pStyle w:val="Encabezado"/>
            <w:spacing w:before="60"/>
            <w:jc w:val="center"/>
          </w:pPr>
          <w:r w:rsidRPr="00B33A23">
            <w:rPr>
              <w:rFonts w:ascii="Arial" w:hAnsi="Arial" w:cs="Arial"/>
              <w:b/>
              <w:bCs/>
              <w:sz w:val="28"/>
              <w:szCs w:val="28"/>
            </w:rPr>
            <w:t>CONSEJO ESTATAL</w:t>
          </w:r>
        </w:p>
      </w:tc>
      <w:tc>
        <w:tcPr>
          <w:tcW w:w="1560" w:type="dxa"/>
        </w:tcPr>
        <w:p w14:paraId="774B0FFF" w14:textId="77777777" w:rsidR="00BF6924" w:rsidRDefault="00BF6924" w:rsidP="00BF6924">
          <w:pPr>
            <w:pStyle w:val="Encabezado"/>
            <w:spacing w:before="480"/>
            <w:jc w:val="right"/>
          </w:pPr>
          <w:r>
            <w:rPr>
              <w:noProof/>
              <w:lang w:eastAsia="es-MX"/>
            </w:rPr>
            <w:drawing>
              <wp:inline distT="0" distB="0" distL="0" distR="0" wp14:anchorId="394CCE84" wp14:editId="529B63C9">
                <wp:extent cx="921600" cy="756000"/>
                <wp:effectExtent l="0" t="0" r="0" b="6350"/>
                <wp:docPr id="322064210"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40DC215" w14:textId="705AF5A0" w:rsidR="00BF6924" w:rsidRPr="002D5F88" w:rsidRDefault="002D5F88" w:rsidP="002D5F88">
    <w:pPr>
      <w:pStyle w:val="Encabezado"/>
      <w:jc w:val="right"/>
      <w:rPr>
        <w:rFonts w:ascii="Arial" w:hAnsi="Arial" w:cs="Arial"/>
        <w:b/>
      </w:rPr>
    </w:pPr>
    <w:r w:rsidRPr="002D5F88">
      <w:rPr>
        <w:rFonts w:ascii="Arial" w:hAnsi="Arial" w:cs="Arial"/>
        <w:b/>
      </w:rPr>
      <w:t>CE/2025/048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F12"/>
    <w:multiLevelType w:val="hybridMultilevel"/>
    <w:tmpl w:val="2C16AD0E"/>
    <w:lvl w:ilvl="0" w:tplc="A6F0C3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595376"/>
    <w:multiLevelType w:val="hybridMultilevel"/>
    <w:tmpl w:val="FB64B6A8"/>
    <w:lvl w:ilvl="0" w:tplc="A6F0C30C">
      <w:start w:val="1"/>
      <w:numFmt w:val="lowerLetter"/>
      <w:lvlText w:val="%1)"/>
      <w:lvlJc w:val="left"/>
      <w:pPr>
        <w:ind w:left="1065" w:hanging="705"/>
      </w:pPr>
      <w:rPr>
        <w:rFonts w:hint="default"/>
      </w:rPr>
    </w:lvl>
    <w:lvl w:ilvl="1" w:tplc="4F48CDD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757E0F"/>
    <w:multiLevelType w:val="hybridMultilevel"/>
    <w:tmpl w:val="AFA83B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216E2"/>
    <w:multiLevelType w:val="hybridMultilevel"/>
    <w:tmpl w:val="025CE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4461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DC17A21"/>
    <w:multiLevelType w:val="hybridMultilevel"/>
    <w:tmpl w:val="244C03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B14FB9"/>
    <w:multiLevelType w:val="hybridMultilevel"/>
    <w:tmpl w:val="53FA3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64735E"/>
    <w:multiLevelType w:val="hybridMultilevel"/>
    <w:tmpl w:val="683054D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1135722"/>
    <w:multiLevelType w:val="hybridMultilevel"/>
    <w:tmpl w:val="D23E10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DA491B"/>
    <w:multiLevelType w:val="hybridMultilevel"/>
    <w:tmpl w:val="88BE7204"/>
    <w:lvl w:ilvl="0" w:tplc="080A0005">
      <w:start w:val="1"/>
      <w:numFmt w:val="bullet"/>
      <w:lvlText w:val=""/>
      <w:lvlJc w:val="left"/>
      <w:pPr>
        <w:ind w:left="1911" w:hanging="360"/>
      </w:pPr>
      <w:rPr>
        <w:rFonts w:ascii="Wingdings" w:hAnsi="Wingdings" w:hint="default"/>
      </w:rPr>
    </w:lvl>
    <w:lvl w:ilvl="1" w:tplc="FFFFFFFF" w:tentative="1">
      <w:start w:val="1"/>
      <w:numFmt w:val="bullet"/>
      <w:lvlText w:val="o"/>
      <w:lvlJc w:val="left"/>
      <w:pPr>
        <w:ind w:left="2631" w:hanging="360"/>
      </w:pPr>
      <w:rPr>
        <w:rFonts w:ascii="Courier New" w:hAnsi="Courier New" w:cs="Courier New" w:hint="default"/>
      </w:rPr>
    </w:lvl>
    <w:lvl w:ilvl="2" w:tplc="FFFFFFFF" w:tentative="1">
      <w:start w:val="1"/>
      <w:numFmt w:val="bullet"/>
      <w:lvlText w:val=""/>
      <w:lvlJc w:val="left"/>
      <w:pPr>
        <w:ind w:left="3351" w:hanging="360"/>
      </w:pPr>
      <w:rPr>
        <w:rFonts w:ascii="Wingdings" w:hAnsi="Wingdings" w:hint="default"/>
      </w:rPr>
    </w:lvl>
    <w:lvl w:ilvl="3" w:tplc="FFFFFFFF" w:tentative="1">
      <w:start w:val="1"/>
      <w:numFmt w:val="bullet"/>
      <w:lvlText w:val=""/>
      <w:lvlJc w:val="left"/>
      <w:pPr>
        <w:ind w:left="4071" w:hanging="360"/>
      </w:pPr>
      <w:rPr>
        <w:rFonts w:ascii="Symbol" w:hAnsi="Symbol" w:hint="default"/>
      </w:rPr>
    </w:lvl>
    <w:lvl w:ilvl="4" w:tplc="FFFFFFFF" w:tentative="1">
      <w:start w:val="1"/>
      <w:numFmt w:val="bullet"/>
      <w:lvlText w:val="o"/>
      <w:lvlJc w:val="left"/>
      <w:pPr>
        <w:ind w:left="4791" w:hanging="360"/>
      </w:pPr>
      <w:rPr>
        <w:rFonts w:ascii="Courier New" w:hAnsi="Courier New" w:cs="Courier New" w:hint="default"/>
      </w:rPr>
    </w:lvl>
    <w:lvl w:ilvl="5" w:tplc="FFFFFFFF" w:tentative="1">
      <w:start w:val="1"/>
      <w:numFmt w:val="bullet"/>
      <w:lvlText w:val=""/>
      <w:lvlJc w:val="left"/>
      <w:pPr>
        <w:ind w:left="5511" w:hanging="360"/>
      </w:pPr>
      <w:rPr>
        <w:rFonts w:ascii="Wingdings" w:hAnsi="Wingdings" w:hint="default"/>
      </w:rPr>
    </w:lvl>
    <w:lvl w:ilvl="6" w:tplc="FFFFFFFF" w:tentative="1">
      <w:start w:val="1"/>
      <w:numFmt w:val="bullet"/>
      <w:lvlText w:val=""/>
      <w:lvlJc w:val="left"/>
      <w:pPr>
        <w:ind w:left="6231" w:hanging="360"/>
      </w:pPr>
      <w:rPr>
        <w:rFonts w:ascii="Symbol" w:hAnsi="Symbol" w:hint="default"/>
      </w:rPr>
    </w:lvl>
    <w:lvl w:ilvl="7" w:tplc="FFFFFFFF" w:tentative="1">
      <w:start w:val="1"/>
      <w:numFmt w:val="bullet"/>
      <w:lvlText w:val="o"/>
      <w:lvlJc w:val="left"/>
      <w:pPr>
        <w:ind w:left="6951" w:hanging="360"/>
      </w:pPr>
      <w:rPr>
        <w:rFonts w:ascii="Courier New" w:hAnsi="Courier New" w:cs="Courier New" w:hint="default"/>
      </w:rPr>
    </w:lvl>
    <w:lvl w:ilvl="8" w:tplc="FFFFFFFF" w:tentative="1">
      <w:start w:val="1"/>
      <w:numFmt w:val="bullet"/>
      <w:lvlText w:val=""/>
      <w:lvlJc w:val="left"/>
      <w:pPr>
        <w:ind w:left="7671"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11"/>
  </w:num>
  <w:num w:numId="6">
    <w:abstractNumId w:val="6"/>
  </w:num>
  <w:num w:numId="7">
    <w:abstractNumId w:val="7"/>
  </w:num>
  <w:num w:numId="8">
    <w:abstractNumId w:val="3"/>
  </w:num>
  <w:num w:numId="9">
    <w:abstractNumId w:val="2"/>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E9"/>
    <w:rsid w:val="00162041"/>
    <w:rsid w:val="00227089"/>
    <w:rsid w:val="0029195E"/>
    <w:rsid w:val="002D5F88"/>
    <w:rsid w:val="00526E12"/>
    <w:rsid w:val="00572EF0"/>
    <w:rsid w:val="00630D70"/>
    <w:rsid w:val="006C59AB"/>
    <w:rsid w:val="00701911"/>
    <w:rsid w:val="007150FA"/>
    <w:rsid w:val="007A0B63"/>
    <w:rsid w:val="008C7DFC"/>
    <w:rsid w:val="009A12E9"/>
    <w:rsid w:val="009C2F84"/>
    <w:rsid w:val="00A37CD0"/>
    <w:rsid w:val="00AB7084"/>
    <w:rsid w:val="00BF6924"/>
    <w:rsid w:val="00D16F4D"/>
    <w:rsid w:val="00E13F7F"/>
    <w:rsid w:val="00E35791"/>
    <w:rsid w:val="00EF6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5EEB"/>
  <w15:chartTrackingRefBased/>
  <w15:docId w15:val="{EAAA8D56-E16A-43B4-A626-AF78CD3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E9"/>
    <w:pPr>
      <w:spacing w:before="240" w:after="240" w:line="276" w:lineRule="auto"/>
      <w:jc w:val="both"/>
    </w:pPr>
    <w:rPr>
      <w:rFonts w:ascii="Exo" w:hAnsi="Exo"/>
    </w:rPr>
  </w:style>
  <w:style w:type="paragraph" w:styleId="Ttulo1">
    <w:name w:val="heading 1"/>
    <w:basedOn w:val="Normal"/>
    <w:next w:val="Normal"/>
    <w:link w:val="Ttulo1Car"/>
    <w:uiPriority w:val="9"/>
    <w:qFormat/>
    <w:rsid w:val="009A12E9"/>
    <w:pPr>
      <w:keepNext/>
      <w:keepLines/>
      <w:numPr>
        <w:numId w:val="12"/>
      </w:numPr>
      <w:spacing w:before="60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9A12E9"/>
    <w:pPr>
      <w:keepNext/>
      <w:keepLines/>
      <w:numPr>
        <w:ilvl w:val="1"/>
        <w:numId w:val="12"/>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9A12E9"/>
    <w:pPr>
      <w:keepNext/>
      <w:keepLines/>
      <w:numPr>
        <w:ilvl w:val="2"/>
        <w:numId w:val="12"/>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12E9"/>
    <w:pPr>
      <w:keepNext/>
      <w:keepLines/>
      <w:numPr>
        <w:ilvl w:val="3"/>
        <w:numId w:val="1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12E9"/>
    <w:pPr>
      <w:keepNext/>
      <w:keepLines/>
      <w:numPr>
        <w:ilvl w:val="4"/>
        <w:numId w:val="1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12E9"/>
    <w:pPr>
      <w:keepNext/>
      <w:keepLines/>
      <w:numPr>
        <w:ilvl w:val="5"/>
        <w:numId w:val="1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12E9"/>
    <w:pPr>
      <w:keepNext/>
      <w:keepLines/>
      <w:numPr>
        <w:ilvl w:val="6"/>
        <w:numId w:val="1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12E9"/>
    <w:pPr>
      <w:keepNext/>
      <w:keepLines/>
      <w:numPr>
        <w:ilvl w:val="7"/>
        <w:numId w:val="1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12E9"/>
    <w:pPr>
      <w:keepNext/>
      <w:keepLines/>
      <w:numPr>
        <w:ilvl w:val="8"/>
        <w:numId w:val="1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2E9"/>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9A12E9"/>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9A12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12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12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12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12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12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12E9"/>
    <w:rPr>
      <w:rFonts w:eastAsiaTheme="majorEastAsia" w:cstheme="majorBidi"/>
      <w:color w:val="272727" w:themeColor="text1" w:themeTint="D8"/>
    </w:rPr>
  </w:style>
  <w:style w:type="paragraph" w:styleId="Ttulo">
    <w:name w:val="Title"/>
    <w:basedOn w:val="Normal"/>
    <w:next w:val="Normal"/>
    <w:link w:val="TtuloCar"/>
    <w:uiPriority w:val="10"/>
    <w:qFormat/>
    <w:rsid w:val="009A1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12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12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12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12E9"/>
    <w:pPr>
      <w:spacing w:before="160"/>
      <w:jc w:val="center"/>
    </w:pPr>
    <w:rPr>
      <w:i/>
      <w:iCs/>
      <w:color w:val="404040" w:themeColor="text1" w:themeTint="BF"/>
    </w:rPr>
  </w:style>
  <w:style w:type="character" w:customStyle="1" w:styleId="CitaCar">
    <w:name w:val="Cita Car"/>
    <w:basedOn w:val="Fuentedeprrafopredeter"/>
    <w:link w:val="Cita"/>
    <w:uiPriority w:val="29"/>
    <w:rsid w:val="009A12E9"/>
    <w:rPr>
      <w:i/>
      <w:iCs/>
      <w:color w:val="404040" w:themeColor="text1" w:themeTint="BF"/>
    </w:rPr>
  </w:style>
  <w:style w:type="paragraph" w:styleId="Prrafodelista">
    <w:name w:val="List Paragraph"/>
    <w:basedOn w:val="Normal"/>
    <w:uiPriority w:val="34"/>
    <w:qFormat/>
    <w:rsid w:val="009A12E9"/>
    <w:pPr>
      <w:ind w:left="720"/>
      <w:contextualSpacing/>
    </w:pPr>
  </w:style>
  <w:style w:type="character" w:styleId="nfasisintenso">
    <w:name w:val="Intense Emphasis"/>
    <w:basedOn w:val="Fuentedeprrafopredeter"/>
    <w:uiPriority w:val="21"/>
    <w:qFormat/>
    <w:rsid w:val="009A12E9"/>
    <w:rPr>
      <w:i/>
      <w:iCs/>
      <w:color w:val="0F4761" w:themeColor="accent1" w:themeShade="BF"/>
    </w:rPr>
  </w:style>
  <w:style w:type="paragraph" w:styleId="Citadestacada">
    <w:name w:val="Intense Quote"/>
    <w:basedOn w:val="Normal"/>
    <w:next w:val="Normal"/>
    <w:link w:val="CitadestacadaCar"/>
    <w:uiPriority w:val="30"/>
    <w:qFormat/>
    <w:rsid w:val="009A1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12E9"/>
    <w:rPr>
      <w:i/>
      <w:iCs/>
      <w:color w:val="0F4761" w:themeColor="accent1" w:themeShade="BF"/>
    </w:rPr>
  </w:style>
  <w:style w:type="character" w:styleId="Referenciaintensa">
    <w:name w:val="Intense Reference"/>
    <w:basedOn w:val="Fuentedeprrafopredeter"/>
    <w:uiPriority w:val="32"/>
    <w:qFormat/>
    <w:rsid w:val="009A12E9"/>
    <w:rPr>
      <w:b/>
      <w:bCs/>
      <w:smallCaps/>
      <w:color w:val="0F4761" w:themeColor="accent1" w:themeShade="BF"/>
      <w:spacing w:val="5"/>
    </w:rPr>
  </w:style>
  <w:style w:type="table" w:styleId="Tablaconcuadrcula">
    <w:name w:val="Table Grid"/>
    <w:basedOn w:val="Tablanormal"/>
    <w:uiPriority w:val="39"/>
    <w:rsid w:val="00E1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92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F6924"/>
    <w:rPr>
      <w:rFonts w:ascii="Exo" w:hAnsi="Exo"/>
    </w:rPr>
  </w:style>
  <w:style w:type="paragraph" w:styleId="Piedepgina">
    <w:name w:val="footer"/>
    <w:basedOn w:val="Normal"/>
    <w:link w:val="PiedepginaCar"/>
    <w:uiPriority w:val="99"/>
    <w:unhideWhenUsed/>
    <w:rsid w:val="00BF692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F6924"/>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3634</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13</cp:revision>
  <dcterms:created xsi:type="dcterms:W3CDTF">2025-04-15T22:30:00Z</dcterms:created>
  <dcterms:modified xsi:type="dcterms:W3CDTF">2025-04-22T20:48:00Z</dcterms:modified>
</cp:coreProperties>
</file>