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87D9" w14:textId="63153950" w:rsidR="006577A7" w:rsidRPr="00505966" w:rsidRDefault="008B167B" w:rsidP="00611258">
      <w:pPr>
        <w:rPr>
          <w:rFonts w:ascii="Arial" w:hAnsi="Arial" w:cs="Arial"/>
          <w:b/>
          <w:bCs/>
        </w:rPr>
      </w:pPr>
      <w:r w:rsidRPr="00505966">
        <w:rPr>
          <w:rFonts w:ascii="Arial" w:hAnsi="Arial" w:cs="Arial"/>
          <w:b/>
          <w:bCs/>
        </w:rPr>
        <w:t xml:space="preserve">ACUERDO QUE, A PROPUESTA DE LA COMISIÓN PERMANENTE DE ORGANIZACIÓN ELECTORAL Y EDUCACIÓN CÍVICA, EMITE EL CONSEJO ESTATAL DEL INSTITUTO ELECTORAL Y DE PARTICIPACIÓN CIUDADANA DE TABASCO POR EL QUE APRUEBA EL PROCEDIMIENTO DE RECOLECCIÓN, TRASLADO, CUSTODIA Y DEPÓSITO DE LOS PAQUETES ELECTORALES DE LOS 16 CONSEJOS ELECTORALES DISTRITALES UTILIZADOS EN EL PROCESO ELECTORAL LOCAL EXTRAORDINARIO PARA PERSONAS JUZGADORAS DEL PODER JUDICIAL DEL ESTADO DE TABASCO 2024-2025 A LA BODEGA CENTRAL DEL PROPIO INSTITUTO </w:t>
      </w:r>
    </w:p>
    <w:p w14:paraId="347D626C" w14:textId="44CD8078" w:rsidR="006577A7" w:rsidRPr="00505966" w:rsidRDefault="006577A7" w:rsidP="006577A7">
      <w:pPr>
        <w:rPr>
          <w:rFonts w:ascii="Arial" w:hAnsi="Arial" w:cs="Arial"/>
          <w:sz w:val="22"/>
          <w:szCs w:val="22"/>
        </w:rPr>
      </w:pPr>
      <w:r w:rsidRPr="00505966">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505966" w:rsidRPr="00505966" w14:paraId="7DEEC69C" w14:textId="77777777" w:rsidTr="009E1E52">
        <w:trPr>
          <w:trHeight w:val="624"/>
          <w:jc w:val="center"/>
        </w:trPr>
        <w:tc>
          <w:tcPr>
            <w:tcW w:w="2042" w:type="pct"/>
            <w:shd w:val="clear" w:color="auto" w:fill="auto"/>
            <w:vAlign w:val="center"/>
          </w:tcPr>
          <w:p w14:paraId="69FC2107"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Comisión:</w:t>
            </w:r>
          </w:p>
        </w:tc>
        <w:tc>
          <w:tcPr>
            <w:tcW w:w="2958" w:type="pct"/>
            <w:shd w:val="clear" w:color="auto" w:fill="auto"/>
            <w:vAlign w:val="center"/>
          </w:tcPr>
          <w:p w14:paraId="088C0028"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Comisión Permanente de Organización Electoral y Educación Cívica del Instituto Electoral y de Participación Ciudadana de Tabasco.</w:t>
            </w:r>
          </w:p>
        </w:tc>
      </w:tr>
      <w:tr w:rsidR="00505966" w:rsidRPr="00505966" w14:paraId="218B4D46" w14:textId="77777777" w:rsidTr="009E1E52">
        <w:trPr>
          <w:trHeight w:val="624"/>
          <w:jc w:val="center"/>
        </w:trPr>
        <w:tc>
          <w:tcPr>
            <w:tcW w:w="2042" w:type="pct"/>
            <w:shd w:val="clear" w:color="auto" w:fill="auto"/>
            <w:vAlign w:val="center"/>
          </w:tcPr>
          <w:p w14:paraId="4C4644D5" w14:textId="77777777" w:rsidR="006577A7" w:rsidRPr="00505966" w:rsidRDefault="006577A7" w:rsidP="009E1E52">
            <w:pPr>
              <w:widowControl w:val="0"/>
              <w:spacing w:before="120" w:after="120" w:line="264" w:lineRule="auto"/>
              <w:ind w:left="57"/>
              <w:jc w:val="right"/>
              <w:rPr>
                <w:rFonts w:ascii="Arial" w:hAnsi="Arial" w:cs="Arial"/>
                <w:b/>
                <w:sz w:val="20"/>
                <w:szCs w:val="20"/>
              </w:rPr>
            </w:pPr>
            <w:bookmarkStart w:id="0" w:name="_Hlk186652747"/>
            <w:r w:rsidRPr="00505966">
              <w:rPr>
                <w:rFonts w:ascii="Arial" w:hAnsi="Arial" w:cs="Arial"/>
                <w:b/>
                <w:sz w:val="20"/>
                <w:szCs w:val="20"/>
              </w:rPr>
              <w:t>Consejo Estatal:</w:t>
            </w:r>
          </w:p>
        </w:tc>
        <w:tc>
          <w:tcPr>
            <w:tcW w:w="2958" w:type="pct"/>
            <w:shd w:val="clear" w:color="auto" w:fill="auto"/>
            <w:vAlign w:val="center"/>
          </w:tcPr>
          <w:p w14:paraId="3ECB8A74"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Consejo Estatal del Instituto Electoral y de Participación Ciudadana de Tabasco.</w:t>
            </w:r>
          </w:p>
        </w:tc>
      </w:tr>
      <w:tr w:rsidR="00505966" w:rsidRPr="00505966" w14:paraId="39B94C70" w14:textId="77777777" w:rsidTr="009E1E52">
        <w:trPr>
          <w:trHeight w:val="624"/>
          <w:jc w:val="center"/>
        </w:trPr>
        <w:tc>
          <w:tcPr>
            <w:tcW w:w="2042" w:type="pct"/>
            <w:shd w:val="clear" w:color="auto" w:fill="auto"/>
            <w:vAlign w:val="center"/>
          </w:tcPr>
          <w:p w14:paraId="782034B1"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Consejos Distritales:</w:t>
            </w:r>
          </w:p>
        </w:tc>
        <w:tc>
          <w:tcPr>
            <w:tcW w:w="2958" w:type="pct"/>
            <w:shd w:val="clear" w:color="auto" w:fill="auto"/>
            <w:vAlign w:val="center"/>
          </w:tcPr>
          <w:p w14:paraId="06926856"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Consejos Electorales Distritales del Instituto Electoral y de Participación Ciudadana de Tabasco.</w:t>
            </w:r>
          </w:p>
        </w:tc>
      </w:tr>
      <w:tr w:rsidR="00505966" w:rsidRPr="00505966" w14:paraId="55B763B8" w14:textId="77777777" w:rsidTr="009E1E52">
        <w:trPr>
          <w:trHeight w:val="624"/>
          <w:jc w:val="center"/>
        </w:trPr>
        <w:tc>
          <w:tcPr>
            <w:tcW w:w="2042" w:type="pct"/>
            <w:shd w:val="clear" w:color="auto" w:fill="auto"/>
            <w:vAlign w:val="center"/>
          </w:tcPr>
          <w:p w14:paraId="14B62A13"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Constitución Federal:</w:t>
            </w:r>
          </w:p>
        </w:tc>
        <w:tc>
          <w:tcPr>
            <w:tcW w:w="2958" w:type="pct"/>
            <w:shd w:val="clear" w:color="auto" w:fill="auto"/>
            <w:vAlign w:val="center"/>
          </w:tcPr>
          <w:p w14:paraId="2B78D606"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Constitución Política de los Estados Unidos Mexicanos.</w:t>
            </w:r>
          </w:p>
        </w:tc>
      </w:tr>
      <w:tr w:rsidR="00505966" w:rsidRPr="00505966" w14:paraId="71B3A2AD" w14:textId="77777777" w:rsidTr="009E1E52">
        <w:trPr>
          <w:trHeight w:val="624"/>
          <w:jc w:val="center"/>
        </w:trPr>
        <w:tc>
          <w:tcPr>
            <w:tcW w:w="2042" w:type="pct"/>
            <w:shd w:val="clear" w:color="auto" w:fill="auto"/>
            <w:vAlign w:val="center"/>
          </w:tcPr>
          <w:p w14:paraId="777964E1"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Constitución Local:</w:t>
            </w:r>
          </w:p>
        </w:tc>
        <w:tc>
          <w:tcPr>
            <w:tcW w:w="2958" w:type="pct"/>
            <w:shd w:val="clear" w:color="auto" w:fill="auto"/>
            <w:vAlign w:val="center"/>
          </w:tcPr>
          <w:p w14:paraId="0720002E"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Constitución Política del Estado Libre y Soberano de Tabasco.</w:t>
            </w:r>
          </w:p>
        </w:tc>
      </w:tr>
      <w:tr w:rsidR="00505966" w:rsidRPr="00505966" w14:paraId="5AE650AA" w14:textId="77777777" w:rsidTr="009E1E52">
        <w:trPr>
          <w:trHeight w:val="624"/>
          <w:jc w:val="center"/>
        </w:trPr>
        <w:tc>
          <w:tcPr>
            <w:tcW w:w="2042" w:type="pct"/>
            <w:shd w:val="clear" w:color="auto" w:fill="auto"/>
            <w:vAlign w:val="center"/>
          </w:tcPr>
          <w:p w14:paraId="1374A902"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INE:</w:t>
            </w:r>
          </w:p>
        </w:tc>
        <w:tc>
          <w:tcPr>
            <w:tcW w:w="2958" w:type="pct"/>
            <w:shd w:val="clear" w:color="auto" w:fill="auto"/>
            <w:vAlign w:val="center"/>
          </w:tcPr>
          <w:p w14:paraId="7D846367"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Instituto Nacional Electoral.</w:t>
            </w:r>
          </w:p>
        </w:tc>
      </w:tr>
      <w:tr w:rsidR="00505966" w:rsidRPr="00505966" w14:paraId="3C1B7D14" w14:textId="77777777" w:rsidTr="009E1E52">
        <w:trPr>
          <w:trHeight w:val="624"/>
          <w:jc w:val="center"/>
        </w:trPr>
        <w:tc>
          <w:tcPr>
            <w:tcW w:w="2042" w:type="pct"/>
            <w:shd w:val="clear" w:color="auto" w:fill="auto"/>
            <w:vAlign w:val="center"/>
          </w:tcPr>
          <w:p w14:paraId="50B1797A"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Instituto:</w:t>
            </w:r>
          </w:p>
        </w:tc>
        <w:tc>
          <w:tcPr>
            <w:tcW w:w="2958" w:type="pct"/>
            <w:shd w:val="clear" w:color="auto" w:fill="auto"/>
          </w:tcPr>
          <w:p w14:paraId="438E107E"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Instituto Electoral y de Participación Ciudadana de Tabasco.</w:t>
            </w:r>
          </w:p>
        </w:tc>
      </w:tr>
      <w:tr w:rsidR="00505966" w:rsidRPr="00505966" w14:paraId="765BD654" w14:textId="77777777" w:rsidTr="009E1E52">
        <w:trPr>
          <w:trHeight w:val="624"/>
          <w:jc w:val="center"/>
        </w:trPr>
        <w:tc>
          <w:tcPr>
            <w:tcW w:w="2042" w:type="pct"/>
            <w:shd w:val="clear" w:color="auto" w:fill="auto"/>
            <w:vAlign w:val="center"/>
          </w:tcPr>
          <w:p w14:paraId="059A30CD"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Ley Electoral:</w:t>
            </w:r>
          </w:p>
        </w:tc>
        <w:tc>
          <w:tcPr>
            <w:tcW w:w="2958" w:type="pct"/>
            <w:shd w:val="clear" w:color="auto" w:fill="auto"/>
            <w:vAlign w:val="center"/>
          </w:tcPr>
          <w:p w14:paraId="074ED55C"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Ley Electoral y de Partidos Políticos del Estado de Tabasco.</w:t>
            </w:r>
          </w:p>
        </w:tc>
      </w:tr>
      <w:tr w:rsidR="00505966" w:rsidRPr="00505966" w14:paraId="4ACD7C7C" w14:textId="77777777" w:rsidTr="009E1E52">
        <w:trPr>
          <w:trHeight w:val="624"/>
          <w:jc w:val="center"/>
        </w:trPr>
        <w:tc>
          <w:tcPr>
            <w:tcW w:w="2042" w:type="pct"/>
            <w:shd w:val="clear" w:color="auto" w:fill="auto"/>
            <w:vAlign w:val="center"/>
          </w:tcPr>
          <w:p w14:paraId="3C3A3F4A"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Ley General:</w:t>
            </w:r>
          </w:p>
        </w:tc>
        <w:tc>
          <w:tcPr>
            <w:tcW w:w="2958" w:type="pct"/>
            <w:shd w:val="clear" w:color="auto" w:fill="auto"/>
            <w:vAlign w:val="center"/>
          </w:tcPr>
          <w:p w14:paraId="219ACD94"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Ley General de Instituciones y Procedimientos Electorales.</w:t>
            </w:r>
          </w:p>
        </w:tc>
      </w:tr>
      <w:tr w:rsidR="00505966" w:rsidRPr="00505966" w14:paraId="67059B79" w14:textId="77777777" w:rsidTr="009E1E52">
        <w:trPr>
          <w:trHeight w:val="624"/>
          <w:jc w:val="center"/>
        </w:trPr>
        <w:tc>
          <w:tcPr>
            <w:tcW w:w="2042" w:type="pct"/>
            <w:shd w:val="clear" w:color="auto" w:fill="auto"/>
            <w:vAlign w:val="center"/>
          </w:tcPr>
          <w:p w14:paraId="482D7318"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lastRenderedPageBreak/>
              <w:t>Organismo electoral:</w:t>
            </w:r>
          </w:p>
        </w:tc>
        <w:tc>
          <w:tcPr>
            <w:tcW w:w="2958" w:type="pct"/>
            <w:shd w:val="clear" w:color="auto" w:fill="auto"/>
            <w:vAlign w:val="center"/>
          </w:tcPr>
          <w:p w14:paraId="12A53597"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 xml:space="preserve">Organismo(s) público(s) local(es) electoral(es). </w:t>
            </w:r>
          </w:p>
        </w:tc>
      </w:tr>
      <w:tr w:rsidR="00505966" w:rsidRPr="00505966" w14:paraId="55743EE3" w14:textId="77777777" w:rsidTr="009E1E52">
        <w:trPr>
          <w:trHeight w:val="624"/>
          <w:jc w:val="center"/>
        </w:trPr>
        <w:tc>
          <w:tcPr>
            <w:tcW w:w="2042" w:type="pct"/>
            <w:shd w:val="clear" w:color="auto" w:fill="auto"/>
            <w:vAlign w:val="center"/>
          </w:tcPr>
          <w:p w14:paraId="5D2A64F2"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Proceso Electoral Extraordinario:</w:t>
            </w:r>
          </w:p>
        </w:tc>
        <w:tc>
          <w:tcPr>
            <w:tcW w:w="2958" w:type="pct"/>
            <w:shd w:val="clear" w:color="auto" w:fill="auto"/>
            <w:vAlign w:val="center"/>
          </w:tcPr>
          <w:p w14:paraId="3E6F78A6"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Proceso Electoral Local Extraordinario para personas juzgadoras del Poder Judicial del Estado de Tabasco 2024 – 2025.</w:t>
            </w:r>
          </w:p>
        </w:tc>
      </w:tr>
      <w:tr w:rsidR="00505966" w:rsidRPr="00505966" w14:paraId="02823A37" w14:textId="77777777" w:rsidTr="009E1E52">
        <w:trPr>
          <w:trHeight w:val="624"/>
          <w:jc w:val="center"/>
        </w:trPr>
        <w:tc>
          <w:tcPr>
            <w:tcW w:w="2042" w:type="pct"/>
            <w:shd w:val="clear" w:color="auto" w:fill="auto"/>
            <w:vAlign w:val="center"/>
          </w:tcPr>
          <w:p w14:paraId="679D6859"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Reglamento de Elecciones:</w:t>
            </w:r>
          </w:p>
        </w:tc>
        <w:tc>
          <w:tcPr>
            <w:tcW w:w="2958" w:type="pct"/>
            <w:shd w:val="clear" w:color="auto" w:fill="auto"/>
            <w:vAlign w:val="center"/>
          </w:tcPr>
          <w:p w14:paraId="1CB90F07"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Reglamento de Elecciones del Instituto Nacional Electoral.</w:t>
            </w:r>
          </w:p>
        </w:tc>
      </w:tr>
      <w:tr w:rsidR="00505966" w:rsidRPr="00505966" w14:paraId="20514D2B" w14:textId="77777777" w:rsidTr="009E1E52">
        <w:trPr>
          <w:trHeight w:val="624"/>
          <w:jc w:val="center"/>
        </w:trPr>
        <w:tc>
          <w:tcPr>
            <w:tcW w:w="2042" w:type="pct"/>
            <w:shd w:val="clear" w:color="auto" w:fill="auto"/>
            <w:vAlign w:val="center"/>
          </w:tcPr>
          <w:p w14:paraId="59000C12" w14:textId="77777777" w:rsidR="006577A7" w:rsidRPr="00505966" w:rsidRDefault="006577A7" w:rsidP="009E1E52">
            <w:pPr>
              <w:widowControl w:val="0"/>
              <w:spacing w:before="120" w:after="120" w:line="264" w:lineRule="auto"/>
              <w:ind w:left="57"/>
              <w:jc w:val="right"/>
              <w:rPr>
                <w:rFonts w:ascii="Arial" w:hAnsi="Arial" w:cs="Arial"/>
                <w:b/>
                <w:sz w:val="20"/>
                <w:szCs w:val="20"/>
              </w:rPr>
            </w:pPr>
            <w:r w:rsidRPr="00505966">
              <w:rPr>
                <w:rFonts w:ascii="Arial" w:hAnsi="Arial" w:cs="Arial"/>
                <w:b/>
                <w:sz w:val="20"/>
                <w:szCs w:val="20"/>
              </w:rPr>
              <w:t>Secretaría Ejecutiva:</w:t>
            </w:r>
          </w:p>
        </w:tc>
        <w:tc>
          <w:tcPr>
            <w:tcW w:w="2958" w:type="pct"/>
            <w:shd w:val="clear" w:color="auto" w:fill="auto"/>
            <w:vAlign w:val="center"/>
          </w:tcPr>
          <w:p w14:paraId="71DC024E" w14:textId="77777777" w:rsidR="006577A7" w:rsidRPr="00505966" w:rsidRDefault="006577A7" w:rsidP="009E1E52">
            <w:pPr>
              <w:widowControl w:val="0"/>
              <w:spacing w:before="120" w:after="120" w:line="264" w:lineRule="auto"/>
              <w:ind w:left="57"/>
              <w:rPr>
                <w:rFonts w:ascii="Arial" w:hAnsi="Arial" w:cs="Arial"/>
                <w:sz w:val="20"/>
                <w:szCs w:val="20"/>
              </w:rPr>
            </w:pPr>
            <w:r w:rsidRPr="00505966">
              <w:rPr>
                <w:rFonts w:ascii="Arial" w:hAnsi="Arial" w:cs="Arial"/>
                <w:sz w:val="20"/>
                <w:szCs w:val="20"/>
              </w:rPr>
              <w:t>Secretaría Ejecutiva del Instituto Electoral y de Participación Ciudadana de Tabasco.</w:t>
            </w:r>
          </w:p>
        </w:tc>
      </w:tr>
    </w:tbl>
    <w:bookmarkEnd w:id="0"/>
    <w:p w14:paraId="628AD0CB" w14:textId="430CDD4F" w:rsidR="006577A7" w:rsidRPr="00505966" w:rsidRDefault="006577A7" w:rsidP="00BD0975">
      <w:pPr>
        <w:pStyle w:val="Ttulo1"/>
        <w:rPr>
          <w:rFonts w:ascii="Arial" w:hAnsi="Arial" w:cs="Arial"/>
          <w:sz w:val="24"/>
          <w:szCs w:val="24"/>
        </w:rPr>
      </w:pPr>
      <w:r w:rsidRPr="00505966">
        <w:rPr>
          <w:rFonts w:ascii="Arial" w:hAnsi="Arial" w:cs="Arial"/>
          <w:sz w:val="24"/>
          <w:szCs w:val="24"/>
        </w:rPr>
        <w:t>Antecedentes</w:t>
      </w:r>
    </w:p>
    <w:p w14:paraId="0278D42A" w14:textId="41FEB50F" w:rsidR="006577A7" w:rsidRPr="00505966" w:rsidRDefault="006577A7" w:rsidP="006577A7">
      <w:pPr>
        <w:pStyle w:val="Ttulo2"/>
        <w:rPr>
          <w:rFonts w:ascii="Arial" w:hAnsi="Arial" w:cs="Arial"/>
          <w:sz w:val="22"/>
          <w:szCs w:val="22"/>
        </w:rPr>
      </w:pPr>
      <w:r w:rsidRPr="00505966">
        <w:rPr>
          <w:rFonts w:ascii="Arial" w:hAnsi="Arial" w:cs="Arial"/>
          <w:sz w:val="22"/>
          <w:szCs w:val="22"/>
        </w:rPr>
        <w:t>Fines del Instituto</w:t>
      </w:r>
    </w:p>
    <w:p w14:paraId="70700F9E" w14:textId="77777777" w:rsidR="006577A7" w:rsidRPr="00505966" w:rsidRDefault="006577A7" w:rsidP="006577A7">
      <w:pPr>
        <w:rPr>
          <w:rFonts w:ascii="Arial" w:hAnsi="Arial" w:cs="Arial"/>
          <w:sz w:val="22"/>
          <w:szCs w:val="22"/>
        </w:rPr>
      </w:pPr>
      <w:r w:rsidRPr="00505966">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61421BB" w14:textId="77777777" w:rsidR="006577A7" w:rsidRPr="00505966" w:rsidRDefault="006577A7" w:rsidP="006577A7">
      <w:pPr>
        <w:rPr>
          <w:rFonts w:ascii="Arial" w:hAnsi="Arial" w:cs="Arial"/>
          <w:sz w:val="22"/>
          <w:szCs w:val="22"/>
        </w:rPr>
      </w:pPr>
      <w:r w:rsidRPr="00505966">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1D5EBAC2" w14:textId="77777777" w:rsidR="006577A7" w:rsidRPr="00505966" w:rsidRDefault="006577A7" w:rsidP="006577A7">
      <w:pPr>
        <w:rPr>
          <w:rFonts w:ascii="Arial" w:hAnsi="Arial" w:cs="Arial"/>
          <w:sz w:val="22"/>
          <w:szCs w:val="22"/>
        </w:rPr>
      </w:pPr>
      <w:r w:rsidRPr="00505966">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w:t>
      </w:r>
      <w:r w:rsidRPr="00505966">
        <w:rPr>
          <w:rFonts w:ascii="Arial" w:hAnsi="Arial" w:cs="Arial"/>
          <w:sz w:val="22"/>
          <w:szCs w:val="22"/>
        </w:rPr>
        <w:lastRenderedPageBreak/>
        <w:t>y electoral, y organizar o coadyuvar a la realización de los ejercicios de consultas populares y demás formas de participación ciudadana.</w:t>
      </w:r>
    </w:p>
    <w:p w14:paraId="562F6450" w14:textId="41850E48" w:rsidR="006577A7" w:rsidRPr="00505966" w:rsidRDefault="006577A7" w:rsidP="006577A7">
      <w:pPr>
        <w:pStyle w:val="Ttulo2"/>
        <w:rPr>
          <w:rFonts w:ascii="Arial" w:hAnsi="Arial" w:cs="Arial"/>
          <w:sz w:val="22"/>
          <w:szCs w:val="22"/>
        </w:rPr>
      </w:pPr>
      <w:r w:rsidRPr="00505966">
        <w:rPr>
          <w:rFonts w:ascii="Arial" w:hAnsi="Arial" w:cs="Arial"/>
          <w:sz w:val="22"/>
          <w:szCs w:val="22"/>
        </w:rPr>
        <w:t>Integración del órgano superior de dirección</w:t>
      </w:r>
    </w:p>
    <w:p w14:paraId="732847F9" w14:textId="77777777" w:rsidR="006577A7" w:rsidRPr="00505966" w:rsidRDefault="006577A7" w:rsidP="006577A7">
      <w:pPr>
        <w:rPr>
          <w:rFonts w:ascii="Arial" w:hAnsi="Arial" w:cs="Arial"/>
          <w:sz w:val="22"/>
          <w:szCs w:val="22"/>
        </w:rPr>
      </w:pPr>
      <w:r w:rsidRPr="00505966">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B5DFF69" w14:textId="77777777" w:rsidR="006577A7" w:rsidRPr="00505966" w:rsidRDefault="006577A7" w:rsidP="006577A7">
      <w:pPr>
        <w:rPr>
          <w:rFonts w:ascii="Arial" w:hAnsi="Arial" w:cs="Arial"/>
          <w:sz w:val="22"/>
          <w:szCs w:val="22"/>
        </w:rPr>
      </w:pPr>
      <w:r w:rsidRPr="00505966">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01C44FA" w14:textId="77777777" w:rsidR="006577A7" w:rsidRPr="00505966" w:rsidRDefault="006577A7" w:rsidP="006577A7">
      <w:pPr>
        <w:rPr>
          <w:rFonts w:ascii="Arial" w:hAnsi="Arial" w:cs="Arial"/>
          <w:sz w:val="22"/>
          <w:szCs w:val="22"/>
        </w:rPr>
      </w:pPr>
      <w:r w:rsidRPr="00505966">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78ED89A" w14:textId="2881C935" w:rsidR="006577A7" w:rsidRPr="00505966" w:rsidRDefault="006577A7" w:rsidP="006577A7">
      <w:pPr>
        <w:pStyle w:val="Ttulo2"/>
        <w:rPr>
          <w:rFonts w:ascii="Arial" w:hAnsi="Arial" w:cs="Arial"/>
          <w:sz w:val="22"/>
          <w:szCs w:val="22"/>
        </w:rPr>
      </w:pPr>
      <w:r w:rsidRPr="00505966">
        <w:rPr>
          <w:rFonts w:ascii="Arial" w:hAnsi="Arial" w:cs="Arial"/>
          <w:sz w:val="22"/>
          <w:szCs w:val="22"/>
        </w:rPr>
        <w:t>Órganos centrales del Instituto</w:t>
      </w:r>
    </w:p>
    <w:p w14:paraId="2E18651D" w14:textId="77777777" w:rsidR="006577A7" w:rsidRPr="00505966" w:rsidRDefault="006577A7" w:rsidP="006577A7">
      <w:pPr>
        <w:rPr>
          <w:rFonts w:ascii="Arial" w:hAnsi="Arial" w:cs="Arial"/>
          <w:sz w:val="22"/>
          <w:szCs w:val="22"/>
        </w:rPr>
      </w:pPr>
      <w:r w:rsidRPr="00505966">
        <w:rPr>
          <w:rFonts w:ascii="Arial" w:hAnsi="Arial" w:cs="Arial"/>
          <w:sz w:val="22"/>
          <w:szCs w:val="22"/>
        </w:rPr>
        <w:t>De acuerdo con el artículo 105 numeral 1 de la Ley Electoral los órganos centrales del Instituto son los siguientes:</w:t>
      </w:r>
    </w:p>
    <w:p w14:paraId="78EBC2DA" w14:textId="2F689291" w:rsidR="006577A7" w:rsidRPr="00505966" w:rsidRDefault="006577A7" w:rsidP="006577A7">
      <w:pPr>
        <w:pStyle w:val="Prrafodelista"/>
        <w:numPr>
          <w:ilvl w:val="0"/>
          <w:numId w:val="2"/>
        </w:numPr>
        <w:rPr>
          <w:rFonts w:ascii="Arial" w:hAnsi="Arial" w:cs="Arial"/>
          <w:sz w:val="22"/>
          <w:szCs w:val="22"/>
        </w:rPr>
      </w:pPr>
      <w:r w:rsidRPr="00505966">
        <w:rPr>
          <w:rFonts w:ascii="Arial" w:hAnsi="Arial" w:cs="Arial"/>
          <w:sz w:val="22"/>
          <w:szCs w:val="22"/>
        </w:rPr>
        <w:t>Consejo Estatal;</w:t>
      </w:r>
    </w:p>
    <w:p w14:paraId="079F23AE" w14:textId="0BB516D1" w:rsidR="006577A7" w:rsidRPr="00505966" w:rsidRDefault="006577A7" w:rsidP="006577A7">
      <w:pPr>
        <w:pStyle w:val="Prrafodelista"/>
        <w:numPr>
          <w:ilvl w:val="0"/>
          <w:numId w:val="2"/>
        </w:numPr>
        <w:rPr>
          <w:rFonts w:ascii="Arial" w:hAnsi="Arial" w:cs="Arial"/>
          <w:sz w:val="22"/>
          <w:szCs w:val="22"/>
        </w:rPr>
      </w:pPr>
      <w:r w:rsidRPr="00505966">
        <w:rPr>
          <w:rFonts w:ascii="Arial" w:hAnsi="Arial" w:cs="Arial"/>
          <w:sz w:val="22"/>
          <w:szCs w:val="22"/>
        </w:rPr>
        <w:t>Presidencia del Consejo Estatal;</w:t>
      </w:r>
    </w:p>
    <w:p w14:paraId="7F286EB3" w14:textId="566EB14A" w:rsidR="006577A7" w:rsidRPr="00505966" w:rsidRDefault="006577A7" w:rsidP="006577A7">
      <w:pPr>
        <w:pStyle w:val="Prrafodelista"/>
        <w:numPr>
          <w:ilvl w:val="0"/>
          <w:numId w:val="2"/>
        </w:numPr>
        <w:rPr>
          <w:rFonts w:ascii="Arial" w:hAnsi="Arial" w:cs="Arial"/>
          <w:sz w:val="22"/>
          <w:szCs w:val="22"/>
        </w:rPr>
      </w:pPr>
      <w:r w:rsidRPr="00505966">
        <w:rPr>
          <w:rFonts w:ascii="Arial" w:hAnsi="Arial" w:cs="Arial"/>
          <w:sz w:val="22"/>
          <w:szCs w:val="22"/>
        </w:rPr>
        <w:t>Junta Estatal Ejecutiva;</w:t>
      </w:r>
    </w:p>
    <w:p w14:paraId="4D2BB479" w14:textId="11C2FF80" w:rsidR="006577A7" w:rsidRPr="00505966" w:rsidRDefault="006577A7" w:rsidP="006577A7">
      <w:pPr>
        <w:pStyle w:val="Prrafodelista"/>
        <w:numPr>
          <w:ilvl w:val="0"/>
          <w:numId w:val="2"/>
        </w:numPr>
        <w:rPr>
          <w:rFonts w:ascii="Arial" w:hAnsi="Arial" w:cs="Arial"/>
          <w:sz w:val="22"/>
          <w:szCs w:val="22"/>
        </w:rPr>
      </w:pPr>
      <w:r w:rsidRPr="00505966">
        <w:rPr>
          <w:rFonts w:ascii="Arial" w:hAnsi="Arial" w:cs="Arial"/>
          <w:sz w:val="22"/>
          <w:szCs w:val="22"/>
        </w:rPr>
        <w:t>Secretaría Ejecutiva, y</w:t>
      </w:r>
    </w:p>
    <w:p w14:paraId="20B77215" w14:textId="5592F4E0" w:rsidR="006577A7" w:rsidRDefault="006577A7" w:rsidP="006577A7">
      <w:pPr>
        <w:pStyle w:val="Prrafodelista"/>
        <w:numPr>
          <w:ilvl w:val="0"/>
          <w:numId w:val="2"/>
        </w:numPr>
        <w:rPr>
          <w:rFonts w:ascii="Arial" w:hAnsi="Arial" w:cs="Arial"/>
          <w:sz w:val="22"/>
          <w:szCs w:val="22"/>
        </w:rPr>
      </w:pPr>
      <w:r w:rsidRPr="00505966">
        <w:rPr>
          <w:rFonts w:ascii="Arial" w:hAnsi="Arial" w:cs="Arial"/>
          <w:sz w:val="22"/>
          <w:szCs w:val="22"/>
        </w:rPr>
        <w:t>Órgano Técnico de Fiscalización.</w:t>
      </w:r>
    </w:p>
    <w:p w14:paraId="01C9136A" w14:textId="058FEADC" w:rsidR="000541E0" w:rsidRDefault="000541E0" w:rsidP="000541E0">
      <w:pPr>
        <w:rPr>
          <w:rFonts w:ascii="Arial" w:hAnsi="Arial" w:cs="Arial"/>
          <w:sz w:val="22"/>
          <w:szCs w:val="22"/>
        </w:rPr>
      </w:pPr>
    </w:p>
    <w:p w14:paraId="7D31AB5F" w14:textId="77777777" w:rsidR="000541E0" w:rsidRPr="000541E0" w:rsidRDefault="000541E0" w:rsidP="000541E0">
      <w:pPr>
        <w:rPr>
          <w:rFonts w:ascii="Arial" w:hAnsi="Arial" w:cs="Arial"/>
          <w:sz w:val="22"/>
          <w:szCs w:val="22"/>
        </w:rPr>
      </w:pPr>
    </w:p>
    <w:p w14:paraId="38A0473A" w14:textId="0C568170" w:rsidR="006577A7" w:rsidRPr="00505966" w:rsidRDefault="006577A7" w:rsidP="006577A7">
      <w:pPr>
        <w:pStyle w:val="Ttulo2"/>
        <w:rPr>
          <w:rFonts w:ascii="Arial" w:hAnsi="Arial" w:cs="Arial"/>
          <w:sz w:val="22"/>
          <w:szCs w:val="22"/>
        </w:rPr>
      </w:pPr>
      <w:r w:rsidRPr="00505966">
        <w:rPr>
          <w:rFonts w:ascii="Arial" w:hAnsi="Arial" w:cs="Arial"/>
          <w:sz w:val="22"/>
          <w:szCs w:val="22"/>
        </w:rPr>
        <w:lastRenderedPageBreak/>
        <w:t xml:space="preserve">Reforma Constitucional </w:t>
      </w:r>
    </w:p>
    <w:p w14:paraId="77D94D5D" w14:textId="77777777" w:rsidR="006577A7" w:rsidRPr="00505966" w:rsidRDefault="006577A7" w:rsidP="006577A7">
      <w:pPr>
        <w:rPr>
          <w:rFonts w:ascii="Arial" w:hAnsi="Arial" w:cs="Arial"/>
          <w:sz w:val="22"/>
          <w:szCs w:val="22"/>
        </w:rPr>
      </w:pPr>
      <w:r w:rsidRPr="00505966">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6679EC0F" w14:textId="77777777" w:rsidR="006577A7" w:rsidRPr="00505966" w:rsidRDefault="006577A7" w:rsidP="006577A7">
      <w:pPr>
        <w:rPr>
          <w:rFonts w:ascii="Arial" w:hAnsi="Arial" w:cs="Arial"/>
          <w:sz w:val="22"/>
          <w:szCs w:val="22"/>
        </w:rPr>
      </w:pPr>
      <w:r w:rsidRPr="00505966">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6E61DE47" w14:textId="4AFC3496" w:rsidR="006577A7" w:rsidRPr="00505966" w:rsidRDefault="006577A7" w:rsidP="006577A7">
      <w:pPr>
        <w:pStyle w:val="Ttulo2"/>
        <w:rPr>
          <w:rFonts w:ascii="Arial" w:hAnsi="Arial" w:cs="Arial"/>
          <w:sz w:val="22"/>
          <w:szCs w:val="22"/>
        </w:rPr>
      </w:pPr>
      <w:r w:rsidRPr="00505966">
        <w:rPr>
          <w:rFonts w:ascii="Arial" w:hAnsi="Arial" w:cs="Arial"/>
          <w:sz w:val="22"/>
          <w:szCs w:val="22"/>
        </w:rPr>
        <w:t>Inicio del Proceso Electoral Extraordinario</w:t>
      </w:r>
    </w:p>
    <w:p w14:paraId="3B993A09" w14:textId="77777777" w:rsidR="006577A7" w:rsidRPr="00505966" w:rsidRDefault="006577A7" w:rsidP="006577A7">
      <w:pPr>
        <w:rPr>
          <w:rFonts w:ascii="Arial" w:hAnsi="Arial" w:cs="Arial"/>
          <w:sz w:val="22"/>
          <w:szCs w:val="22"/>
        </w:rPr>
      </w:pPr>
      <w:r w:rsidRPr="00505966">
        <w:rPr>
          <w:rFonts w:ascii="Arial" w:hAnsi="Arial" w:cs="Arial"/>
          <w:sz w:val="22"/>
          <w:szCs w:val="22"/>
        </w:rPr>
        <w:t>El 20 de diciembre de 2024, en cumplimiento al artículo segundo transitorio del decreto 080, el Consejo Estatal declaró el inicio del Proceso Electoral Extraordinario para elegir a las Magistraturas que integran el Tribunal de Disciplina Judicial, el cincuenta por ciento de las Magistraturas que integran el Pleno del Tribunal Superior de Justicia, así como el cincuenta por ciento de las Juezas y Jueces del Poder Judicial del Estado.</w:t>
      </w:r>
    </w:p>
    <w:p w14:paraId="5135FE2C" w14:textId="674D51FA" w:rsidR="006577A7" w:rsidRPr="00505966" w:rsidRDefault="006577A7" w:rsidP="006577A7">
      <w:pPr>
        <w:pStyle w:val="Ttulo2"/>
        <w:rPr>
          <w:rFonts w:ascii="Arial" w:hAnsi="Arial" w:cs="Arial"/>
          <w:sz w:val="22"/>
          <w:szCs w:val="22"/>
        </w:rPr>
      </w:pPr>
      <w:r w:rsidRPr="00505966">
        <w:rPr>
          <w:rFonts w:ascii="Arial" w:hAnsi="Arial" w:cs="Arial"/>
          <w:sz w:val="22"/>
          <w:szCs w:val="22"/>
        </w:rPr>
        <w:t>Reforma a la Ley Electoral</w:t>
      </w:r>
    </w:p>
    <w:p w14:paraId="1F64CE14" w14:textId="7E9CCFF4" w:rsidR="006577A7" w:rsidRDefault="006577A7" w:rsidP="006577A7">
      <w:pPr>
        <w:rPr>
          <w:rFonts w:ascii="Arial" w:hAnsi="Arial" w:cs="Arial"/>
          <w:sz w:val="22"/>
          <w:szCs w:val="22"/>
        </w:rPr>
      </w:pPr>
      <w:r w:rsidRPr="00505966">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60E2C2F1" w14:textId="0BAFA100" w:rsidR="000541E0" w:rsidRDefault="000541E0" w:rsidP="006577A7">
      <w:pPr>
        <w:rPr>
          <w:rFonts w:ascii="Arial" w:hAnsi="Arial" w:cs="Arial"/>
          <w:sz w:val="22"/>
          <w:szCs w:val="22"/>
        </w:rPr>
      </w:pPr>
    </w:p>
    <w:p w14:paraId="6BC03651" w14:textId="77777777" w:rsidR="000541E0" w:rsidRDefault="000541E0" w:rsidP="006577A7">
      <w:pPr>
        <w:rPr>
          <w:rFonts w:ascii="Arial" w:hAnsi="Arial" w:cs="Arial"/>
          <w:sz w:val="22"/>
          <w:szCs w:val="22"/>
        </w:rPr>
      </w:pPr>
    </w:p>
    <w:p w14:paraId="23271E93" w14:textId="53C0AE8F" w:rsidR="006577A7" w:rsidRPr="00505966" w:rsidRDefault="006577A7" w:rsidP="006577A7">
      <w:pPr>
        <w:pStyle w:val="Ttulo2"/>
        <w:rPr>
          <w:rFonts w:ascii="Arial" w:hAnsi="Arial" w:cs="Arial"/>
          <w:sz w:val="22"/>
          <w:szCs w:val="22"/>
        </w:rPr>
      </w:pPr>
      <w:r w:rsidRPr="00505966">
        <w:rPr>
          <w:rFonts w:ascii="Arial" w:hAnsi="Arial" w:cs="Arial"/>
          <w:sz w:val="22"/>
          <w:szCs w:val="22"/>
        </w:rPr>
        <w:lastRenderedPageBreak/>
        <w:t>Jornada electoral</w:t>
      </w:r>
    </w:p>
    <w:p w14:paraId="2ECCAD05" w14:textId="78281BF8" w:rsidR="006577A7" w:rsidRDefault="006577A7" w:rsidP="006577A7">
      <w:pPr>
        <w:rPr>
          <w:rFonts w:ascii="Arial" w:hAnsi="Arial" w:cs="Arial"/>
          <w:sz w:val="22"/>
          <w:szCs w:val="22"/>
        </w:rPr>
      </w:pPr>
      <w:r w:rsidRPr="00505966">
        <w:rPr>
          <w:rFonts w:ascii="Arial" w:hAnsi="Arial" w:cs="Arial"/>
          <w:sz w:val="22"/>
          <w:szCs w:val="22"/>
        </w:rPr>
        <w:t>En términos del artículo segundo transitorio del decreto 080, la jornada electoral se llevó a cabo el primer domingo de junio del año de la elección; que, en el caso del Proceso Electoral Extraordinario, correspondió al 1 de junio de 2025.</w:t>
      </w:r>
    </w:p>
    <w:p w14:paraId="7D165475" w14:textId="05D73A8D" w:rsidR="006577A7" w:rsidRPr="00505966" w:rsidRDefault="006577A7" w:rsidP="006577A7">
      <w:pPr>
        <w:pStyle w:val="Ttulo2"/>
        <w:rPr>
          <w:rFonts w:ascii="Arial" w:hAnsi="Arial" w:cs="Arial"/>
          <w:sz w:val="22"/>
          <w:szCs w:val="22"/>
        </w:rPr>
      </w:pPr>
      <w:r w:rsidRPr="00505966">
        <w:rPr>
          <w:rFonts w:ascii="Arial" w:hAnsi="Arial" w:cs="Arial"/>
          <w:sz w:val="22"/>
          <w:szCs w:val="22"/>
        </w:rPr>
        <w:t>Cómputos distritales</w:t>
      </w:r>
    </w:p>
    <w:p w14:paraId="5CB2FCD2" w14:textId="77777777" w:rsidR="006577A7" w:rsidRPr="00505966" w:rsidRDefault="006577A7" w:rsidP="006577A7">
      <w:pPr>
        <w:rPr>
          <w:rFonts w:ascii="Arial" w:hAnsi="Arial" w:cs="Arial"/>
          <w:sz w:val="22"/>
          <w:szCs w:val="22"/>
        </w:rPr>
      </w:pPr>
      <w:r w:rsidRPr="00505966">
        <w:rPr>
          <w:rFonts w:ascii="Arial" w:hAnsi="Arial" w:cs="Arial"/>
          <w:sz w:val="22"/>
          <w:szCs w:val="22"/>
        </w:rPr>
        <w:t>Una vez concluida la jornada electoral, los Consejos Distritales procedieron al escrutinio y cómputo de las elecciones, entre ellas, la de Juezas y Jueces por especialidad, remitiendo al Consejo Estatal, las actas originales con los resultados correspondientes a dicha elección.</w:t>
      </w:r>
    </w:p>
    <w:p w14:paraId="71A00AF5" w14:textId="2CF6B3E4" w:rsidR="006577A7" w:rsidRPr="00505966" w:rsidRDefault="006577A7" w:rsidP="006577A7">
      <w:pPr>
        <w:pStyle w:val="Ttulo2"/>
        <w:rPr>
          <w:rFonts w:ascii="Arial" w:hAnsi="Arial" w:cs="Arial"/>
          <w:sz w:val="22"/>
          <w:szCs w:val="22"/>
        </w:rPr>
      </w:pPr>
      <w:r w:rsidRPr="00505966">
        <w:rPr>
          <w:rFonts w:ascii="Arial" w:hAnsi="Arial" w:cs="Arial"/>
          <w:sz w:val="22"/>
          <w:szCs w:val="22"/>
        </w:rPr>
        <w:t>Sumatoria y cómputo de la elección</w:t>
      </w:r>
    </w:p>
    <w:p w14:paraId="42D9346E" w14:textId="5C6DA6B2" w:rsidR="006577A7" w:rsidRPr="00505966" w:rsidRDefault="006577A7" w:rsidP="006577A7">
      <w:pPr>
        <w:rPr>
          <w:rFonts w:ascii="Arial" w:hAnsi="Arial" w:cs="Arial"/>
          <w:sz w:val="22"/>
          <w:szCs w:val="22"/>
        </w:rPr>
      </w:pPr>
      <w:r w:rsidRPr="00505966">
        <w:rPr>
          <w:rFonts w:ascii="Arial" w:hAnsi="Arial" w:cs="Arial"/>
          <w:sz w:val="22"/>
          <w:szCs w:val="22"/>
        </w:rPr>
        <w:t>El 12 de junio de 2025, el Consejo Estatal realizó la sumatoria y el cómputo de las elecciones relativas a las Magistraturas del Tribunal de Disciplina Judicial, del Tribunal Superior de Justicia, de las juezas y jueces penales y por especialidad, así como la asignación entre las candidaturas que obtuvieron el mayor número de votos y la declaración de validez de dichas elecciones con motivo del Proceso Electoral Extraordinario.</w:t>
      </w:r>
    </w:p>
    <w:p w14:paraId="5999E8EB" w14:textId="3B8EB916" w:rsidR="006577A7" w:rsidRPr="00505966" w:rsidRDefault="006577A7" w:rsidP="006577A7">
      <w:pPr>
        <w:pStyle w:val="Ttulo1"/>
        <w:rPr>
          <w:rFonts w:ascii="Arial" w:hAnsi="Arial" w:cs="Arial"/>
          <w:sz w:val="24"/>
          <w:szCs w:val="24"/>
        </w:rPr>
      </w:pPr>
      <w:r w:rsidRPr="00505966">
        <w:rPr>
          <w:rFonts w:ascii="Arial" w:hAnsi="Arial" w:cs="Arial"/>
          <w:sz w:val="24"/>
          <w:szCs w:val="24"/>
        </w:rPr>
        <w:t>Considerando</w:t>
      </w:r>
    </w:p>
    <w:p w14:paraId="0089570B" w14:textId="052C4AAE" w:rsidR="006577A7" w:rsidRPr="00505966" w:rsidRDefault="006577A7" w:rsidP="006577A7">
      <w:pPr>
        <w:pStyle w:val="Ttulo2"/>
        <w:rPr>
          <w:rFonts w:ascii="Arial" w:hAnsi="Arial" w:cs="Arial"/>
          <w:sz w:val="22"/>
          <w:szCs w:val="22"/>
        </w:rPr>
      </w:pPr>
      <w:r w:rsidRPr="00505966">
        <w:rPr>
          <w:rFonts w:ascii="Arial" w:hAnsi="Arial" w:cs="Arial"/>
          <w:sz w:val="22"/>
          <w:szCs w:val="22"/>
        </w:rPr>
        <w:t>Competencia del Consejo Estatal</w:t>
      </w:r>
    </w:p>
    <w:p w14:paraId="2FDCE20A" w14:textId="77777777" w:rsidR="006577A7" w:rsidRPr="00505966" w:rsidRDefault="006577A7" w:rsidP="006577A7">
      <w:pPr>
        <w:rPr>
          <w:rFonts w:ascii="Arial" w:hAnsi="Arial" w:cs="Arial"/>
          <w:sz w:val="22"/>
          <w:szCs w:val="22"/>
        </w:rPr>
      </w:pPr>
      <w:r w:rsidRPr="00505966">
        <w:rPr>
          <w:rFonts w:ascii="Arial" w:hAnsi="Arial" w:cs="Arial"/>
          <w:sz w:val="22"/>
          <w:szCs w:val="22"/>
        </w:rPr>
        <w:t>Que, de conformidad con los artículos 56 fracción IV de la Constitución local, 115 numeral 1, fracción XL y 393 numeral 1, fracción V de la Ley Electoral, el Consejo Estatal es competente para organizar el proceso electivo de las personas juzgadoras, su jornada electoral y los cómputos de los resultados electorales, en los términos que determine la Ley General y dicha Ley.</w:t>
      </w:r>
    </w:p>
    <w:p w14:paraId="45BCD583" w14:textId="47D87772" w:rsidR="006577A7" w:rsidRPr="00505966" w:rsidRDefault="006577A7" w:rsidP="006577A7">
      <w:pPr>
        <w:rPr>
          <w:rFonts w:ascii="Arial" w:hAnsi="Arial" w:cs="Arial"/>
          <w:sz w:val="22"/>
          <w:szCs w:val="22"/>
        </w:rPr>
      </w:pPr>
      <w:r w:rsidRPr="00505966">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a éstos, observando los principios de certeza, legalidad, independencia, imparcialidad, máxima publicidad, objetividad y paridad de género.</w:t>
      </w:r>
    </w:p>
    <w:p w14:paraId="3693418D" w14:textId="6D6A2E91" w:rsidR="006577A7" w:rsidRPr="00505966" w:rsidRDefault="006577A7" w:rsidP="006577A7">
      <w:pPr>
        <w:pStyle w:val="Ttulo2"/>
        <w:rPr>
          <w:rFonts w:ascii="Arial" w:hAnsi="Arial" w:cs="Arial"/>
          <w:sz w:val="22"/>
          <w:szCs w:val="22"/>
        </w:rPr>
      </w:pPr>
      <w:r w:rsidRPr="00505966">
        <w:rPr>
          <w:rFonts w:ascii="Arial" w:hAnsi="Arial" w:cs="Arial"/>
          <w:sz w:val="22"/>
          <w:szCs w:val="22"/>
        </w:rPr>
        <w:lastRenderedPageBreak/>
        <w:t>Proceso electoral de las personas juzgadoras</w:t>
      </w:r>
    </w:p>
    <w:p w14:paraId="4A467F69"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0D92BA09" w14:textId="42606D81" w:rsidR="006577A7" w:rsidRPr="00505966" w:rsidRDefault="006577A7" w:rsidP="006577A7">
      <w:pPr>
        <w:pStyle w:val="Ttulo2"/>
        <w:rPr>
          <w:rFonts w:ascii="Arial" w:hAnsi="Arial" w:cs="Arial"/>
          <w:sz w:val="22"/>
          <w:szCs w:val="22"/>
        </w:rPr>
      </w:pPr>
      <w:r w:rsidRPr="00505966">
        <w:rPr>
          <w:rFonts w:ascii="Arial" w:hAnsi="Arial" w:cs="Arial"/>
          <w:sz w:val="22"/>
          <w:szCs w:val="22"/>
        </w:rPr>
        <w:t>Etapas del proceso electoral de las personas juzgadoras</w:t>
      </w:r>
    </w:p>
    <w:p w14:paraId="50F7AB68"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387 numeral 1 de la Ley Electoral establece que, el proceso de elección de las personas juzgadoras del Poder Judicial comprende las siguientes etapas:</w:t>
      </w:r>
    </w:p>
    <w:p w14:paraId="4877A134" w14:textId="65270E2F"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Preparación de la elección;</w:t>
      </w:r>
    </w:p>
    <w:p w14:paraId="30701B5D" w14:textId="7C0D7D0E"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Convocatoria y postulación de candidaturas;</w:t>
      </w:r>
    </w:p>
    <w:p w14:paraId="57D67F99" w14:textId="6D661B01"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Jornada electoral;</w:t>
      </w:r>
    </w:p>
    <w:p w14:paraId="5AE9EEFE" w14:textId="07BC2209"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Cómputos y sumatoria;</w:t>
      </w:r>
    </w:p>
    <w:p w14:paraId="5B825B04" w14:textId="33B62DEA"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Asignación de cargos, y</w:t>
      </w:r>
    </w:p>
    <w:p w14:paraId="32EA9301" w14:textId="7B8C7B05" w:rsidR="006577A7" w:rsidRPr="00505966" w:rsidRDefault="006577A7" w:rsidP="006577A7">
      <w:pPr>
        <w:pStyle w:val="Prrafodelista"/>
        <w:numPr>
          <w:ilvl w:val="0"/>
          <w:numId w:val="4"/>
        </w:numPr>
        <w:rPr>
          <w:rFonts w:ascii="Arial" w:hAnsi="Arial" w:cs="Arial"/>
          <w:sz w:val="22"/>
          <w:szCs w:val="22"/>
        </w:rPr>
      </w:pPr>
      <w:r w:rsidRPr="00505966">
        <w:rPr>
          <w:rFonts w:ascii="Arial" w:hAnsi="Arial" w:cs="Arial"/>
          <w:sz w:val="22"/>
          <w:szCs w:val="22"/>
        </w:rPr>
        <w:t>La entrega de constancias de mayoría y declaración de validez de la elección.</w:t>
      </w:r>
    </w:p>
    <w:p w14:paraId="6C164C13" w14:textId="77777777" w:rsidR="006577A7" w:rsidRPr="00505966" w:rsidRDefault="006577A7" w:rsidP="006577A7">
      <w:pPr>
        <w:rPr>
          <w:rFonts w:ascii="Arial" w:hAnsi="Arial" w:cs="Arial"/>
          <w:sz w:val="22"/>
          <w:szCs w:val="22"/>
        </w:rPr>
      </w:pPr>
      <w:r w:rsidRPr="00505966">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2E717661" w14:textId="77777777" w:rsidR="006577A7" w:rsidRPr="00505966" w:rsidRDefault="006577A7" w:rsidP="006577A7">
      <w:pPr>
        <w:rPr>
          <w:rFonts w:ascii="Arial" w:hAnsi="Arial" w:cs="Arial"/>
          <w:sz w:val="22"/>
          <w:szCs w:val="22"/>
        </w:rPr>
      </w:pPr>
      <w:r w:rsidRPr="00505966">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51D73C48" w14:textId="77777777" w:rsidR="006577A7" w:rsidRPr="00505966" w:rsidRDefault="006577A7" w:rsidP="006577A7">
      <w:pPr>
        <w:rPr>
          <w:rFonts w:ascii="Arial" w:hAnsi="Arial" w:cs="Arial"/>
          <w:sz w:val="22"/>
          <w:szCs w:val="22"/>
        </w:rPr>
      </w:pPr>
      <w:r w:rsidRPr="00505966">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9307637" w14:textId="77777777" w:rsidR="006577A7" w:rsidRPr="00505966" w:rsidRDefault="006577A7" w:rsidP="006577A7">
      <w:pPr>
        <w:rPr>
          <w:rFonts w:ascii="Arial" w:hAnsi="Arial" w:cs="Arial"/>
          <w:sz w:val="22"/>
          <w:szCs w:val="22"/>
        </w:rPr>
      </w:pPr>
      <w:r w:rsidRPr="00505966">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6333F093" w14:textId="77777777" w:rsidR="006577A7" w:rsidRPr="00505966" w:rsidRDefault="006577A7" w:rsidP="006577A7">
      <w:pPr>
        <w:rPr>
          <w:rFonts w:ascii="Arial" w:hAnsi="Arial" w:cs="Arial"/>
          <w:sz w:val="22"/>
          <w:szCs w:val="22"/>
        </w:rPr>
      </w:pPr>
      <w:r w:rsidRPr="00505966">
        <w:rPr>
          <w:rFonts w:ascii="Arial" w:hAnsi="Arial" w:cs="Arial"/>
          <w:sz w:val="22"/>
          <w:szCs w:val="22"/>
        </w:rPr>
        <w:t xml:space="preserve">Respecto a la etapa de asignación de cargos, conforme al numeral 6 del artículo 387 de la Ley Electoral inicia con la identificación por el Instituto de las candidaturas que hayan </w:t>
      </w:r>
      <w:r w:rsidRPr="00505966">
        <w:rPr>
          <w:rFonts w:ascii="Arial" w:hAnsi="Arial" w:cs="Arial"/>
          <w:sz w:val="22"/>
          <w:szCs w:val="22"/>
        </w:rPr>
        <w:lastRenderedPageBreak/>
        <w:t>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5AA11403" w14:textId="77777777" w:rsidR="006577A7" w:rsidRPr="00505966" w:rsidRDefault="006577A7" w:rsidP="006577A7">
      <w:pPr>
        <w:rPr>
          <w:rFonts w:ascii="Arial" w:hAnsi="Arial" w:cs="Arial"/>
          <w:sz w:val="22"/>
          <w:szCs w:val="22"/>
        </w:rPr>
      </w:pPr>
      <w:r w:rsidRPr="00505966">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7089A468" w14:textId="151963F0" w:rsidR="006577A7" w:rsidRPr="00505966" w:rsidRDefault="006577A7" w:rsidP="006577A7">
      <w:pPr>
        <w:pStyle w:val="Ttulo2"/>
        <w:rPr>
          <w:rFonts w:ascii="Arial" w:hAnsi="Arial" w:cs="Arial"/>
          <w:sz w:val="22"/>
          <w:szCs w:val="22"/>
        </w:rPr>
      </w:pPr>
      <w:r w:rsidRPr="00505966">
        <w:rPr>
          <w:rFonts w:ascii="Arial" w:hAnsi="Arial" w:cs="Arial"/>
          <w:sz w:val="22"/>
          <w:szCs w:val="22"/>
        </w:rPr>
        <w:t>Derecho de la ciudadanía a participar en los procesos de selección y evaluación de candidaturas</w:t>
      </w:r>
    </w:p>
    <w:p w14:paraId="6B752A81" w14:textId="77777777" w:rsidR="006577A7" w:rsidRPr="00505966" w:rsidRDefault="006577A7" w:rsidP="006577A7">
      <w:pPr>
        <w:rPr>
          <w:rFonts w:ascii="Arial" w:hAnsi="Arial" w:cs="Arial"/>
          <w:sz w:val="22"/>
          <w:szCs w:val="22"/>
        </w:rPr>
      </w:pPr>
      <w:r w:rsidRPr="00505966">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08EC9978" w14:textId="119D79F9" w:rsidR="006577A7" w:rsidRPr="00505966" w:rsidRDefault="006577A7" w:rsidP="006577A7">
      <w:pPr>
        <w:pStyle w:val="Ttulo2"/>
        <w:rPr>
          <w:rFonts w:ascii="Arial" w:hAnsi="Arial" w:cs="Arial"/>
          <w:sz w:val="22"/>
          <w:szCs w:val="22"/>
        </w:rPr>
      </w:pPr>
      <w:r w:rsidRPr="00505966">
        <w:rPr>
          <w:rFonts w:ascii="Arial" w:hAnsi="Arial" w:cs="Arial"/>
          <w:sz w:val="22"/>
          <w:szCs w:val="22"/>
        </w:rPr>
        <w:t>Facultad del INE para regular la documentación y material electorales</w:t>
      </w:r>
    </w:p>
    <w:p w14:paraId="77C834C8" w14:textId="1E031AA9" w:rsidR="006577A7" w:rsidRDefault="006577A7" w:rsidP="006577A7">
      <w:pPr>
        <w:rPr>
          <w:rFonts w:ascii="Arial" w:hAnsi="Arial" w:cs="Arial"/>
          <w:sz w:val="22"/>
          <w:szCs w:val="22"/>
        </w:rPr>
      </w:pPr>
      <w:r w:rsidRPr="00505966">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569DD298" w14:textId="65C6BC66" w:rsidR="006577A7" w:rsidRPr="00505966" w:rsidRDefault="006577A7" w:rsidP="006577A7">
      <w:pPr>
        <w:pStyle w:val="Ttulo2"/>
        <w:rPr>
          <w:rFonts w:ascii="Arial" w:hAnsi="Arial" w:cs="Arial"/>
          <w:sz w:val="22"/>
          <w:szCs w:val="22"/>
        </w:rPr>
      </w:pPr>
      <w:r w:rsidRPr="00505966">
        <w:rPr>
          <w:rFonts w:ascii="Arial" w:hAnsi="Arial" w:cs="Arial"/>
          <w:sz w:val="22"/>
          <w:szCs w:val="22"/>
        </w:rPr>
        <w:t>Regulación de la documentación electoral en el Reglamento de Elecciones</w:t>
      </w:r>
    </w:p>
    <w:p w14:paraId="7FA4E775"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74507653" w14:textId="77777777" w:rsidR="006577A7" w:rsidRPr="00505966" w:rsidRDefault="006577A7" w:rsidP="006577A7">
      <w:pPr>
        <w:rPr>
          <w:rFonts w:ascii="Arial" w:hAnsi="Arial" w:cs="Arial"/>
          <w:sz w:val="22"/>
          <w:szCs w:val="22"/>
        </w:rPr>
      </w:pPr>
      <w:r w:rsidRPr="00505966">
        <w:rPr>
          <w:rFonts w:ascii="Arial" w:hAnsi="Arial" w:cs="Arial"/>
          <w:sz w:val="22"/>
          <w:szCs w:val="22"/>
        </w:rPr>
        <w:lastRenderedPageBreak/>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4DD8540C" w14:textId="18CE1DE2" w:rsidR="006577A7" w:rsidRPr="00505966" w:rsidRDefault="006577A7" w:rsidP="006577A7">
      <w:pPr>
        <w:pStyle w:val="Ttulo2"/>
        <w:rPr>
          <w:rFonts w:ascii="Arial" w:hAnsi="Arial" w:cs="Arial"/>
          <w:sz w:val="22"/>
          <w:szCs w:val="22"/>
        </w:rPr>
      </w:pPr>
      <w:r w:rsidRPr="00505966">
        <w:rPr>
          <w:rFonts w:ascii="Arial" w:hAnsi="Arial" w:cs="Arial"/>
          <w:sz w:val="22"/>
          <w:szCs w:val="22"/>
        </w:rPr>
        <w:t>Responsable de la documentación y materiales electorales</w:t>
      </w:r>
    </w:p>
    <w:p w14:paraId="7F1D40F9"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149 numeral 4 del Reglamento de Elecciones dispone que la Dirección Ejecutiva de Organización Electoral del INE,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205290E3" w14:textId="4F87979D" w:rsidR="006577A7" w:rsidRPr="00505966" w:rsidRDefault="006577A7" w:rsidP="006577A7">
      <w:pPr>
        <w:pStyle w:val="Ttulo2"/>
        <w:rPr>
          <w:rFonts w:ascii="Arial" w:hAnsi="Arial" w:cs="Arial"/>
          <w:sz w:val="22"/>
          <w:szCs w:val="22"/>
        </w:rPr>
      </w:pPr>
      <w:r w:rsidRPr="00505966">
        <w:rPr>
          <w:rFonts w:ascii="Arial" w:hAnsi="Arial" w:cs="Arial"/>
          <w:sz w:val="22"/>
          <w:szCs w:val="22"/>
        </w:rPr>
        <w:t>Directrices para la documentación y material electoral</w:t>
      </w:r>
    </w:p>
    <w:p w14:paraId="1A8D14D5"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402 numeral 1 y 3 de la Ley Electoral dispone que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 en ese sentido no habrá modificación a las boletas en caso de sustitución de una o más candidaturas si éstas ya estuvieran impresas.</w:t>
      </w:r>
    </w:p>
    <w:p w14:paraId="3164E3FB" w14:textId="77777777" w:rsidR="006577A7" w:rsidRPr="00505966" w:rsidRDefault="006577A7" w:rsidP="006577A7">
      <w:pPr>
        <w:rPr>
          <w:rFonts w:ascii="Arial" w:hAnsi="Arial" w:cs="Arial"/>
          <w:sz w:val="22"/>
          <w:szCs w:val="22"/>
        </w:rPr>
      </w:pPr>
      <w:r w:rsidRPr="00505966">
        <w:rPr>
          <w:rFonts w:ascii="Arial" w:hAnsi="Arial" w:cs="Arial"/>
          <w:sz w:val="22"/>
          <w:szCs w:val="22"/>
        </w:rPr>
        <w:t xml:space="preserve">Acorde a lo anterior y de conformidad con el acuerdo INE/CG52/2025, el Consejo General del INE determinó como directriz general relacionada con la documentación y el material electoral que, debido a las particularidades de las elecciones de diversos cargos de los poderes judiciales locales, será el propio INE quien aprobará los formatos únicos, diseños y especificaciones técnicas de la documentación y los materiales electorales que se requieran para tales elecciones. Asimismo, el INE definirá los colores Pantone para identificar los diversos cargos a elegir a nivel local.  </w:t>
      </w:r>
    </w:p>
    <w:p w14:paraId="068ADB4B" w14:textId="77777777" w:rsidR="006577A7" w:rsidRPr="00505966" w:rsidRDefault="006577A7" w:rsidP="006577A7">
      <w:pPr>
        <w:rPr>
          <w:rFonts w:ascii="Arial" w:hAnsi="Arial" w:cs="Arial"/>
          <w:sz w:val="22"/>
          <w:szCs w:val="22"/>
        </w:rPr>
      </w:pPr>
      <w:r w:rsidRPr="00505966">
        <w:rPr>
          <w:rFonts w:ascii="Arial" w:hAnsi="Arial" w:cs="Arial"/>
          <w:sz w:val="22"/>
          <w:szCs w:val="22"/>
        </w:rPr>
        <w:t>Además, los criterios de dotación para la documentación y los materiales electorales para los casos de concurrencia estarán establecidos en el anexo 4.1 del Reglamento de Elecciones y el Modelo de Centro de Votación.</w:t>
      </w:r>
    </w:p>
    <w:p w14:paraId="180B8E30" w14:textId="7F627865" w:rsidR="006577A7" w:rsidRPr="00505966" w:rsidRDefault="006577A7" w:rsidP="006577A7">
      <w:pPr>
        <w:pStyle w:val="Ttulo2"/>
        <w:rPr>
          <w:rFonts w:ascii="Arial" w:hAnsi="Arial" w:cs="Arial"/>
          <w:sz w:val="22"/>
          <w:szCs w:val="22"/>
        </w:rPr>
      </w:pPr>
      <w:r w:rsidRPr="00505966">
        <w:rPr>
          <w:rFonts w:ascii="Arial" w:hAnsi="Arial" w:cs="Arial"/>
          <w:sz w:val="22"/>
          <w:szCs w:val="22"/>
        </w:rPr>
        <w:lastRenderedPageBreak/>
        <w:t>Entrega de la documentación y material electorales a los Consejos Distritales</w:t>
      </w:r>
    </w:p>
    <w:p w14:paraId="0E5A74EC" w14:textId="06000E88" w:rsidR="006577A7" w:rsidRPr="00505966" w:rsidRDefault="006577A7" w:rsidP="006577A7">
      <w:pPr>
        <w:rPr>
          <w:rFonts w:ascii="Arial" w:hAnsi="Arial" w:cs="Arial"/>
          <w:sz w:val="22"/>
          <w:szCs w:val="22"/>
        </w:rPr>
      </w:pPr>
      <w:r w:rsidRPr="00505966">
        <w:rPr>
          <w:rFonts w:ascii="Arial" w:hAnsi="Arial" w:cs="Arial"/>
          <w:sz w:val="22"/>
          <w:szCs w:val="22"/>
        </w:rPr>
        <w:t>Que, de conformidad con lo dispuesto por los artículos 268 numeral 2, inciso e) de la Ley General y 218 numerales 1 y 2 de la Ley Electoral, las boletas electorales obraron en poder del Consejo Electoral respectivo, 15 días antes de la elección, con la finalidad de que, la o el Presidente del Consejo Distrital, la o el Secretario y las y los consejeros electorales procedieran a contar las boletas para precisar la cantidad recibida, consignando el número de los folios, sellarlas al dorso y agruparlas en razón del número de electores que correspondiera a cada una de las casillas a instalar, incluyendo las de las casillas especiales.</w:t>
      </w:r>
    </w:p>
    <w:p w14:paraId="3F443F07" w14:textId="4B3A19B9" w:rsidR="006577A7" w:rsidRPr="00505966" w:rsidRDefault="006577A7" w:rsidP="006577A7">
      <w:pPr>
        <w:pStyle w:val="Ttulo2"/>
        <w:rPr>
          <w:rFonts w:ascii="Arial" w:hAnsi="Arial" w:cs="Arial"/>
          <w:sz w:val="22"/>
          <w:szCs w:val="22"/>
        </w:rPr>
      </w:pPr>
      <w:r w:rsidRPr="00505966">
        <w:rPr>
          <w:rFonts w:ascii="Arial" w:hAnsi="Arial" w:cs="Arial"/>
          <w:sz w:val="22"/>
          <w:szCs w:val="22"/>
        </w:rPr>
        <w:t>Entrega de la documentación y material electorales a las Presidencias de las Mesas Directivas de Casilla</w:t>
      </w:r>
    </w:p>
    <w:p w14:paraId="3832B959" w14:textId="192B1325" w:rsidR="006577A7" w:rsidRPr="00505966" w:rsidRDefault="006577A7" w:rsidP="006577A7">
      <w:pPr>
        <w:rPr>
          <w:rFonts w:ascii="Arial" w:hAnsi="Arial" w:cs="Arial"/>
          <w:sz w:val="22"/>
          <w:szCs w:val="22"/>
        </w:rPr>
      </w:pPr>
      <w:r w:rsidRPr="00505966">
        <w:rPr>
          <w:rFonts w:ascii="Arial" w:hAnsi="Arial" w:cs="Arial"/>
          <w:sz w:val="22"/>
          <w:szCs w:val="22"/>
        </w:rPr>
        <w:t xml:space="preserve">Que, </w:t>
      </w:r>
      <w:r w:rsidR="001B118A" w:rsidRPr="00505966">
        <w:rPr>
          <w:rFonts w:ascii="Arial" w:hAnsi="Arial" w:cs="Arial"/>
          <w:sz w:val="22"/>
          <w:szCs w:val="22"/>
        </w:rPr>
        <w:t xml:space="preserve">en términos de </w:t>
      </w:r>
      <w:r w:rsidRPr="00505966">
        <w:rPr>
          <w:rFonts w:ascii="Arial" w:hAnsi="Arial" w:cs="Arial"/>
          <w:sz w:val="22"/>
          <w:szCs w:val="22"/>
        </w:rPr>
        <w:t>los artículos 269 de la Ley General, 131 numeral 1, fracción IV y 219 numeral 1, fracción VII de la Ley Electoral, las o los Presidentes de los Consejos Distritales entregar</w:t>
      </w:r>
      <w:r w:rsidR="001B118A" w:rsidRPr="00505966">
        <w:rPr>
          <w:rFonts w:ascii="Arial" w:hAnsi="Arial" w:cs="Arial"/>
          <w:sz w:val="22"/>
          <w:szCs w:val="22"/>
        </w:rPr>
        <w:t>on</w:t>
      </w:r>
      <w:r w:rsidRPr="00505966">
        <w:rPr>
          <w:rFonts w:ascii="Arial" w:hAnsi="Arial" w:cs="Arial"/>
          <w:sz w:val="22"/>
          <w:szCs w:val="22"/>
        </w:rPr>
        <w:t xml:space="preserve">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0CFD61F4" w14:textId="6713698B" w:rsidR="006577A7" w:rsidRPr="00505966" w:rsidRDefault="006577A7" w:rsidP="001B118A">
      <w:pPr>
        <w:pStyle w:val="Ttulo2"/>
        <w:rPr>
          <w:rFonts w:ascii="Arial" w:hAnsi="Arial" w:cs="Arial"/>
          <w:sz w:val="22"/>
          <w:szCs w:val="22"/>
        </w:rPr>
      </w:pPr>
      <w:r w:rsidRPr="00505966">
        <w:rPr>
          <w:rFonts w:ascii="Arial" w:hAnsi="Arial" w:cs="Arial"/>
          <w:sz w:val="22"/>
          <w:szCs w:val="22"/>
        </w:rPr>
        <w:t>Documentación y materiales electorales en procesos de elección de personas juzgadoras</w:t>
      </w:r>
    </w:p>
    <w:p w14:paraId="6FA38037" w14:textId="77777777" w:rsidR="006577A7" w:rsidRPr="00505966" w:rsidRDefault="006577A7" w:rsidP="006577A7">
      <w:pPr>
        <w:rPr>
          <w:rFonts w:ascii="Arial" w:hAnsi="Arial" w:cs="Arial"/>
          <w:sz w:val="22"/>
          <w:szCs w:val="22"/>
        </w:rPr>
      </w:pPr>
      <w:r w:rsidRPr="00505966">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6E7AAF1F" w14:textId="77777777" w:rsidR="006577A7" w:rsidRPr="00505966" w:rsidRDefault="006577A7" w:rsidP="006577A7">
      <w:pPr>
        <w:rPr>
          <w:rFonts w:ascii="Arial" w:hAnsi="Arial" w:cs="Arial"/>
          <w:sz w:val="22"/>
          <w:szCs w:val="22"/>
        </w:rPr>
      </w:pPr>
      <w:r w:rsidRPr="00505966">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76F298CB" w14:textId="77777777" w:rsidR="00133A11" w:rsidRPr="00505966" w:rsidRDefault="00133A11" w:rsidP="00133A11">
      <w:pPr>
        <w:pStyle w:val="Ttulo2"/>
        <w:rPr>
          <w:rFonts w:ascii="Arial" w:hAnsi="Arial" w:cs="Arial"/>
          <w:sz w:val="22"/>
          <w:szCs w:val="22"/>
        </w:rPr>
      </w:pPr>
      <w:r w:rsidRPr="00505966">
        <w:rPr>
          <w:rFonts w:ascii="Arial" w:hAnsi="Arial" w:cs="Arial"/>
          <w:sz w:val="22"/>
          <w:szCs w:val="22"/>
        </w:rPr>
        <w:t>Resguardo de la documentación electoral</w:t>
      </w:r>
    </w:p>
    <w:p w14:paraId="53DCA7B2" w14:textId="77777777" w:rsidR="00133A11" w:rsidRPr="00505966" w:rsidRDefault="00133A11" w:rsidP="00133A11">
      <w:pPr>
        <w:rPr>
          <w:rFonts w:ascii="Arial" w:hAnsi="Arial" w:cs="Arial"/>
          <w:sz w:val="22"/>
          <w:szCs w:val="22"/>
        </w:rPr>
      </w:pPr>
      <w:r w:rsidRPr="00505966">
        <w:rPr>
          <w:rFonts w:ascii="Arial" w:hAnsi="Arial" w:cs="Arial"/>
          <w:sz w:val="22"/>
          <w:szCs w:val="22"/>
        </w:rPr>
        <w:t xml:space="preserve">Que, el artículo 166 numeral 1 del Reglamento de Elecciones establece que, para los procesos electorales federales y locales, las juntas distritales ejecutivas del INE y los órganos competentes de los organismos electorales, respectivamente, deberán determinar </w:t>
      </w:r>
      <w:r w:rsidRPr="00505966">
        <w:rPr>
          <w:rFonts w:ascii="Arial" w:hAnsi="Arial" w:cs="Arial"/>
          <w:sz w:val="22"/>
          <w:szCs w:val="22"/>
        </w:rPr>
        <w:lastRenderedPageBreak/>
        <w:t>los lugares que ocuparán las  bodegas electorales para el resguardo de la documentación y materiales electorales de las elecciones, verificando que los lugares cuenten con condiciones que garanticen la seguridad de la documentación electoral, especialmente de las boletas y de los paquetes electorales, las cuales se precisan en el anexo 5 de dicho Reglamento.</w:t>
      </w:r>
    </w:p>
    <w:p w14:paraId="531A2C8F" w14:textId="77777777" w:rsidR="00133A11" w:rsidRPr="00505966" w:rsidRDefault="00133A11" w:rsidP="00133A11">
      <w:pPr>
        <w:rPr>
          <w:rFonts w:ascii="Arial" w:hAnsi="Arial" w:cs="Arial"/>
          <w:sz w:val="22"/>
          <w:szCs w:val="22"/>
        </w:rPr>
      </w:pPr>
      <w:r w:rsidRPr="00505966">
        <w:rPr>
          <w:rFonts w:ascii="Arial" w:hAnsi="Arial" w:cs="Arial"/>
          <w:sz w:val="22"/>
          <w:szCs w:val="22"/>
        </w:rPr>
        <w:t>De acuerdo con el numeral 2 del artículo en cita, en las bodegas electorales podrán almacenarse tanto los documentos como los materiales electorales, siempre que haya espacio suficiente para su almacenamiento y manejo; de lo contrario, se deberá prever la instalación de un espacio adicional para los materiales. Para lo anterior, se deberá contar con la información sobre la cantidad de documentación electoral que se almacenará, así como su peso y volumen.</w:t>
      </w:r>
    </w:p>
    <w:p w14:paraId="4CA03D47" w14:textId="77777777" w:rsidR="00133A11" w:rsidRPr="00505966" w:rsidRDefault="00133A11" w:rsidP="00133A11">
      <w:pPr>
        <w:pStyle w:val="Ttulo2"/>
        <w:rPr>
          <w:rFonts w:ascii="Arial" w:hAnsi="Arial" w:cs="Arial"/>
          <w:sz w:val="22"/>
          <w:szCs w:val="22"/>
        </w:rPr>
      </w:pPr>
      <w:r w:rsidRPr="00505966">
        <w:rPr>
          <w:rFonts w:ascii="Arial" w:hAnsi="Arial" w:cs="Arial"/>
          <w:sz w:val="22"/>
          <w:szCs w:val="22"/>
        </w:rPr>
        <w:t>Responsable de las bodegas</w:t>
      </w:r>
    </w:p>
    <w:p w14:paraId="3A5BA642" w14:textId="77777777" w:rsidR="00133A11" w:rsidRPr="00505966" w:rsidRDefault="00133A11" w:rsidP="00133A11">
      <w:pPr>
        <w:rPr>
          <w:rFonts w:ascii="Arial" w:hAnsi="Arial" w:cs="Arial"/>
          <w:sz w:val="22"/>
          <w:szCs w:val="22"/>
        </w:rPr>
      </w:pPr>
      <w:r w:rsidRPr="00505966">
        <w:rPr>
          <w:rFonts w:ascii="Arial" w:hAnsi="Arial" w:cs="Arial"/>
          <w:sz w:val="22"/>
          <w:szCs w:val="22"/>
        </w:rPr>
        <w:t>Que, de conformidad con el artículo 168 numeral 1 del Reglamento de Elecciones la Presidencia de cada Consejo Distrital del INE o de cada órgano competente del organismo electoral, será responsable de las bodegas, así como de todas las operaciones y procedimientos de apertura y cierre, mismos que se registrarán en una bitácora.</w:t>
      </w:r>
    </w:p>
    <w:p w14:paraId="6906072B" w14:textId="77777777" w:rsidR="00133A11" w:rsidRPr="00505966" w:rsidRDefault="00133A11" w:rsidP="00133A11">
      <w:pPr>
        <w:rPr>
          <w:rFonts w:ascii="Arial" w:hAnsi="Arial" w:cs="Arial"/>
          <w:sz w:val="22"/>
          <w:szCs w:val="22"/>
        </w:rPr>
      </w:pPr>
      <w:r w:rsidRPr="00505966">
        <w:rPr>
          <w:rFonts w:ascii="Arial" w:hAnsi="Arial" w:cs="Arial"/>
          <w:sz w:val="22"/>
          <w:szCs w:val="22"/>
        </w:rPr>
        <w:t>Conforme a tal disposición, solamente tendrán acceso a la bodega electoral funcionariado y personal autorizados por el propio consejo respectivo, a quienes se les otorgará un gafete distintivo que contendrá al menos, número de folio, fotografía, referencia del órgano, cargo, periodo de vigencia, sello y firma de la Presidencia del órgano desconcentrado correspondiente, mismo que deberá portarse para su ingreso a la bodega.</w:t>
      </w:r>
    </w:p>
    <w:p w14:paraId="4FC0F02F" w14:textId="77777777" w:rsidR="00133A11" w:rsidRPr="00505966" w:rsidRDefault="00133A11" w:rsidP="00133A11">
      <w:pPr>
        <w:pStyle w:val="Ttulo2"/>
        <w:rPr>
          <w:rFonts w:ascii="Arial" w:hAnsi="Arial" w:cs="Arial"/>
          <w:sz w:val="22"/>
          <w:szCs w:val="22"/>
        </w:rPr>
      </w:pPr>
      <w:r w:rsidRPr="00505966">
        <w:rPr>
          <w:rFonts w:ascii="Arial" w:hAnsi="Arial" w:cs="Arial"/>
          <w:sz w:val="22"/>
          <w:szCs w:val="22"/>
        </w:rPr>
        <w:t>Responsable de la apertura y cierre de la bodega</w:t>
      </w:r>
    </w:p>
    <w:p w14:paraId="37CB1284" w14:textId="77777777" w:rsidR="00133A11" w:rsidRPr="00505966" w:rsidRDefault="00133A11" w:rsidP="00133A11">
      <w:pPr>
        <w:rPr>
          <w:rFonts w:ascii="Arial" w:hAnsi="Arial" w:cs="Arial"/>
          <w:sz w:val="22"/>
          <w:szCs w:val="22"/>
        </w:rPr>
      </w:pPr>
      <w:r w:rsidRPr="00505966">
        <w:rPr>
          <w:rFonts w:ascii="Arial" w:hAnsi="Arial" w:cs="Arial"/>
          <w:sz w:val="22"/>
          <w:szCs w:val="22"/>
        </w:rPr>
        <w:t>Que, el artículo 174 numeral 1 del Reglamento de Elecciones señala que, la Presidencia del Consejo Distrital del INE o, en su caso, de los órganos competentes de los organismos electorales, será la responsable que en todos los casos que se abra o cierre la bodega para realizar las labores que la normatividad señala, en especial, lo dispuesto en los artículos 171, 172, numerales 2 y 3, y 173 de dicho Reglamento, o por cualquier otra causa superveniente y plenamente justificada, se convoque a las Consejerías Electorales, para presenciar el retiro de sellos y el nuevo sellado de las puertas de acceso a la bodega, así como para estampar sus firmas en los sellos que se coloquen si así desearen hacerlo, dejando constancia por escrito en la respectiva bitácora.</w:t>
      </w:r>
    </w:p>
    <w:p w14:paraId="1FEC9AFC" w14:textId="78EA4D2C" w:rsidR="006577A7" w:rsidRPr="00505966" w:rsidRDefault="006577A7" w:rsidP="001B118A">
      <w:pPr>
        <w:pStyle w:val="Ttulo2"/>
        <w:rPr>
          <w:rFonts w:ascii="Arial" w:hAnsi="Arial" w:cs="Arial"/>
          <w:sz w:val="22"/>
          <w:szCs w:val="22"/>
        </w:rPr>
      </w:pPr>
      <w:r w:rsidRPr="00505966">
        <w:rPr>
          <w:rFonts w:ascii="Arial" w:hAnsi="Arial" w:cs="Arial"/>
          <w:sz w:val="22"/>
          <w:szCs w:val="22"/>
        </w:rPr>
        <w:lastRenderedPageBreak/>
        <w:t xml:space="preserve">Procedimiento </w:t>
      </w:r>
      <w:r w:rsidR="00785EC0" w:rsidRPr="00505966">
        <w:rPr>
          <w:rFonts w:ascii="Arial" w:hAnsi="Arial" w:cs="Arial"/>
          <w:sz w:val="22"/>
          <w:szCs w:val="22"/>
        </w:rPr>
        <w:t>de recolección, custodia y depósito</w:t>
      </w:r>
    </w:p>
    <w:p w14:paraId="5E0AED9F" w14:textId="6D385DA8" w:rsidR="00785EC0" w:rsidRPr="00505966" w:rsidRDefault="00785EC0" w:rsidP="00785EC0">
      <w:pPr>
        <w:rPr>
          <w:rFonts w:ascii="Arial" w:hAnsi="Arial" w:cs="Arial"/>
          <w:sz w:val="22"/>
          <w:szCs w:val="22"/>
        </w:rPr>
      </w:pPr>
      <w:r w:rsidRPr="00505966">
        <w:rPr>
          <w:rFonts w:ascii="Arial" w:hAnsi="Arial" w:cs="Arial"/>
          <w:sz w:val="22"/>
          <w:szCs w:val="22"/>
        </w:rPr>
        <w:t xml:space="preserve">Que, en virtud de haberse llevado a cabo las etapas correspondientes al Proceso Electoral Extraordinario; como son los cómputos, sumatoria y asignación de cargos, entrega de constancias de mayoría y la declaración de validez, el pasado 12 de junio de dos mil veinticinco, el pleno del Consejo Estatal, llevó a cabo la Sesión Especial de Cómputo Estatal y Declaratoria de Validez de la elección del Poder Judicial del Estado de Tabasco 2024 -2025, resaltando que, la etapa de calificación y declaración de la validez por parte del </w:t>
      </w:r>
      <w:r w:rsidR="00E03E8F" w:rsidRPr="00505966">
        <w:rPr>
          <w:rFonts w:ascii="Arial" w:hAnsi="Arial" w:cs="Arial"/>
          <w:sz w:val="22"/>
          <w:szCs w:val="22"/>
        </w:rPr>
        <w:t xml:space="preserve">órgano jurisdiccional local, </w:t>
      </w:r>
      <w:r w:rsidRPr="00505966">
        <w:rPr>
          <w:rFonts w:ascii="Arial" w:hAnsi="Arial" w:cs="Arial"/>
          <w:sz w:val="22"/>
          <w:szCs w:val="22"/>
        </w:rPr>
        <w:t>aún se encuentra en proceso.</w:t>
      </w:r>
    </w:p>
    <w:p w14:paraId="27B6E552" w14:textId="31C6AA1A" w:rsidR="00785EC0" w:rsidRPr="00505966" w:rsidRDefault="00785EC0" w:rsidP="00785EC0">
      <w:pPr>
        <w:rPr>
          <w:rFonts w:ascii="Arial" w:hAnsi="Arial" w:cs="Arial"/>
          <w:sz w:val="22"/>
          <w:szCs w:val="22"/>
        </w:rPr>
      </w:pPr>
      <w:r w:rsidRPr="00505966">
        <w:rPr>
          <w:rFonts w:ascii="Arial" w:hAnsi="Arial" w:cs="Arial"/>
          <w:sz w:val="22"/>
          <w:szCs w:val="22"/>
        </w:rPr>
        <w:t>En este sentido, este organismo público, tomando como base los aspectos sustantivos presupuestales asignados a la temporalidad del funcionamiento de los órganos desconcentrados, estima necesaria la instrumentación de un procedimiento mediante el cual, se trasladen y concentren los paquetes electorales que se encuentran en los 16 Consejos Distritales, a la Bodega Central de este Instituto.</w:t>
      </w:r>
    </w:p>
    <w:p w14:paraId="3C719533" w14:textId="577B108D" w:rsidR="00785EC0" w:rsidRPr="00505966" w:rsidRDefault="00785EC0" w:rsidP="00785EC0">
      <w:pPr>
        <w:rPr>
          <w:rFonts w:ascii="Arial" w:hAnsi="Arial" w:cs="Arial"/>
          <w:sz w:val="22"/>
          <w:szCs w:val="22"/>
        </w:rPr>
      </w:pPr>
      <w:r w:rsidRPr="00505966">
        <w:rPr>
          <w:rFonts w:ascii="Arial" w:hAnsi="Arial" w:cs="Arial"/>
          <w:sz w:val="22"/>
          <w:szCs w:val="22"/>
        </w:rPr>
        <w:t>Dentro de ese contexto, la Comisión de Organización Electoral y Educación Cívica en colaboración con la Dirección de Organización Electoral y Educación Cívica, se dieron a la tarea de diseñar y proponer por primera ocasión a la Presidencia del Consejo Estatal, el Procedimiento de Traslado, mediante el cual se garantice la guardia y custodia de los paquetes electorales correspondientes a las 1,411 casillas seccionales utilizadas durante la Jornada Electoral, recibiéndose un total de 2,387 paquetes electorales.</w:t>
      </w:r>
    </w:p>
    <w:p w14:paraId="377D9104" w14:textId="346C8A84" w:rsidR="00785EC0" w:rsidRPr="00505966" w:rsidRDefault="00785EC0" w:rsidP="00785EC0">
      <w:pPr>
        <w:rPr>
          <w:rFonts w:ascii="Arial" w:hAnsi="Arial" w:cs="Arial"/>
          <w:sz w:val="22"/>
          <w:szCs w:val="22"/>
        </w:rPr>
      </w:pPr>
      <w:r w:rsidRPr="00505966">
        <w:rPr>
          <w:rFonts w:ascii="Arial" w:hAnsi="Arial" w:cs="Arial"/>
          <w:sz w:val="22"/>
          <w:szCs w:val="22"/>
        </w:rPr>
        <w:t xml:space="preserve">El procedimiento tiene como objetivo medular, establecer las disposiciones generales que fortalezcan los tramos de control y custodia que deberá de observar el personal designado del Instituto en la recolección, </w:t>
      </w:r>
      <w:r w:rsidR="00611258" w:rsidRPr="00505966">
        <w:rPr>
          <w:rFonts w:ascii="Arial" w:hAnsi="Arial" w:cs="Arial"/>
          <w:sz w:val="22"/>
          <w:szCs w:val="22"/>
        </w:rPr>
        <w:t xml:space="preserve">traslado, </w:t>
      </w:r>
      <w:r w:rsidRPr="00505966">
        <w:rPr>
          <w:rFonts w:ascii="Arial" w:hAnsi="Arial" w:cs="Arial"/>
          <w:sz w:val="22"/>
          <w:szCs w:val="22"/>
        </w:rPr>
        <w:t xml:space="preserve">custodia y depósito en la Bodega Central, con la finalidad de que </w:t>
      </w:r>
      <w:r w:rsidR="002E7134" w:rsidRPr="00505966">
        <w:rPr>
          <w:rFonts w:ascii="Arial" w:hAnsi="Arial" w:cs="Arial"/>
          <w:sz w:val="22"/>
          <w:szCs w:val="22"/>
        </w:rPr>
        <w:t xml:space="preserve">estos se resguarden </w:t>
      </w:r>
      <w:r w:rsidRPr="00505966">
        <w:rPr>
          <w:rFonts w:ascii="Arial" w:hAnsi="Arial" w:cs="Arial"/>
          <w:sz w:val="22"/>
          <w:szCs w:val="22"/>
        </w:rPr>
        <w:t xml:space="preserve">hasta que </w:t>
      </w:r>
      <w:r w:rsidR="002E7134" w:rsidRPr="00505966">
        <w:rPr>
          <w:rFonts w:ascii="Arial" w:hAnsi="Arial" w:cs="Arial"/>
          <w:sz w:val="22"/>
          <w:szCs w:val="22"/>
        </w:rPr>
        <w:t>se resuelva</w:t>
      </w:r>
      <w:r w:rsidRPr="00505966">
        <w:rPr>
          <w:rFonts w:ascii="Arial" w:hAnsi="Arial" w:cs="Arial"/>
          <w:sz w:val="22"/>
          <w:szCs w:val="22"/>
        </w:rPr>
        <w:t xml:space="preserve"> el último medio de impugnación que se </w:t>
      </w:r>
      <w:r w:rsidR="002E7134" w:rsidRPr="00505966">
        <w:rPr>
          <w:rFonts w:ascii="Arial" w:hAnsi="Arial" w:cs="Arial"/>
          <w:sz w:val="22"/>
          <w:szCs w:val="22"/>
        </w:rPr>
        <w:t xml:space="preserve">interpuso </w:t>
      </w:r>
      <w:r w:rsidRPr="00505966">
        <w:rPr>
          <w:rFonts w:ascii="Arial" w:hAnsi="Arial" w:cs="Arial"/>
          <w:sz w:val="22"/>
          <w:szCs w:val="22"/>
        </w:rPr>
        <w:t>en contra de las elecciones llevadas a cabo  en el marco del proceso electoral,</w:t>
      </w:r>
      <w:r w:rsidR="002E7134" w:rsidRPr="00505966">
        <w:rPr>
          <w:rFonts w:ascii="Arial" w:hAnsi="Arial" w:cs="Arial"/>
          <w:sz w:val="22"/>
          <w:szCs w:val="22"/>
        </w:rPr>
        <w:t xml:space="preserve"> para que, en su oportunidad </w:t>
      </w:r>
      <w:r w:rsidRPr="00505966">
        <w:rPr>
          <w:rFonts w:ascii="Arial" w:hAnsi="Arial" w:cs="Arial"/>
          <w:sz w:val="22"/>
          <w:szCs w:val="22"/>
        </w:rPr>
        <w:t>el Consejo Estatal</w:t>
      </w:r>
      <w:r w:rsidR="002E7134" w:rsidRPr="00505966">
        <w:rPr>
          <w:rFonts w:ascii="Arial" w:hAnsi="Arial" w:cs="Arial"/>
          <w:sz w:val="22"/>
          <w:szCs w:val="22"/>
        </w:rPr>
        <w:t xml:space="preserve"> defina </w:t>
      </w:r>
      <w:r w:rsidRPr="00505966">
        <w:rPr>
          <w:rFonts w:ascii="Arial" w:hAnsi="Arial" w:cs="Arial"/>
          <w:sz w:val="22"/>
          <w:szCs w:val="22"/>
        </w:rPr>
        <w:t>la destrucción y reciclado mediante el procedimiento ecológico.</w:t>
      </w:r>
    </w:p>
    <w:p w14:paraId="2E8DD034" w14:textId="1480531B" w:rsidR="00611258" w:rsidRPr="00505966" w:rsidRDefault="00611258" w:rsidP="00785EC0">
      <w:pPr>
        <w:rPr>
          <w:rFonts w:ascii="Arial" w:hAnsi="Arial" w:cs="Arial"/>
          <w:sz w:val="22"/>
          <w:szCs w:val="22"/>
        </w:rPr>
      </w:pPr>
      <w:r w:rsidRPr="00505966">
        <w:rPr>
          <w:rFonts w:ascii="Arial" w:hAnsi="Arial" w:cs="Arial"/>
          <w:sz w:val="22"/>
          <w:szCs w:val="22"/>
        </w:rPr>
        <w:t xml:space="preserve">Cabe señalar que, para el depósito de los paquetes electorales, se habilita como Bodega Electoral, la ubicada en el almacén general de este Instituto, que se encuentra en la calle Miguel Hidalgo y Costilla, núm. 206, Col. Tamulté de las Barrancas, C.P. 86150, Villahermosa, Tabasco; misma que cumple con las condiciones propicias para tal efecto, pues se ajusta a los criterios de acondicionamiento, dimensión y de seguridad requeridos para </w:t>
      </w:r>
      <w:r w:rsidR="00CB51DB" w:rsidRPr="00505966">
        <w:rPr>
          <w:rFonts w:ascii="Arial" w:hAnsi="Arial" w:cs="Arial"/>
          <w:sz w:val="22"/>
          <w:szCs w:val="22"/>
        </w:rPr>
        <w:t xml:space="preserve">su </w:t>
      </w:r>
      <w:r w:rsidRPr="00505966">
        <w:rPr>
          <w:rFonts w:ascii="Arial" w:hAnsi="Arial" w:cs="Arial"/>
          <w:sz w:val="22"/>
          <w:szCs w:val="22"/>
        </w:rPr>
        <w:t>resguardo.</w:t>
      </w:r>
    </w:p>
    <w:p w14:paraId="1ED0CEC2" w14:textId="5E15502A" w:rsidR="00F73CF0" w:rsidRDefault="00F73CF0" w:rsidP="00F73CF0">
      <w:pPr>
        <w:rPr>
          <w:rFonts w:ascii="Arial" w:hAnsi="Arial" w:cs="Arial"/>
          <w:sz w:val="22"/>
          <w:szCs w:val="22"/>
        </w:rPr>
      </w:pPr>
      <w:r w:rsidRPr="00505966">
        <w:rPr>
          <w:rFonts w:ascii="Arial" w:hAnsi="Arial" w:cs="Arial"/>
          <w:sz w:val="22"/>
          <w:szCs w:val="22"/>
        </w:rPr>
        <w:t>Sobre la base de las consideraciones señaladas, este Consejo Estatal emite el siguiente:</w:t>
      </w:r>
    </w:p>
    <w:p w14:paraId="4B989D73" w14:textId="18566945" w:rsidR="00F73CF0" w:rsidRPr="00505966" w:rsidRDefault="00F73CF0" w:rsidP="00F73CF0">
      <w:pPr>
        <w:pStyle w:val="Ttulo1"/>
        <w:rPr>
          <w:rFonts w:ascii="Arial" w:hAnsi="Arial" w:cs="Arial"/>
          <w:sz w:val="22"/>
          <w:szCs w:val="22"/>
        </w:rPr>
      </w:pPr>
      <w:r w:rsidRPr="00505966">
        <w:rPr>
          <w:rFonts w:ascii="Arial" w:hAnsi="Arial" w:cs="Arial"/>
          <w:sz w:val="22"/>
          <w:szCs w:val="22"/>
        </w:rPr>
        <w:lastRenderedPageBreak/>
        <w:t>Acuerdo</w:t>
      </w:r>
    </w:p>
    <w:p w14:paraId="19B8514D" w14:textId="32E60CED" w:rsidR="00F73CF0" w:rsidRPr="00505966" w:rsidRDefault="00F73CF0" w:rsidP="00F73CF0">
      <w:pPr>
        <w:rPr>
          <w:rFonts w:ascii="Arial" w:hAnsi="Arial" w:cs="Arial"/>
          <w:sz w:val="22"/>
          <w:szCs w:val="22"/>
        </w:rPr>
      </w:pPr>
      <w:r w:rsidRPr="00505966">
        <w:rPr>
          <w:rFonts w:ascii="Arial" w:hAnsi="Arial" w:cs="Arial"/>
          <w:b/>
          <w:bCs/>
          <w:sz w:val="22"/>
          <w:szCs w:val="22"/>
        </w:rPr>
        <w:t>Primero.</w:t>
      </w:r>
      <w:r w:rsidRPr="00505966">
        <w:rPr>
          <w:rFonts w:ascii="Arial" w:hAnsi="Arial" w:cs="Arial"/>
          <w:sz w:val="22"/>
          <w:szCs w:val="22"/>
        </w:rPr>
        <w:t xml:space="preserve"> Se aprueba procedimiento de recolección, traslado, custodia y depósito de los paquetes electorales de los 16 consejos electorales distritales utilizados en el Proceso Electoral Local Extraordinario para personas juzgadoras del Poder Judicial del Estado de Tabasco 2024-2025 a la bodega central del propio Instituto, anexo al presente acuerdo.</w:t>
      </w:r>
    </w:p>
    <w:p w14:paraId="63C8D054" w14:textId="126F3F96" w:rsidR="00F73CF0" w:rsidRPr="00505966" w:rsidRDefault="00F73CF0" w:rsidP="00F73CF0">
      <w:pPr>
        <w:rPr>
          <w:rFonts w:ascii="Arial" w:hAnsi="Arial" w:cs="Arial"/>
          <w:sz w:val="22"/>
          <w:szCs w:val="22"/>
        </w:rPr>
      </w:pPr>
      <w:r w:rsidRPr="00505966">
        <w:rPr>
          <w:rFonts w:ascii="Arial" w:hAnsi="Arial" w:cs="Arial"/>
          <w:b/>
          <w:bCs/>
          <w:sz w:val="22"/>
          <w:szCs w:val="22"/>
        </w:rPr>
        <w:t>Segundo.</w:t>
      </w:r>
      <w:r w:rsidRPr="00505966">
        <w:rPr>
          <w:rFonts w:ascii="Arial" w:hAnsi="Arial" w:cs="Arial"/>
          <w:sz w:val="22"/>
          <w:szCs w:val="22"/>
        </w:rPr>
        <w:t xml:space="preserve"> Se determina como lugar de ubicación física de la bodega electoral la ubicada en el almacén general de este Instituto, que se encuentra en la calle Miguel Hidalgo y Costilla, núm. 206, Col. Tamulté de las Barrancas, C.P. 86150, Villahermosa, Tabasco.</w:t>
      </w:r>
    </w:p>
    <w:p w14:paraId="6B345F32" w14:textId="5CE5FF00" w:rsidR="00F73CF0" w:rsidRPr="00505966" w:rsidRDefault="00F73CF0" w:rsidP="00F73CF0">
      <w:pPr>
        <w:rPr>
          <w:rFonts w:ascii="Arial" w:hAnsi="Arial" w:cs="Arial"/>
          <w:sz w:val="22"/>
          <w:szCs w:val="22"/>
        </w:rPr>
      </w:pPr>
      <w:r w:rsidRPr="00505966">
        <w:rPr>
          <w:rFonts w:ascii="Arial" w:hAnsi="Arial" w:cs="Arial"/>
          <w:b/>
          <w:bCs/>
          <w:sz w:val="22"/>
          <w:szCs w:val="22"/>
        </w:rPr>
        <w:t xml:space="preserve">Tercero. </w:t>
      </w:r>
      <w:r w:rsidRPr="00505966">
        <w:rPr>
          <w:rFonts w:ascii="Arial" w:hAnsi="Arial" w:cs="Arial"/>
          <w:sz w:val="22"/>
          <w:szCs w:val="22"/>
        </w:rPr>
        <w:t>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A8B6FEB" w14:textId="5334F7C6" w:rsidR="00F73CF0" w:rsidRPr="00505966" w:rsidRDefault="00F73CF0" w:rsidP="00F73CF0">
      <w:pPr>
        <w:rPr>
          <w:rFonts w:ascii="Arial" w:hAnsi="Arial" w:cs="Arial"/>
          <w:sz w:val="22"/>
          <w:szCs w:val="22"/>
        </w:rPr>
      </w:pPr>
      <w:r w:rsidRPr="00505966">
        <w:rPr>
          <w:rFonts w:ascii="Arial" w:hAnsi="Arial" w:cs="Arial"/>
          <w:b/>
          <w:bCs/>
          <w:sz w:val="22"/>
          <w:szCs w:val="22"/>
        </w:rPr>
        <w:t>Cuarto.</w:t>
      </w:r>
      <w:r w:rsidRPr="00505966">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8E09A4B" w14:textId="3E2ADD73" w:rsidR="00F73CF0" w:rsidRPr="00505966" w:rsidRDefault="00F73CF0" w:rsidP="00F73CF0">
      <w:pPr>
        <w:rPr>
          <w:rFonts w:ascii="Arial" w:hAnsi="Arial" w:cs="Arial"/>
          <w:sz w:val="22"/>
          <w:szCs w:val="22"/>
        </w:rPr>
      </w:pPr>
      <w:r w:rsidRPr="00505966">
        <w:rPr>
          <w:rFonts w:ascii="Arial" w:hAnsi="Arial" w:cs="Arial"/>
          <w:sz w:val="22"/>
          <w:szCs w:val="22"/>
        </w:rPr>
        <w:t>El presente acuerdo se</w:t>
      </w:r>
      <w:r w:rsidR="008B167B">
        <w:rPr>
          <w:rFonts w:ascii="Arial" w:hAnsi="Arial" w:cs="Arial"/>
          <w:sz w:val="22"/>
          <w:szCs w:val="22"/>
        </w:rPr>
        <w:t xml:space="preserve"> aprobó</w:t>
      </w:r>
      <w:r w:rsidRPr="00505966">
        <w:rPr>
          <w:rFonts w:ascii="Arial" w:hAnsi="Arial" w:cs="Arial"/>
          <w:sz w:val="22"/>
          <w:szCs w:val="22"/>
        </w:rPr>
        <w:t xml:space="preserve"> en sesión </w:t>
      </w:r>
      <w:r w:rsidR="008B167B">
        <w:rPr>
          <w:rFonts w:ascii="Arial" w:hAnsi="Arial" w:cs="Arial"/>
          <w:sz w:val="22"/>
          <w:szCs w:val="22"/>
        </w:rPr>
        <w:t>extraordinaria</w:t>
      </w:r>
      <w:r w:rsidRPr="00505966">
        <w:rPr>
          <w:rFonts w:ascii="Arial" w:hAnsi="Arial" w:cs="Arial"/>
          <w:sz w:val="22"/>
          <w:szCs w:val="22"/>
        </w:rPr>
        <w:t xml:space="preserve"> efectuada el</w:t>
      </w:r>
      <w:r w:rsidR="008B167B">
        <w:rPr>
          <w:rFonts w:ascii="Arial" w:hAnsi="Arial" w:cs="Arial"/>
          <w:sz w:val="22"/>
          <w:szCs w:val="22"/>
        </w:rPr>
        <w:t xml:space="preserve"> día veinte</w:t>
      </w:r>
      <w:r w:rsidRPr="00505966">
        <w:rPr>
          <w:rFonts w:ascii="Arial" w:hAnsi="Arial" w:cs="Arial"/>
          <w:sz w:val="22"/>
          <w:szCs w:val="22"/>
        </w:rPr>
        <w:t xml:space="preserve"> de </w:t>
      </w:r>
      <w:r w:rsidR="006B36F1">
        <w:rPr>
          <w:rFonts w:ascii="Arial" w:hAnsi="Arial" w:cs="Arial"/>
          <w:sz w:val="22"/>
          <w:szCs w:val="22"/>
        </w:rPr>
        <w:t>junio</w:t>
      </w:r>
      <w:r w:rsidRPr="00505966">
        <w:rPr>
          <w:rFonts w:ascii="Arial" w:hAnsi="Arial" w:cs="Arial"/>
          <w:sz w:val="22"/>
          <w:szCs w:val="22"/>
        </w:rPr>
        <w:t xml:space="preserve"> del año dos mil veinticinco, por votación </w:t>
      </w:r>
      <w:r w:rsidR="006B36F1">
        <w:rPr>
          <w:rFonts w:ascii="Arial" w:hAnsi="Arial" w:cs="Arial"/>
          <w:sz w:val="22"/>
          <w:szCs w:val="22"/>
        </w:rPr>
        <w:t>unánime</w:t>
      </w:r>
      <w:r w:rsidRPr="00505966">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505966">
        <w:rPr>
          <w:rFonts w:ascii="Arial" w:hAnsi="Arial" w:cs="Arial"/>
          <w:sz w:val="22"/>
          <w:szCs w:val="22"/>
        </w:rPr>
        <w:t>Beaurregard</w:t>
      </w:r>
      <w:proofErr w:type="spellEnd"/>
      <w:r w:rsidRPr="00505966">
        <w:rPr>
          <w:rFonts w:ascii="Arial" w:hAnsi="Arial" w:cs="Arial"/>
          <w:sz w:val="22"/>
          <w:szCs w:val="22"/>
        </w:rPr>
        <w:t>, Mtra. Ruth Lizette Toledo Peral y la Consejera Presidenta, Mtra. Elizabeth Nava Gutiérrez.</w:t>
      </w:r>
    </w:p>
    <w:p w14:paraId="7B8C003E" w14:textId="5BC46E0B" w:rsidR="00F73CF0" w:rsidRDefault="00F73CF0" w:rsidP="00F73CF0">
      <w:pPr>
        <w:rPr>
          <w:rFonts w:ascii="Arial" w:hAnsi="Arial" w:cs="Arial"/>
          <w:sz w:val="22"/>
          <w:szCs w:val="22"/>
        </w:rPr>
      </w:pPr>
    </w:p>
    <w:p w14:paraId="19BE764A" w14:textId="77777777" w:rsidR="00505966" w:rsidRPr="00505966" w:rsidRDefault="00505966" w:rsidP="00F73CF0">
      <w:pPr>
        <w:rPr>
          <w:rFonts w:ascii="Arial" w:hAnsi="Arial" w:cs="Arial"/>
          <w:sz w:val="22"/>
          <w:szCs w:val="22"/>
        </w:rPr>
      </w:pPr>
    </w:p>
    <w:p w14:paraId="44F231ED" w14:textId="77777777" w:rsidR="00F73CF0" w:rsidRPr="00505966" w:rsidRDefault="00F73CF0" w:rsidP="00F73CF0">
      <w:pPr>
        <w:rPr>
          <w:rFonts w:ascii="Arial" w:hAnsi="Arial" w:cs="Arial"/>
          <w:sz w:val="22"/>
          <w:szCs w:val="22"/>
        </w:rPr>
      </w:pPr>
    </w:p>
    <w:tbl>
      <w:tblPr>
        <w:tblStyle w:val="Tablaconcuadrcula"/>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6"/>
        <w:gridCol w:w="242"/>
        <w:gridCol w:w="4323"/>
      </w:tblGrid>
      <w:tr w:rsidR="00505966" w:rsidRPr="00505966" w14:paraId="2B01015C" w14:textId="77777777" w:rsidTr="00505966">
        <w:trPr>
          <w:trHeight w:val="748"/>
        </w:trPr>
        <w:tc>
          <w:tcPr>
            <w:tcW w:w="4516" w:type="dxa"/>
          </w:tcPr>
          <w:p w14:paraId="1A721E0D" w14:textId="77777777" w:rsidR="00F73CF0" w:rsidRPr="00505966" w:rsidRDefault="00F73CF0" w:rsidP="0003787B">
            <w:pPr>
              <w:spacing w:before="0" w:after="0" w:line="264" w:lineRule="auto"/>
              <w:jc w:val="center"/>
              <w:rPr>
                <w:rFonts w:ascii="Arial" w:hAnsi="Arial" w:cs="Arial"/>
                <w:b/>
                <w:bCs/>
                <w:sz w:val="22"/>
                <w:szCs w:val="22"/>
              </w:rPr>
            </w:pPr>
            <w:r w:rsidRPr="00505966">
              <w:rPr>
                <w:rFonts w:ascii="Arial" w:hAnsi="Arial" w:cs="Arial"/>
                <w:b/>
                <w:bCs/>
                <w:sz w:val="22"/>
                <w:szCs w:val="22"/>
              </w:rPr>
              <w:t>MTRA. ELIZABETH NAVA GUTIÉRREZ</w:t>
            </w:r>
          </w:p>
          <w:p w14:paraId="26F7A11B" w14:textId="77777777" w:rsidR="00F73CF0" w:rsidRPr="00505966" w:rsidRDefault="00F73CF0" w:rsidP="0003787B">
            <w:pPr>
              <w:spacing w:before="0" w:after="0" w:line="264" w:lineRule="auto"/>
              <w:jc w:val="center"/>
              <w:rPr>
                <w:rFonts w:ascii="Arial" w:hAnsi="Arial" w:cs="Arial"/>
                <w:b/>
                <w:bCs/>
                <w:sz w:val="22"/>
                <w:szCs w:val="22"/>
              </w:rPr>
            </w:pPr>
            <w:r w:rsidRPr="00505966">
              <w:rPr>
                <w:rFonts w:ascii="Arial" w:hAnsi="Arial" w:cs="Arial"/>
                <w:b/>
                <w:bCs/>
                <w:sz w:val="22"/>
                <w:szCs w:val="22"/>
              </w:rPr>
              <w:t>CONSEJERA PRESIDENTA</w:t>
            </w:r>
          </w:p>
        </w:tc>
        <w:tc>
          <w:tcPr>
            <w:tcW w:w="242" w:type="dxa"/>
          </w:tcPr>
          <w:p w14:paraId="04EC4E1F" w14:textId="77777777" w:rsidR="00F73CF0" w:rsidRPr="00505966" w:rsidRDefault="00F73CF0" w:rsidP="0003787B">
            <w:pPr>
              <w:spacing w:before="0" w:after="0" w:line="264" w:lineRule="auto"/>
              <w:rPr>
                <w:rFonts w:ascii="Arial" w:hAnsi="Arial" w:cs="Arial"/>
                <w:b/>
                <w:bCs/>
                <w:sz w:val="22"/>
                <w:szCs w:val="22"/>
              </w:rPr>
            </w:pPr>
          </w:p>
        </w:tc>
        <w:tc>
          <w:tcPr>
            <w:tcW w:w="4323" w:type="dxa"/>
          </w:tcPr>
          <w:p w14:paraId="787DAF69" w14:textId="77777777" w:rsidR="00F73CF0" w:rsidRPr="00505966" w:rsidRDefault="00F73CF0" w:rsidP="0003787B">
            <w:pPr>
              <w:spacing w:before="0" w:after="0" w:line="264" w:lineRule="auto"/>
              <w:jc w:val="center"/>
              <w:rPr>
                <w:rFonts w:ascii="Arial" w:hAnsi="Arial" w:cs="Arial"/>
                <w:b/>
                <w:bCs/>
                <w:sz w:val="22"/>
                <w:szCs w:val="22"/>
              </w:rPr>
            </w:pPr>
            <w:r w:rsidRPr="00505966">
              <w:rPr>
                <w:rFonts w:ascii="Arial" w:hAnsi="Arial" w:cs="Arial"/>
                <w:b/>
                <w:bCs/>
                <w:sz w:val="22"/>
                <w:szCs w:val="22"/>
              </w:rPr>
              <w:t>LIC. JORGE ALBERTO ZAVALA FRÍAS</w:t>
            </w:r>
          </w:p>
          <w:p w14:paraId="08BF392C" w14:textId="77777777" w:rsidR="00F73CF0" w:rsidRPr="00505966" w:rsidRDefault="00F73CF0" w:rsidP="0003787B">
            <w:pPr>
              <w:spacing w:before="0" w:after="0" w:line="264" w:lineRule="auto"/>
              <w:jc w:val="center"/>
              <w:rPr>
                <w:rFonts w:ascii="Arial" w:hAnsi="Arial" w:cs="Arial"/>
                <w:b/>
                <w:bCs/>
                <w:sz w:val="22"/>
                <w:szCs w:val="22"/>
              </w:rPr>
            </w:pPr>
            <w:r w:rsidRPr="00505966">
              <w:rPr>
                <w:rFonts w:ascii="Arial" w:hAnsi="Arial" w:cs="Arial"/>
                <w:b/>
                <w:bCs/>
                <w:sz w:val="22"/>
                <w:szCs w:val="22"/>
              </w:rPr>
              <w:t>SECRETARIO DEL CONSEJO</w:t>
            </w:r>
          </w:p>
        </w:tc>
      </w:tr>
    </w:tbl>
    <w:p w14:paraId="609DFEFC" w14:textId="77777777" w:rsidR="00F73CF0" w:rsidRPr="00505966" w:rsidRDefault="00F73CF0" w:rsidP="00F73CF0">
      <w:pPr>
        <w:rPr>
          <w:rFonts w:ascii="Arial" w:hAnsi="Arial" w:cs="Arial"/>
        </w:rPr>
      </w:pPr>
    </w:p>
    <w:p w14:paraId="6AB8A19C" w14:textId="77777777" w:rsidR="00F73CF0" w:rsidRPr="00505966" w:rsidRDefault="00F73CF0" w:rsidP="00F73CF0">
      <w:pPr>
        <w:rPr>
          <w:rFonts w:ascii="Arial" w:hAnsi="Arial" w:cs="Arial"/>
        </w:rPr>
      </w:pPr>
      <w:bookmarkStart w:id="1" w:name="_GoBack"/>
      <w:bookmarkEnd w:id="1"/>
    </w:p>
    <w:sectPr w:rsidR="00F73CF0" w:rsidRPr="00505966" w:rsidSect="00505966">
      <w:headerReference w:type="default" r:id="rId7"/>
      <w:footerReference w:type="default" r:id="rId8"/>
      <w:pgSz w:w="12240" w:h="15840" w:code="1"/>
      <w:pgMar w:top="2835" w:right="1608"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A7A0" w14:textId="77777777" w:rsidR="004E23A7" w:rsidRDefault="004E23A7" w:rsidP="00F73CF0">
      <w:pPr>
        <w:spacing w:before="0" w:after="0" w:line="240" w:lineRule="auto"/>
      </w:pPr>
      <w:r>
        <w:separator/>
      </w:r>
    </w:p>
  </w:endnote>
  <w:endnote w:type="continuationSeparator" w:id="0">
    <w:p w14:paraId="62EB0DA4" w14:textId="77777777" w:rsidR="004E23A7" w:rsidRDefault="004E23A7" w:rsidP="00F73C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3239AE5-813D-4962-BFE9-5591FD7FB46C}"/>
    <w:embedBold r:id="rId2" w:fontKey="{6CD66208-C0D1-40E9-B598-94803B8FE35F}"/>
    <w:embedItalic r:id="rId3" w:fontKey="{DE4CBB5B-A4EC-45B7-A0ED-03E52E057A83}"/>
  </w:font>
  <w:font w:name="Exo">
    <w:charset w:val="00"/>
    <w:family w:val="auto"/>
    <w:pitch w:val="variable"/>
    <w:sig w:usb0="A00000FF" w:usb1="4000204B" w:usb2="00000000" w:usb3="00000000" w:csb0="00000193" w:csb1="00000000"/>
    <w:embedRegular r:id="rId4" w:fontKey="{C27827B5-EA25-4DF4-92FC-115153F73F53}"/>
    <w:embedBold r:id="rId5" w:fontKey="{9F65A650-F86D-42DC-9EF6-F8839849B15C}"/>
    <w:embedItalic r:id="rId6" w:fontKey="{C5A4209E-45E3-4A22-9F72-59CF34A28849}"/>
  </w:font>
  <w:font w:name="Aptos Display">
    <w:charset w:val="00"/>
    <w:family w:val="swiss"/>
    <w:pitch w:val="variable"/>
    <w:sig w:usb0="20000287" w:usb1="00000003" w:usb2="00000000" w:usb3="00000000" w:csb0="0000019F" w:csb1="00000000"/>
    <w:embedRegular r:id="rId7" w:fontKey="{D14B2067-375E-4BA9-B73D-5D4D8D980B85}"/>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69017739"/>
      <w:docPartObj>
        <w:docPartGallery w:val="Page Numbers (Top of Page)"/>
        <w:docPartUnique/>
      </w:docPartObj>
    </w:sdtPr>
    <w:sdtEndPr/>
    <w:sdtContent>
      <w:p w14:paraId="076144FB" w14:textId="587ACC11" w:rsidR="00F73CF0" w:rsidRPr="00505966" w:rsidRDefault="00F73CF0" w:rsidP="00F73CF0">
        <w:pPr>
          <w:pStyle w:val="Piedepgina"/>
          <w:jc w:val="right"/>
          <w:rPr>
            <w:rFonts w:ascii="Arial" w:hAnsi="Arial" w:cs="Arial"/>
            <w:color w:val="993366"/>
            <w:sz w:val="20"/>
            <w:szCs w:val="20"/>
          </w:rPr>
        </w:pPr>
        <w:r w:rsidRPr="00505966">
          <w:rPr>
            <w:rFonts w:ascii="Arial" w:hAnsi="Arial" w:cs="Arial"/>
            <w:b/>
            <w:bCs/>
            <w:color w:val="993366"/>
          </w:rPr>
          <w:t xml:space="preserve">Página </w:t>
        </w:r>
        <w:r w:rsidRPr="00505966">
          <w:rPr>
            <w:rFonts w:ascii="Arial" w:hAnsi="Arial" w:cs="Arial"/>
            <w:b/>
            <w:bCs/>
            <w:color w:val="993366"/>
          </w:rPr>
          <w:fldChar w:fldCharType="begin"/>
        </w:r>
        <w:r w:rsidRPr="00505966">
          <w:rPr>
            <w:rFonts w:ascii="Arial" w:hAnsi="Arial" w:cs="Arial"/>
            <w:b/>
            <w:bCs/>
            <w:color w:val="993366"/>
          </w:rPr>
          <w:instrText>PAGE</w:instrText>
        </w:r>
        <w:r w:rsidRPr="00505966">
          <w:rPr>
            <w:rFonts w:ascii="Arial" w:hAnsi="Arial" w:cs="Arial"/>
            <w:b/>
            <w:bCs/>
            <w:color w:val="993366"/>
          </w:rPr>
          <w:fldChar w:fldCharType="separate"/>
        </w:r>
        <w:r w:rsidR="000541E0">
          <w:rPr>
            <w:rFonts w:ascii="Arial" w:hAnsi="Arial" w:cs="Arial"/>
            <w:b/>
            <w:bCs/>
            <w:noProof/>
            <w:color w:val="993366"/>
          </w:rPr>
          <w:t>10</w:t>
        </w:r>
        <w:r w:rsidRPr="00505966">
          <w:rPr>
            <w:rFonts w:ascii="Arial" w:hAnsi="Arial" w:cs="Arial"/>
            <w:b/>
            <w:bCs/>
            <w:color w:val="993366"/>
          </w:rPr>
          <w:fldChar w:fldCharType="end"/>
        </w:r>
        <w:r w:rsidRPr="00505966">
          <w:rPr>
            <w:rFonts w:ascii="Arial" w:hAnsi="Arial" w:cs="Arial"/>
            <w:b/>
            <w:bCs/>
            <w:color w:val="993366"/>
          </w:rPr>
          <w:t xml:space="preserve"> | </w:t>
        </w:r>
        <w:r w:rsidRPr="00505966">
          <w:rPr>
            <w:rFonts w:ascii="Arial" w:hAnsi="Arial" w:cs="Arial"/>
            <w:b/>
            <w:bCs/>
            <w:color w:val="993366"/>
          </w:rPr>
          <w:fldChar w:fldCharType="begin"/>
        </w:r>
        <w:r w:rsidRPr="00505966">
          <w:rPr>
            <w:rFonts w:ascii="Arial" w:hAnsi="Arial" w:cs="Arial"/>
            <w:b/>
            <w:bCs/>
            <w:color w:val="993366"/>
          </w:rPr>
          <w:instrText>NUMPAGES</w:instrText>
        </w:r>
        <w:r w:rsidRPr="00505966">
          <w:rPr>
            <w:rFonts w:ascii="Arial" w:hAnsi="Arial" w:cs="Arial"/>
            <w:b/>
            <w:bCs/>
            <w:color w:val="993366"/>
          </w:rPr>
          <w:fldChar w:fldCharType="separate"/>
        </w:r>
        <w:r w:rsidR="000541E0">
          <w:rPr>
            <w:rFonts w:ascii="Arial" w:hAnsi="Arial" w:cs="Arial"/>
            <w:b/>
            <w:bCs/>
            <w:noProof/>
            <w:color w:val="993366"/>
          </w:rPr>
          <w:t>12</w:t>
        </w:r>
        <w:r w:rsidRPr="0050596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DB2E" w14:textId="77777777" w:rsidR="004E23A7" w:rsidRDefault="004E23A7" w:rsidP="00F73CF0">
      <w:pPr>
        <w:spacing w:before="0" w:after="0" w:line="240" w:lineRule="auto"/>
      </w:pPr>
      <w:r>
        <w:separator/>
      </w:r>
    </w:p>
  </w:footnote>
  <w:footnote w:type="continuationSeparator" w:id="0">
    <w:p w14:paraId="74A7855D" w14:textId="77777777" w:rsidR="004E23A7" w:rsidRDefault="004E23A7" w:rsidP="00F73C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F73CF0" w14:paraId="591408E0" w14:textId="77777777" w:rsidTr="0003787B">
      <w:tc>
        <w:tcPr>
          <w:tcW w:w="1813" w:type="dxa"/>
        </w:tcPr>
        <w:p w14:paraId="525FCD94" w14:textId="77777777" w:rsidR="00F73CF0" w:rsidRDefault="00F73CF0" w:rsidP="00F73CF0">
          <w:pPr>
            <w:pStyle w:val="Encabezado"/>
          </w:pPr>
          <w:r>
            <w:rPr>
              <w:b/>
              <w:noProof/>
              <w:sz w:val="32"/>
              <w:lang w:eastAsia="es-MX"/>
            </w:rPr>
            <w:drawing>
              <wp:inline distT="0" distB="0" distL="0" distR="0" wp14:anchorId="70A56173" wp14:editId="13985E15">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05E8759" w14:textId="77777777" w:rsidR="00F73CF0" w:rsidRPr="00B33A23" w:rsidRDefault="00F73CF0" w:rsidP="00F73CF0">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057B4058" w14:textId="77777777" w:rsidR="00F73CF0" w:rsidRDefault="00F73CF0" w:rsidP="00F73CF0">
          <w:pPr>
            <w:pStyle w:val="Encabezado"/>
            <w:spacing w:before="60"/>
            <w:jc w:val="center"/>
          </w:pPr>
          <w:r w:rsidRPr="00B33A23">
            <w:rPr>
              <w:rFonts w:ascii="Arial" w:hAnsi="Arial" w:cs="Arial"/>
              <w:b/>
              <w:bCs/>
              <w:sz w:val="28"/>
              <w:szCs w:val="28"/>
            </w:rPr>
            <w:t>CONSEJO ESTATAL</w:t>
          </w:r>
        </w:p>
      </w:tc>
      <w:tc>
        <w:tcPr>
          <w:tcW w:w="1560" w:type="dxa"/>
        </w:tcPr>
        <w:p w14:paraId="64602FBB" w14:textId="77777777" w:rsidR="00F73CF0" w:rsidRDefault="00F73CF0" w:rsidP="00F73CF0">
          <w:pPr>
            <w:pStyle w:val="Encabezado"/>
            <w:spacing w:before="480"/>
            <w:jc w:val="right"/>
          </w:pPr>
          <w:r>
            <w:rPr>
              <w:noProof/>
              <w:lang w:eastAsia="es-MX"/>
            </w:rPr>
            <w:drawing>
              <wp:inline distT="0" distB="0" distL="0" distR="0" wp14:anchorId="575E1548" wp14:editId="4F635A33">
                <wp:extent cx="921600" cy="756000"/>
                <wp:effectExtent l="0" t="0" r="0" b="6350"/>
                <wp:docPr id="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D2A0865" w14:textId="5C29301C" w:rsidR="00F73CF0" w:rsidRPr="008B167B" w:rsidRDefault="008B167B" w:rsidP="008B167B">
    <w:pPr>
      <w:pStyle w:val="Encabezado"/>
      <w:jc w:val="right"/>
      <w:rPr>
        <w:rFonts w:ascii="Arial" w:hAnsi="Arial" w:cs="Arial"/>
        <w:b/>
      </w:rPr>
    </w:pPr>
    <w:r w:rsidRPr="008B167B">
      <w:rPr>
        <w:rFonts w:ascii="Arial" w:hAnsi="Arial" w:cs="Arial"/>
        <w:b/>
      </w:rPr>
      <w:t>CE/2025/073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2FF6"/>
    <w:multiLevelType w:val="hybridMultilevel"/>
    <w:tmpl w:val="C5B8B20C"/>
    <w:lvl w:ilvl="0" w:tplc="D46CE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831B76"/>
    <w:multiLevelType w:val="hybridMultilevel"/>
    <w:tmpl w:val="48425CBE"/>
    <w:lvl w:ilvl="0" w:tplc="D46CE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B44CFC"/>
    <w:multiLevelType w:val="hybridMultilevel"/>
    <w:tmpl w:val="6AEAE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51359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7AA84186"/>
    <w:multiLevelType w:val="hybridMultilevel"/>
    <w:tmpl w:val="7F2427E8"/>
    <w:lvl w:ilvl="0" w:tplc="E6DC495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A7"/>
    <w:rsid w:val="000541E0"/>
    <w:rsid w:val="00133A11"/>
    <w:rsid w:val="00174E03"/>
    <w:rsid w:val="001B118A"/>
    <w:rsid w:val="002E7134"/>
    <w:rsid w:val="0039181C"/>
    <w:rsid w:val="004E23A7"/>
    <w:rsid w:val="00505966"/>
    <w:rsid w:val="005A7406"/>
    <w:rsid w:val="005B5039"/>
    <w:rsid w:val="00611258"/>
    <w:rsid w:val="00633E6E"/>
    <w:rsid w:val="006577A7"/>
    <w:rsid w:val="006956B1"/>
    <w:rsid w:val="006B36F1"/>
    <w:rsid w:val="006B710B"/>
    <w:rsid w:val="007149EF"/>
    <w:rsid w:val="00785EC0"/>
    <w:rsid w:val="007A6FBD"/>
    <w:rsid w:val="008246A5"/>
    <w:rsid w:val="0089179A"/>
    <w:rsid w:val="008B167B"/>
    <w:rsid w:val="00934EE8"/>
    <w:rsid w:val="00BD0975"/>
    <w:rsid w:val="00CB51DB"/>
    <w:rsid w:val="00D232F3"/>
    <w:rsid w:val="00D532EA"/>
    <w:rsid w:val="00E03E8F"/>
    <w:rsid w:val="00E45708"/>
    <w:rsid w:val="00F26F6D"/>
    <w:rsid w:val="00F73CF0"/>
    <w:rsid w:val="00FA0BBC"/>
    <w:rsid w:val="00FE1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E29E"/>
  <w15:chartTrackingRefBased/>
  <w15:docId w15:val="{FE89B7F8-E498-4CB2-9CB6-E16A1385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7A7"/>
    <w:pPr>
      <w:spacing w:before="240" w:after="240" w:line="276" w:lineRule="auto"/>
      <w:jc w:val="both"/>
    </w:pPr>
    <w:rPr>
      <w:rFonts w:ascii="Exo" w:hAnsi="Exo"/>
    </w:rPr>
  </w:style>
  <w:style w:type="paragraph" w:styleId="Ttulo1">
    <w:name w:val="heading 1"/>
    <w:basedOn w:val="Normal"/>
    <w:next w:val="Normal"/>
    <w:link w:val="Ttulo1Car"/>
    <w:uiPriority w:val="9"/>
    <w:qFormat/>
    <w:rsid w:val="006577A7"/>
    <w:pPr>
      <w:numPr>
        <w:numId w:val="5"/>
      </w:numPr>
      <w:spacing w:before="600"/>
      <w:jc w:val="center"/>
      <w:outlineLvl w:val="0"/>
    </w:pPr>
    <w:rPr>
      <w:b/>
      <w:bCs/>
      <w:sz w:val="28"/>
      <w:szCs w:val="28"/>
    </w:rPr>
  </w:style>
  <w:style w:type="paragraph" w:styleId="Ttulo2">
    <w:name w:val="heading 2"/>
    <w:basedOn w:val="Normal"/>
    <w:next w:val="Normal"/>
    <w:link w:val="Ttulo2Car"/>
    <w:uiPriority w:val="9"/>
    <w:unhideWhenUsed/>
    <w:qFormat/>
    <w:rsid w:val="006577A7"/>
    <w:pPr>
      <w:numPr>
        <w:ilvl w:val="1"/>
        <w:numId w:val="5"/>
      </w:numPr>
      <w:spacing w:before="480"/>
      <w:outlineLvl w:val="1"/>
    </w:pPr>
    <w:rPr>
      <w:b/>
      <w:bCs/>
    </w:rPr>
  </w:style>
  <w:style w:type="paragraph" w:styleId="Ttulo3">
    <w:name w:val="heading 3"/>
    <w:basedOn w:val="Normal"/>
    <w:next w:val="Normal"/>
    <w:link w:val="Ttulo3Car"/>
    <w:uiPriority w:val="9"/>
    <w:semiHidden/>
    <w:unhideWhenUsed/>
    <w:qFormat/>
    <w:rsid w:val="006577A7"/>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77A7"/>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77A7"/>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77A7"/>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77A7"/>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77A7"/>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77A7"/>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77A7"/>
    <w:rPr>
      <w:rFonts w:ascii="Exo" w:hAnsi="Exo"/>
      <w:b/>
      <w:bCs/>
      <w:sz w:val="28"/>
      <w:szCs w:val="28"/>
    </w:rPr>
  </w:style>
  <w:style w:type="character" w:customStyle="1" w:styleId="Ttulo2Car">
    <w:name w:val="Título 2 Car"/>
    <w:basedOn w:val="Fuentedeprrafopredeter"/>
    <w:link w:val="Ttulo2"/>
    <w:uiPriority w:val="9"/>
    <w:rsid w:val="006577A7"/>
    <w:rPr>
      <w:rFonts w:ascii="Exo" w:hAnsi="Exo"/>
      <w:b/>
      <w:bCs/>
    </w:rPr>
  </w:style>
  <w:style w:type="character" w:customStyle="1" w:styleId="Ttulo3Car">
    <w:name w:val="Título 3 Car"/>
    <w:basedOn w:val="Fuentedeprrafopredeter"/>
    <w:link w:val="Ttulo3"/>
    <w:uiPriority w:val="9"/>
    <w:semiHidden/>
    <w:rsid w:val="006577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77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77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77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77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77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77A7"/>
    <w:rPr>
      <w:rFonts w:eastAsiaTheme="majorEastAsia" w:cstheme="majorBidi"/>
      <w:color w:val="272727" w:themeColor="text1" w:themeTint="D8"/>
    </w:rPr>
  </w:style>
  <w:style w:type="paragraph" w:styleId="Ttulo">
    <w:name w:val="Title"/>
    <w:basedOn w:val="Normal"/>
    <w:next w:val="Normal"/>
    <w:link w:val="TtuloCar"/>
    <w:uiPriority w:val="10"/>
    <w:qFormat/>
    <w:rsid w:val="00657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77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7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77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77A7"/>
    <w:pPr>
      <w:spacing w:before="160"/>
      <w:jc w:val="center"/>
    </w:pPr>
    <w:rPr>
      <w:i/>
      <w:iCs/>
      <w:color w:val="404040" w:themeColor="text1" w:themeTint="BF"/>
    </w:rPr>
  </w:style>
  <w:style w:type="character" w:customStyle="1" w:styleId="CitaCar">
    <w:name w:val="Cita Car"/>
    <w:basedOn w:val="Fuentedeprrafopredeter"/>
    <w:link w:val="Cita"/>
    <w:uiPriority w:val="29"/>
    <w:rsid w:val="006577A7"/>
    <w:rPr>
      <w:i/>
      <w:iCs/>
      <w:color w:val="404040" w:themeColor="text1" w:themeTint="BF"/>
    </w:rPr>
  </w:style>
  <w:style w:type="paragraph" w:styleId="Prrafodelista">
    <w:name w:val="List Paragraph"/>
    <w:basedOn w:val="Normal"/>
    <w:uiPriority w:val="34"/>
    <w:qFormat/>
    <w:rsid w:val="006577A7"/>
    <w:pPr>
      <w:ind w:left="720"/>
      <w:contextualSpacing/>
    </w:pPr>
  </w:style>
  <w:style w:type="character" w:styleId="nfasisintenso">
    <w:name w:val="Intense Emphasis"/>
    <w:basedOn w:val="Fuentedeprrafopredeter"/>
    <w:uiPriority w:val="21"/>
    <w:qFormat/>
    <w:rsid w:val="006577A7"/>
    <w:rPr>
      <w:i/>
      <w:iCs/>
      <w:color w:val="0F4761" w:themeColor="accent1" w:themeShade="BF"/>
    </w:rPr>
  </w:style>
  <w:style w:type="paragraph" w:styleId="Citadestacada">
    <w:name w:val="Intense Quote"/>
    <w:basedOn w:val="Normal"/>
    <w:next w:val="Normal"/>
    <w:link w:val="CitadestacadaCar"/>
    <w:uiPriority w:val="30"/>
    <w:qFormat/>
    <w:rsid w:val="00657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77A7"/>
    <w:rPr>
      <w:i/>
      <w:iCs/>
      <w:color w:val="0F4761" w:themeColor="accent1" w:themeShade="BF"/>
    </w:rPr>
  </w:style>
  <w:style w:type="character" w:styleId="Referenciaintensa">
    <w:name w:val="Intense Reference"/>
    <w:basedOn w:val="Fuentedeprrafopredeter"/>
    <w:uiPriority w:val="32"/>
    <w:qFormat/>
    <w:rsid w:val="006577A7"/>
    <w:rPr>
      <w:b/>
      <w:bCs/>
      <w:smallCaps/>
      <w:color w:val="0F4761" w:themeColor="accent1" w:themeShade="BF"/>
      <w:spacing w:val="5"/>
    </w:rPr>
  </w:style>
  <w:style w:type="table" w:styleId="Tablaconcuadrcula">
    <w:name w:val="Table Grid"/>
    <w:basedOn w:val="Tablanormal"/>
    <w:uiPriority w:val="39"/>
    <w:rsid w:val="00F7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3CF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73CF0"/>
    <w:rPr>
      <w:rFonts w:ascii="Exo" w:hAnsi="Exo"/>
    </w:rPr>
  </w:style>
  <w:style w:type="paragraph" w:styleId="Piedepgina">
    <w:name w:val="footer"/>
    <w:basedOn w:val="Normal"/>
    <w:link w:val="PiedepginaCar"/>
    <w:uiPriority w:val="99"/>
    <w:unhideWhenUsed/>
    <w:rsid w:val="00F73CF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73CF0"/>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12</Pages>
  <Words>3988</Words>
  <Characters>21940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25</cp:revision>
  <cp:lastPrinted>2025-06-19T16:49:00Z</cp:lastPrinted>
  <dcterms:created xsi:type="dcterms:W3CDTF">2025-06-17T00:02:00Z</dcterms:created>
  <dcterms:modified xsi:type="dcterms:W3CDTF">2025-06-20T17:25:00Z</dcterms:modified>
</cp:coreProperties>
</file>